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83820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700" w:right="240" w:hanging="652"/>
        <w:spacing w:after="0" w:line="267" w:lineRule="auto"/>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700" w:right="220" w:hanging="645"/>
        <w:spacing w:after="0" w:line="266" w:lineRule="auto"/>
        <w:tabs>
          <w:tab w:leader="none" w:pos="7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12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80645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EL POLLO LOCO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120650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Delaware</w:t>
            </w:r>
          </w:p>
        </w:tc>
        <w:tc>
          <w:tcPr>
            <w:tcW w:w="2060" w:type="dxa"/>
            <w:vAlign w:val="bottom"/>
          </w:tcPr>
          <w:p>
            <w:pPr>
              <w:jc w:val="right"/>
              <w:ind w:right="508"/>
              <w:spacing w:after="0"/>
              <w:rPr>
                <w:sz w:val="20"/>
                <w:szCs w:val="20"/>
                <w:color w:val="auto"/>
              </w:rPr>
            </w:pPr>
            <w:r>
              <w:rPr>
                <w:rFonts w:ascii="Arial" w:cs="Arial" w:eastAsia="Arial" w:hAnsi="Arial"/>
                <w:sz w:val="16"/>
                <w:szCs w:val="16"/>
                <w:b w:val="1"/>
                <w:bCs w:val="1"/>
                <w:color w:val="auto"/>
              </w:rPr>
              <w:t>20-3563182</w:t>
            </w:r>
          </w:p>
        </w:tc>
      </w:tr>
      <w:tr>
        <w:trPr>
          <w:trHeight w:val="164"/>
        </w:trPr>
        <w:tc>
          <w:tcPr>
            <w:tcW w:w="6060" w:type="dxa"/>
            <w:vAlign w:val="bottom"/>
          </w:tcPr>
          <w:p>
            <w:pPr>
              <w:jc w:val="center"/>
              <w:ind w:right="228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22"/>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3535 Harbor Blvd., Suite 100, Costa Mesa, California</w:t>
            </w:r>
          </w:p>
        </w:tc>
        <w:tc>
          <w:tcPr>
            <w:tcW w:w="2060" w:type="dxa"/>
            <w:vAlign w:val="bottom"/>
          </w:tcPr>
          <w:p>
            <w:pPr>
              <w:jc w:val="right"/>
              <w:ind w:right="688"/>
              <w:spacing w:after="0"/>
              <w:rPr>
                <w:sz w:val="20"/>
                <w:szCs w:val="20"/>
                <w:color w:val="auto"/>
              </w:rPr>
            </w:pPr>
            <w:r>
              <w:rPr>
                <w:rFonts w:ascii="Arial" w:cs="Arial" w:eastAsia="Arial" w:hAnsi="Arial"/>
                <w:sz w:val="16"/>
                <w:szCs w:val="16"/>
                <w:b w:val="1"/>
                <w:bCs w:val="1"/>
                <w:color w:val="auto"/>
              </w:rPr>
              <w:t>92626</w:t>
            </w:r>
          </w:p>
        </w:tc>
      </w:tr>
      <w:tr>
        <w:trPr>
          <w:trHeight w:val="164"/>
        </w:trPr>
        <w:tc>
          <w:tcPr>
            <w:tcW w:w="6060" w:type="dxa"/>
            <w:vAlign w:val="bottom"/>
          </w:tcPr>
          <w:p>
            <w:pPr>
              <w:jc w:val="center"/>
              <w:ind w:right="22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0"/>
              </w:rPr>
              <w:t>(Zip Code)</w:t>
            </w:r>
          </w:p>
        </w:tc>
      </w:tr>
      <w:tr>
        <w:trPr>
          <w:trHeight w:val="322"/>
        </w:trPr>
        <w:tc>
          <w:tcPr>
            <w:tcW w:w="6060" w:type="dxa"/>
            <w:vAlign w:val="bottom"/>
          </w:tcPr>
          <w:p>
            <w:pPr>
              <w:jc w:val="right"/>
              <w:ind w:right="968"/>
              <w:spacing w:after="0"/>
              <w:rPr>
                <w:sz w:val="20"/>
                <w:szCs w:val="20"/>
                <w:color w:val="auto"/>
              </w:rPr>
            </w:pPr>
            <w:r>
              <w:rPr>
                <w:rFonts w:ascii="Arial" w:cs="Arial" w:eastAsia="Arial" w:hAnsi="Arial"/>
                <w:sz w:val="16"/>
                <w:szCs w:val="16"/>
                <w:b w:val="1"/>
                <w:bCs w:val="1"/>
                <w:color w:val="auto"/>
              </w:rPr>
              <w:t>(714) 599-5000</w:t>
            </w:r>
          </w:p>
        </w:tc>
        <w:tc>
          <w:tcPr>
            <w:tcW w:w="2060" w:type="dxa"/>
            <w:vAlign w:val="bottom"/>
          </w:tcPr>
          <w:p>
            <w:pPr>
              <w:spacing w:after="0"/>
              <w:rPr>
                <w:sz w:val="24"/>
                <w:szCs w:val="24"/>
                <w:color w:val="auto"/>
              </w:rPr>
            </w:pPr>
          </w:p>
        </w:tc>
      </w:tr>
      <w:tr>
        <w:trPr>
          <w:trHeight w:val="164"/>
        </w:trPr>
        <w:tc>
          <w:tcPr>
            <w:tcW w:w="6060" w:type="dxa"/>
            <w:vAlign w:val="bottom"/>
          </w:tcPr>
          <w:p>
            <w:pPr>
              <w:jc w:val="center"/>
              <w:ind w:left="286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060" w:type="dxa"/>
            <w:vAlign w:val="bottom"/>
          </w:tcPr>
          <w:p>
            <w:pPr>
              <w:spacing w:after="0"/>
              <w:rPr>
                <w:sz w:val="14"/>
                <w:szCs w:val="14"/>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LOCO</w:t>
            </w:r>
          </w:p>
        </w:tc>
        <w:tc>
          <w:tcPr>
            <w:tcW w:w="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176"/>
        </w:trPr>
        <w:tc>
          <w:tcPr>
            <w:tcW w:w="3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r>
    </w:tbl>
    <w:p>
      <w:pPr>
        <w:spacing w:after="0" w:line="152" w:lineRule="exact"/>
        <w:rPr>
          <w:sz w:val="24"/>
          <w:szCs w:val="24"/>
          <w:color w:val="auto"/>
        </w:rPr>
      </w:pPr>
    </w:p>
    <w:p>
      <w:pPr>
        <w:jc w:val="both"/>
        <w:ind w:right="160" w:firstLine="50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ind w:right="40" w:firstLine="506"/>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6" w:lineRule="exact"/>
        <w:rPr>
          <w:sz w:val="24"/>
          <w:szCs w:val="24"/>
          <w:color w:val="auto"/>
        </w:rPr>
      </w:pPr>
    </w:p>
    <w:p>
      <w:pPr>
        <w:ind w:right="80" w:firstLine="50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60" w:firstLine="50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20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30, 2021, there were 36,637,761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106680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89"/>
              </w:rPr>
              <w:t>Table of Contents</w:t>
            </w:r>
          </w:p>
        </w:tc>
        <w:tc>
          <w:tcPr>
            <w:tcW w:w="7340" w:type="dxa"/>
            <w:vAlign w:val="bottom"/>
            <w:gridSpan w:val="20"/>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I—FINANCIAL INFORMATION</w:t>
              </w:r>
            </w:hyperlink>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Financial Statements.</w:t>
              </w:r>
            </w:hyperlink>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w:t>
              </w:r>
            </w:hyperlink>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w:t>
              </w:r>
            </w:hyperlink>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Stockholders’ Equity (Unaudited)</w:t>
              </w:r>
            </w:hyperlink>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w:t>
              </w:r>
            </w:hyperlink>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 Management’s Discussion and Analysis of Financial Condition and Results of Operations.</w:t>
              </w:r>
            </w:hyperlink>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3. Quantitative and Qualitative Disclosures About Market Risk.</w:t>
              </w:r>
            </w:hyperlink>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4. Controls and Procedures.</w:t>
              </w:r>
            </w:hyperlink>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PART II—OTHER INFORMATION</w:t>
              </w:r>
            </w:hyperlink>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Item 1. Legal Proceedings.</w:t>
              </w:r>
            </w:hyperlink>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1A. Risk Factors.</w:t>
              </w:r>
            </w:hyperlink>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2. Unregistered Sales of Equity Securities and Use of Proceeds.</w:t>
              </w:r>
            </w:hyperlink>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0000EE"/>
            </w:tcBorders>
            <w:gridSpan w:val="17"/>
            <w:vMerge w:val="continue"/>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 Defaults Upon Senior Securities.</w:t>
              </w:r>
            </w:hyperlink>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0000EE"/>
            </w:tcBorders>
            <w:gridSpan w:val="13"/>
            <w:vMerge w:val="continue"/>
          </w:tcPr>
          <w:p>
            <w:pPr>
              <w:spacing w:after="0"/>
              <w:rPr>
                <w:sz w:val="15"/>
                <w:szCs w:val="15"/>
                <w:color w:val="auto"/>
              </w:rPr>
            </w:pPr>
          </w:p>
        </w:tc>
        <w:tc>
          <w:tcPr>
            <w:tcW w:w="5500" w:type="dxa"/>
            <w:vAlign w:val="bottom"/>
            <w:gridSpan w:val="1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 Mine Safety Disclosures.</w:t>
              </w:r>
            </w:hyperlink>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5. Other Information.</w:t>
              </w:r>
            </w:hyperlink>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 Exhibits.</w:t>
              </w:r>
            </w:hyperlink>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rFonts w:ascii="Arial" w:cs="Arial" w:eastAsia="Arial" w:hAnsi="Arial"/>
                <w:sz w:val="18"/>
                <w:szCs w:val="18"/>
                <w:color w:val="0000EE"/>
                <w:w w:val="83"/>
              </w:rPr>
            </w:pPr>
            <w:hyperlink w:anchor="page50">
              <w:r>
                <w:rPr>
                  <w:rFonts w:ascii="Arial" w:cs="Arial" w:eastAsia="Arial" w:hAnsi="Arial"/>
                  <w:sz w:val="18"/>
                  <w:szCs w:val="18"/>
                  <w:color w:val="0000EE"/>
                  <w:w w:val="83"/>
                </w:rPr>
                <w:t>Signatures</w:t>
              </w:r>
            </w:hyperlink>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4" w:lineRule="auto"/>
        <w:rPr>
          <w:sz w:val="20"/>
          <w:szCs w:val="20"/>
          <w:color w:val="auto"/>
        </w:rPr>
      </w:pPr>
      <w:r>
        <w:rPr>
          <w:rFonts w:ascii="Arial" w:cs="Arial" w:eastAsia="Arial" w:hAnsi="Arial"/>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50"/>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60"/>
              <w:spacing w:after="0" w:line="150"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tcPr>
          <w:p>
            <w:pPr>
              <w:jc w:val="right"/>
              <w:ind w:right="79"/>
              <w:spacing w:after="0" w:line="150"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Accounts and other receivables,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10,470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9,963</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31,669</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74,215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79,642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held under finance lease, net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Property and equipment held under operating leases, net ("ROU asset")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175,020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177,129</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248,674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248,674</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61,888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61,888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598,927</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605,221</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obligations under operating leases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19,907</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7,472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and vacation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10,166</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Accrued insurance</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10,777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Current portion of income tax receivable agreement payable</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 and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24,655</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16,715</w:t>
            </w:r>
          </w:p>
        </w:tc>
        <w:tc>
          <w:tcPr>
            <w:tcW w:w="0" w:type="dxa"/>
            <w:vAlign w:val="bottom"/>
          </w:tcPr>
          <w:p>
            <w:pPr>
              <w:spacing w:after="0"/>
              <w:rPr>
                <w:sz w:val="1"/>
                <w:szCs w:val="1"/>
                <w:color w:val="auto"/>
              </w:rPr>
            </w:pPr>
          </w:p>
        </w:tc>
      </w:tr>
      <w:tr>
        <w:trPr>
          <w:trHeight w:val="196"/>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73,398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66,412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 loan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62,800</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Obligations under finance leases, net of current portion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operating leases, net of current portion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175,192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178,658</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6,073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 agreement payable, net of current portion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11,292</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306,541</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327,643</w:t>
            </w:r>
          </w:p>
        </w:tc>
        <w:tc>
          <w:tcPr>
            <w:tcW w:w="0" w:type="dxa"/>
            <w:vAlign w:val="bottom"/>
          </w:tcPr>
          <w:p>
            <w:pPr>
              <w:spacing w:after="0"/>
              <w:rPr>
                <w:sz w:val="1"/>
                <w:szCs w:val="1"/>
                <w:color w:val="auto"/>
              </w:rPr>
            </w:pP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7)</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w w:val="95"/>
              </w:rPr>
              <w:t>Preferred stock, $0.01 par value, 100,000,000 shares authorized; none issued or outstanding</w:t>
            </w:r>
          </w:p>
        </w:tc>
        <w:tc>
          <w:tcPr>
            <w:tcW w:w="2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Common stock, $0.01 par value, 200,000,000 shares authorized; 36,637,761 and 36,423,505</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shares issued and outstanding as of June 30, 2021 and December 30, 2020, respectively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341,358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339,561</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(48,732)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(61,514)</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292,386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277,578</w:t>
            </w:r>
          </w:p>
        </w:tc>
        <w:tc>
          <w:tcPr>
            <w:tcW w:w="0" w:type="dxa"/>
            <w:vAlign w:val="bottom"/>
          </w:tcPr>
          <w:p>
            <w:pPr>
              <w:spacing w:after="0"/>
              <w:rPr>
                <w:sz w:val="1"/>
                <w:szCs w:val="1"/>
                <w:color w:val="auto"/>
              </w:rPr>
            </w:pPr>
          </w:p>
        </w:tc>
      </w:tr>
      <w:tr>
        <w:trPr>
          <w:trHeight w:val="196"/>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598,927</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605,221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7"/>
              </w:rPr>
              <w:t>June 24, 2020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Pr>
          <w:p>
            <w:pPr>
              <w:spacing w:after="0"/>
              <w:rPr>
                <w:sz w:val="12"/>
                <w:szCs w:val="12"/>
                <w:color w:val="auto"/>
              </w:rPr>
            </w:pP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106,970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87,707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201,131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180,341</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229,706</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204,767</w:t>
            </w:r>
          </w:p>
        </w:tc>
        <w:tc>
          <w:tcPr>
            <w:tcW w:w="14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paper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48,435</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54,452</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44,031</w:t>
            </w:r>
          </w:p>
        </w:tc>
        <w:tc>
          <w:tcPr>
            <w:tcW w:w="14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Company restaurant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146,918</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Franchise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13,538</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r>
      <w:tr>
        <w:trPr>
          <w:trHeight w:val="202"/>
        </w:trPr>
        <w:tc>
          <w:tcPr>
            <w:tcW w:w="4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Recovery of securities lawsuits related legal expenses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claims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closed-store reserves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40" w:type="dxa"/>
            <w:vAlign w:val="bottom"/>
            <w:shd w:val="clear" w:color="auto" w:fill="CCEEFF"/>
          </w:tcPr>
          <w:p>
            <w:pPr>
              <w:spacing w:after="0"/>
              <w:rPr>
                <w:sz w:val="18"/>
                <w:szCs w:val="18"/>
                <w:color w:val="auto"/>
              </w:rPr>
            </w:pPr>
          </w:p>
        </w:tc>
      </w:tr>
      <w:tr>
        <w:trPr>
          <w:trHeight w:val="21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191,632</w:t>
            </w:r>
          </w:p>
        </w:tc>
        <w:tc>
          <w:tcPr>
            <w:tcW w:w="14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expense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17,772</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r>
      <w:tr>
        <w:trPr>
          <w:trHeight w:val="24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w:t>
            </w:r>
          </w:p>
        </w:tc>
        <w:tc>
          <w:tcPr>
            <w:tcW w:w="140" w:type="dxa"/>
            <w:vAlign w:val="bottom"/>
            <w:tcBorders>
              <w:bottom w:val="single" w:sz="8" w:color="CCEEFF"/>
            </w:tcBorders>
          </w:tcPr>
          <w:p>
            <w:pPr>
              <w:spacing w:after="0"/>
              <w:rPr>
                <w:sz w:val="21"/>
                <w:szCs w:val="2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r>
      <w:tr>
        <w:trPr>
          <w:trHeight w:val="198"/>
        </w:trPr>
        <w:tc>
          <w:tcPr>
            <w:tcW w:w="434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Weighted-average shares used in computing net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per share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35,927,781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34,836,410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35,861,493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34,747,785</w:t>
            </w:r>
          </w:p>
        </w:tc>
        <w:tc>
          <w:tcPr>
            <w:tcW w:w="140" w:type="dxa"/>
            <w:vAlign w:val="bottom"/>
            <w:shd w:val="clear" w:color="auto" w:fill="CCEEFF"/>
          </w:tcPr>
          <w:p>
            <w:pPr>
              <w:spacing w:after="0"/>
              <w:rPr>
                <w:sz w:val="18"/>
                <w:szCs w:val="18"/>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36,416,686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35,410,198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36,423,394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35,382,607</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Thirteen Weeks Ended</w:t>
            </w:r>
          </w:p>
        </w:tc>
        <w:tc>
          <w:tcPr>
            <w:tcW w:w="160" w:type="dxa"/>
            <w:vAlign w:val="bottom"/>
          </w:tcPr>
          <w:p>
            <w:pPr>
              <w:spacing w:after="0"/>
              <w:rPr>
                <w:sz w:val="14"/>
                <w:szCs w:val="14"/>
                <w:color w:val="auto"/>
              </w:rPr>
            </w:pPr>
          </w:p>
        </w:tc>
        <w:tc>
          <w:tcPr>
            <w:tcW w:w="20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Twenty-Six Weeks Ended</w:t>
            </w:r>
          </w:p>
        </w:tc>
      </w:tr>
      <w:tr>
        <w:trPr>
          <w:trHeight w:val="142"/>
        </w:trPr>
        <w:tc>
          <w:tcPr>
            <w:tcW w:w="472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June 24, 2020</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June 30, 2021</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80" w:type="dxa"/>
            <w:vAlign w:val="bottom"/>
          </w:tcPr>
          <w:p>
            <w:pPr>
              <w:spacing w:after="0"/>
              <w:rPr>
                <w:sz w:val="12"/>
                <w:szCs w:val="12"/>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derivative instruments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4720" w:type="dxa"/>
            <w:vAlign w:val="bottom"/>
          </w:tcPr>
          <w:p>
            <w:pPr>
              <w:ind w:left="220"/>
              <w:spacing w:after="0" w:line="201" w:lineRule="exact"/>
              <w:rPr>
                <w:sz w:val="20"/>
                <w:szCs w:val="20"/>
                <w:color w:val="auto"/>
              </w:rPr>
            </w:pPr>
            <w:r>
              <w:rPr>
                <w:rFonts w:ascii="Arial" w:cs="Arial" w:eastAsia="Arial" w:hAnsi="Arial"/>
                <w:sz w:val="18"/>
                <w:szCs w:val="18"/>
                <w:color w:val="auto"/>
                <w:w w:val="95"/>
              </w:rPr>
              <w:t>Unrealized net (losses) gains arising during the period from</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(1,755)</w:t>
            </w: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 of losses into net 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8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Thirteen Weeks Ended June 30, 2021</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36,478,683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$ 340,739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282,862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30,125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restricted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(39,207)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(loss) income,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36,637,761</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$ 341,358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(48,732)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Thirteen Weeks Ended June 24, 2020</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25,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35,089,983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$ 331,484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(82,388)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372,556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restricted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(24,487)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(loss) income,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24,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35,854,122</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$ 334,088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(76,889)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w w:val="91"/>
              </w:rPr>
              <w:t>Twenty-Six Weeks Ended June 30, 2021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(Loss) Income</w:t>
            </w:r>
          </w:p>
        </w:tc>
        <w:tc>
          <w:tcPr>
            <w:tcW w:w="180" w:type="dxa"/>
            <w:vAlign w:val="bottom"/>
          </w:tcPr>
          <w:p>
            <w:pPr>
              <w:spacing w:after="0"/>
              <w:rPr>
                <w:sz w:val="12"/>
                <w:szCs w:val="12"/>
                <w:color w:val="auto"/>
              </w:rPr>
            </w:pPr>
          </w:p>
        </w:tc>
        <w:tc>
          <w:tcPr>
            <w:tcW w:w="720" w:type="dxa"/>
            <w:vAlign w:val="bottom"/>
          </w:tcPr>
          <w:p>
            <w:pPr>
              <w:jc w:val="center"/>
              <w:ind w:right="73"/>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36,423,505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$ 339,561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(61,514)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91,544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(37,938)</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(45,448)</w:t>
            </w: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(loss) income,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36,637,761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$ 341,358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(48,732)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w w:val="91"/>
              </w:rPr>
              <w:t>Twenty-Six Weeks Ended June 24, 2020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(Loss) Income</w:t>
            </w:r>
          </w:p>
        </w:tc>
        <w:tc>
          <w:tcPr>
            <w:tcW w:w="180" w:type="dxa"/>
            <w:vAlign w:val="bottom"/>
          </w:tcPr>
          <w:p>
            <w:pPr>
              <w:spacing w:after="0"/>
              <w:rPr>
                <w:sz w:val="12"/>
                <w:szCs w:val="12"/>
                <w:color w:val="auto"/>
              </w:rPr>
            </w:pPr>
          </w:p>
        </w:tc>
        <w:tc>
          <w:tcPr>
            <w:tcW w:w="720" w:type="dxa"/>
            <w:vAlign w:val="bottom"/>
          </w:tcPr>
          <w:p>
            <w:pPr>
              <w:jc w:val="center"/>
              <w:ind w:right="73"/>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35,126,582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$ 330,950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(85,988)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372,556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(20,193)</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(61,086)</w:t>
            </w: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(loss) income,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24,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35,854,122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$ 334,088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(76,889)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8"/>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12,782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9,099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Adjustments to reconcile net income to net cash flows provided by operating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7,855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8,537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Income tax receivable agreement expense (income)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assets held for sale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Loss on disposal of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property and equipment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and other receivables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Income taxes receivable/payable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(557)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salaries and vacation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Accrued insurance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362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related to tax receivable agreement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Other accrued expenses and liabilities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(1,075)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(9,687)</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26,624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deposit for disposition of restaurants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4,556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(8,828)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on revolver and swingline loans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Payments on revolver and swingline loan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(22,800)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(10,700)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tax withholdings related to net share settlements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w w:val="93"/>
              </w:rPr>
              <w:t>Proceeds from issuance of common stock upon exercise of stock options, net of 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obligations under finance leases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(used in) provided by financing activities</w:t>
            </w:r>
          </w:p>
        </w:tc>
        <w:tc>
          <w:tcPr>
            <w:tcW w:w="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(22,947)</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43,669</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beginning of period</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13,219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end of period</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12,624</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60,342</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8"/>
          </w:tcPr>
          <w:p>
            <w:pPr>
              <w:ind w:left="1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420" w:type="dxa"/>
            <w:vAlign w:val="bottom"/>
            <w:tcBorders>
              <w:top w:val="single" w:sz="8" w:color="auto"/>
            </w:tcBorders>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June 30, 2021</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income taxes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6"/>
                <w:szCs w:val="16"/>
                <w:color w:val="auto"/>
              </w:rPr>
              <w:t>Unpaid purchases of property and equipment</w:t>
            </w: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left="60" w:right="199"/>
        <w:spacing w:after="0" w:line="296"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30, 2021, the Company operated 198 and franchised 282 El Pollo Loco restaurants.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uses a 52- or 53-week fiscal year ending on the last Wednesday of the calendar year. In a 52-week</w:t>
      </w:r>
    </w:p>
    <w:p>
      <w:pPr>
        <w:spacing w:after="0" w:line="3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2021 is a 52-week year ending on December 29, 2021, and fiscal 2020 was a 53-week year ended on December 30, 2020. Revenues, expenses, and other financial and operational figures may be elevated in a 53-week year.</w:t>
      </w:r>
    </w:p>
    <w:p>
      <w:pPr>
        <w:spacing w:after="0" w:line="19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The accompanying condensed consolidated financial statements include the accounts of Holdings and its wholly owned subsidiaries. All intercompany balances and transactions have been eliminated in consolidation.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Some state and local governments continue to periodically implement certain restrictions to try and contain the spread of the virus. As of June 30, 2021, nearly all of the Company’s restaurants have dining rooms open at full capacity and continue to maintain take-away, mobile pick-up, delivery, and drive-thru operations where available.</w:t>
      </w:r>
    </w:p>
    <w:p>
      <w:pPr>
        <w:spacing w:after="0" w:line="178"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During the thirteen and twenty-six weeks ended June 30, 2021, the Company temporarily closed 5 and 45 restaurants, respectively, of which all have reopened as of June 30, 2021. Similarly, during both thirteen and twenty-six weeks ended June 30, 2021, certain of the Company’s franchisees temporarily closed 27 restaurants, all of which have reopened as of June 30, 2021. For both franchise-operated and company-operated restaurants, this represents total temporary closures and may include more than one closure for the same restaurant. These closures typically lasted from one to three days. As of June 30, 2021, the Company had not permanently closed any restaurants due to the COVID-19 pandemic.</w:t>
      </w:r>
    </w:p>
    <w:p>
      <w:pPr>
        <w:spacing w:after="0" w:line="16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During the thirteen and twenty-six weeks ended June 30, 2021, the Company incurred $0.2 million and $3.0 million, respectively, in COVID-19 related expenses, primarily due to leaves of absence and overtime pay. During both thirteen and twenty-six weeks ended June 24, 2020, the Company incurred $1.1 million in COVID-19 related expenses, primarily due to leaves of absence and overtime pay.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Subsequent to June 30, 2021, the Company completed the sale of eight restaurants in the Sacramento area to an existing franchisee. See "Assets Held For Sale" below for further details related to the accounting impact as of and for the thirteen and twenty-six weeks ended June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August 5, 2021, all company-operated and franchise locations remained open.</w:t>
      </w:r>
    </w:p>
    <w:p>
      <w:pPr>
        <w:spacing w:after="0" w:line="225"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Company has evaluated subsequent events that have occurred after June 30, 2021, and determined that there were no other events or transactions occurring during this reporting period that require recognition or disclosure in the condensed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 considers all liquid instruments with an original maturity of three months or less at the date of purchase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 xml:space="preserve">The Company’s principal liquidity and capital requirements are new restaurants, existing restaurant capital investments (remodels and maintenance), interest payments on our debt, lease obligations and working capital and general corporate needs. At June 30, 2021, the Company’s total debt was $40.0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$12.6 million at June 30, 2021 will be adequate to meet the Company’s liquidity needs for the next twelve months from the date of filing of these condensed consolidated financial statements. However, </w:t>
      </w:r>
      <w:r>
        <w:rPr>
          <w:rFonts w:ascii="Arial" w:cs="Arial" w:eastAsia="Arial" w:hAnsi="Arial"/>
          <w:sz w:val="16"/>
          <w:szCs w:val="16"/>
          <w:color w:val="212529"/>
        </w:rPr>
        <w:t xml:space="preserve">depending on the severity and longevity of the COVID-19 pandemic, </w:t>
      </w:r>
      <w:r>
        <w:rPr>
          <w:rFonts w:ascii="Arial" w:cs="Arial" w:eastAsia="Arial" w:hAnsi="Arial"/>
          <w:sz w:val="16"/>
          <w:szCs w:val="16"/>
          <w:color w:val="000000"/>
        </w:rPr>
        <w:t>the Company’s financial performance and liquidity</w:t>
      </w:r>
      <w:r>
        <w:rPr>
          <w:rFonts w:ascii="Arial" w:cs="Arial" w:eastAsia="Arial" w:hAnsi="Arial"/>
          <w:sz w:val="16"/>
          <w:szCs w:val="16"/>
          <w:color w:val="212529"/>
        </w:rPr>
        <w:t xml:space="preserve"> </w:t>
      </w:r>
      <w:r>
        <w:rPr>
          <w:rFonts w:ascii="Arial" w:cs="Arial" w:eastAsia="Arial" w:hAnsi="Arial"/>
          <w:sz w:val="16"/>
          <w:szCs w:val="16"/>
          <w:color w:val="000000"/>
        </w:rPr>
        <w:t>could be further impacted and could impact the Company’s ability to meet certain covenants required in its 2018 Credit Agreement (as defined below), specifically the lease-adjusted coverage ratio and fixed-charge coverage ratio.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During the thirteen and twenty-six weeks ended June 30, 2021, the Company agreed in principle to sell eight restaurants within the Sacramento area to an existing franchisee. Assets are classified as held for sale if they meet the criteria outlined in Accounting Standards Codification (“ASC”) 360, Property, Plant and Equipment. In accordance with applicable accounting guidance, the net assets of the eight restaurants were recorded at the lower of carrying value or fair value less costs to sell. The Company classified $3.8 million of assets as held for sale, consisting of leasehold improvements and other property equipment, as of June 30, 2021, and recognized a loss on held for sale assets of $1.5 million for the thirteen and twenty-six weeks ended June 30, 2021. Prior to June 30, 2021, we received $4.6 million of cash primarily representing the purchase price of the transaction. The funds were recorded within our cash and cash equivalents and other accrued expenses and current liabilities within our condensed consolidated balance sheet.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In January 2021, the Financial Accounting Standards Board (“FASB”) issued Accounting Standards Update (“ASU”) No. 2021-01, “Reference Rate Reform (Topic 848): Scope” which clarifies the FASB’s recent rate reform guidance in Topic 848, Reference Rate Reform, that optional expedients and exceptions therein for contract modification and hedge accounting apply to derivatives that are affected by the discontinuation of the London Interbank Offered Rate (“LIBOR”) and the use of new interest rate benchmarks. ASU 2021-01 is effective immediately. Entities may choose to apply the amendments retrospectively as of any date from the beginning of an interim period that includes or is subsequent to March 12, 2020, or prospectively to new modifications from any date within an interim period that includes or is subsequent to January 7, 2021, up to the date that financial statements are available to be issued. The Company adopted this ASU on January 7, 2021. The adoption of ASU 2021-01 did not have a significant impact on the Company’s consolidated financial position or results of operations.</w:t>
      </w:r>
    </w:p>
    <w:p>
      <w:pPr>
        <w:spacing w:after="0" w:line="185"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In October 2020, the FASB issued ASU No. 2020-10, “Codification Improvements,” which improve the consistency of the codification by including all disclosure guidance in the appropriate Disclosure Section (Section 50). ASU 2020-10 is effective for annual periods beginning after December 15, 2020, and for interim periods within annual periods beginning after December 15, 2020. The Company adopted this ASU during the first quarter of 2021. The adoption of ASU 2020-10 did not have a significant impact on the Company’s consolidated financial position or results of operations.</w:t>
      </w:r>
    </w:p>
    <w:p>
      <w:pPr>
        <w:spacing w:after="0" w:line="161"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Company adopted this ASU during the first quarter of 2021. The adoption of ASU 2019-12 did not have a significant impact on the Company’s consolidated financial position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46"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Company had no suppliers to whom amounts due totaled greater than 10% of the Company’s accounts payable at June 30, 2021. At December 30, 2020, the Company had two suppliers to whom amounts due totaled 24.2% and 11.4% of the Company’s accounts payable. Purchases from the Company’s largest supplier totaled 26.2% and 26.6% of total expenses for the thirteen and twenty-six weeks ended June 30, 2021, respectively, and 26.4% and 27.0% of total expenses for the thirteen and twenty-six weeks ended June 24, 2020,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Company-operated and franchised restaurants in the greater Los Angeles area generated, in the aggregate, approximately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70.6% and 70.4% of total revenue for the thirteen and twenty-six weeks ended June 30, 2021, respectively, and 71.1%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 twenty-six weeks ended June 24, 2020, respectively.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Company’s indefinite-lived intangible assets consist of trademarks. Goodwill represents the excess of cost over fair value of net identified assets acquired in business combinations accounted for under the purchase method. The Company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does not amortize its goodwill and indefinite-lived intangible assets. Goodwill resulted from the acquisition of certain franchise locations.</w:t>
      </w:r>
    </w:p>
    <w:p>
      <w:pPr>
        <w:spacing w:after="0" w:line="170"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84"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Company performs an annual impairment test for goodwill during the fourth fiscal quarter of each year, or more frequently if impairment indicators arise.</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96"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7"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4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Company determined that there were no indicators of potential impairment of its goodwill and indefinite-lived intangible assets during the thirteen and twenty-six weeks ended June 30, 2021. Accordingly, the Company did not record any impairment to its goodwill or indefinite-lived intangible assets during the thirteen and twenty-six weeks ended June 30, 2021. T</w:t>
      </w:r>
      <w:r>
        <w:rPr>
          <w:rFonts w:ascii="Arial" w:cs="Arial" w:eastAsia="Arial" w:hAnsi="Arial"/>
          <w:sz w:val="17"/>
          <w:szCs w:val="17"/>
          <w:color w:val="212529"/>
        </w:rPr>
        <w:t>he ultimate severity and longevity of the COVID-19 pandemic is unknown, and therefore,</w:t>
      </w:r>
      <w:r>
        <w:rPr>
          <w:rFonts w:ascii="Arial" w:cs="Arial" w:eastAsia="Arial" w:hAnsi="Arial"/>
          <w:sz w:val="17"/>
          <w:szCs w:val="17"/>
          <w:color w:val="auto"/>
        </w:rPr>
        <w:t xml:space="preserve"> it is possible that impairments could be identified in future periods, and such amounts could be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84"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25"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key inputs for the valuation models are observable market prices, discount rates, and forward yield curves. See Note 4, “Long-Term Debt” for further discussion regarding our interest rate swaps.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June 30, 2021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Fair Value Measurements Using</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96"/>
              </w:rPr>
              <w:t>Level 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December 30, 2020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33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3"/>
              </w:rPr>
              <w:t>Fair Value Measurements Using</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80"/>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84" w:lineRule="exact"/>
        <w:rPr>
          <w:sz w:val="20"/>
          <w:szCs w:val="20"/>
          <w:color w:val="auto"/>
        </w:rPr>
      </w:pPr>
    </w:p>
    <w:p>
      <w:pPr>
        <w:ind w:left="60" w:right="100"/>
        <w:spacing w:after="0" w:line="25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30, 2021, reflecting certain property and equipment assets and right-of-use (“ROU”) assets for which certain assets were classified as held for sale, and an impairment loss was recognized during the corresponding periods, as discussed under Note 2, “Property and Equipment” and immediately below under “Impairment of Long-Lived Assets and ROU Assets”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4"/>
              </w:rPr>
              <w:t>Fair Value Measurements at June 30, 2021 Using</w:t>
            </w:r>
          </w:p>
        </w:tc>
        <w:tc>
          <w:tcPr>
            <w:tcW w:w="120" w:type="dxa"/>
            <w:vAlign w:val="bottom"/>
          </w:tcPr>
          <w:p>
            <w:pPr>
              <w:spacing w:after="0"/>
              <w:rPr>
                <w:sz w:val="14"/>
                <w:szCs w:val="14"/>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Thirteen Weeks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3080" w:type="dxa"/>
            <w:vAlign w:val="bottom"/>
            <w:gridSpan w:val="9"/>
            <w:vMerge w:val="continue"/>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Ended June 30, 2021 Ended June 30, 2021</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Impairment Losses</w:t>
            </w: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Impairment Losses</w:t>
            </w:r>
          </w:p>
        </w:tc>
        <w:tc>
          <w:tcPr>
            <w:tcW w:w="0" w:type="dxa"/>
            <w:vAlign w:val="bottom"/>
          </w:tcPr>
          <w:p>
            <w:pPr>
              <w:spacing w:after="0"/>
              <w:rPr>
                <w:sz w:val="1"/>
                <w:szCs w:val="1"/>
                <w:color w:val="auto"/>
              </w:rPr>
            </w:pPr>
          </w:p>
        </w:tc>
      </w:tr>
      <w:tr>
        <w:trPr>
          <w:trHeight w:val="182"/>
        </w:trPr>
        <w:tc>
          <w:tcPr>
            <w:tcW w:w="25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Certain property and equipment,</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line="201" w:lineRule="exact"/>
              <w:rPr>
                <w:sz w:val="20"/>
                <w:szCs w:val="20"/>
                <w:color w:val="auto"/>
              </w:rPr>
            </w:pPr>
            <w:r>
              <w:rPr>
                <w:rFonts w:ascii="Arial" w:cs="Arial" w:eastAsia="Arial" w:hAnsi="Arial"/>
                <w:sz w:val="18"/>
                <w:szCs w:val="18"/>
                <w:color w:val="auto"/>
                <w:w w:val="96"/>
              </w:rPr>
              <w:t>Certain property and equipment,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held for sale</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3,772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ROU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80"/>
        <w:spacing w:after="0" w:line="259"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24, 2020, reflecting certain property and equipment assets and ROU assets for which an impairment loss was recognized during the corresponding periods, as discussed immediately below under “Impairment of Long-Lived Assets and ROU Assets”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w w:val="92"/>
              </w:rPr>
              <w:t>Fair Value Measurements at June 24, 2020 Using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Thirteen Weeks</w:t>
            </w:r>
          </w:p>
        </w:tc>
        <w:tc>
          <w:tcPr>
            <w:tcW w:w="140" w:type="dxa"/>
            <w:vAlign w:val="bottom"/>
          </w:tcPr>
          <w:p>
            <w:pPr>
              <w:spacing w:after="0"/>
              <w:rPr>
                <w:sz w:val="14"/>
                <w:szCs w:val="14"/>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Twenty-Six Weeks</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3040" w:type="dxa"/>
            <w:vAlign w:val="bottom"/>
            <w:tcBorders>
              <w:bottom w:val="single" w:sz="8" w:color="auto"/>
            </w:tcBorders>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Ended June 24, 2020</w:t>
            </w:r>
          </w:p>
        </w:tc>
        <w:tc>
          <w:tcPr>
            <w:tcW w:w="14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Ended June 24, 2020</w:t>
            </w:r>
          </w:p>
        </w:tc>
        <w:tc>
          <w:tcPr>
            <w:tcW w:w="0" w:type="dxa"/>
            <w:vAlign w:val="bottom"/>
          </w:tcPr>
          <w:p>
            <w:pPr>
              <w:spacing w:after="0"/>
              <w:rPr>
                <w:sz w:val="1"/>
                <w:szCs w:val="1"/>
                <w:color w:val="auto"/>
              </w:rPr>
            </w:pPr>
          </w:p>
        </w:tc>
      </w:tr>
      <w:tr>
        <w:trPr>
          <w:trHeight w:val="142"/>
        </w:trPr>
        <w:tc>
          <w:tcPr>
            <w:tcW w:w="2080" w:type="dxa"/>
            <w:vAlign w:val="bottom"/>
            <w:vMerge w:val="restart"/>
          </w:tcPr>
          <w:p>
            <w:pPr>
              <w:spacing w:after="0"/>
              <w:rPr>
                <w:sz w:val="20"/>
                <w:szCs w:val="20"/>
                <w:color w:val="auto"/>
              </w:rPr>
            </w:pPr>
            <w:r>
              <w:rPr>
                <w:rFonts w:ascii="Arial" w:cs="Arial" w:eastAsia="Arial" w:hAnsi="Arial"/>
                <w:sz w:val="18"/>
                <w:szCs w:val="18"/>
                <w:color w:val="auto"/>
              </w:rPr>
              <w:t>Certain property and</w:t>
            </w:r>
          </w:p>
        </w:tc>
        <w:tc>
          <w:tcPr>
            <w:tcW w:w="36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Impairment Losses</w:t>
            </w:r>
          </w:p>
        </w:tc>
        <w:tc>
          <w:tcPr>
            <w:tcW w:w="14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Impairment Losses</w:t>
            </w:r>
          </w:p>
        </w:tc>
        <w:tc>
          <w:tcPr>
            <w:tcW w:w="0" w:type="dxa"/>
            <w:vAlign w:val="bottom"/>
          </w:tcPr>
          <w:p>
            <w:pPr>
              <w:spacing w:after="0"/>
              <w:rPr>
                <w:sz w:val="1"/>
                <w:szCs w:val="1"/>
                <w:color w:val="auto"/>
              </w:rPr>
            </w:pPr>
          </w:p>
        </w:tc>
      </w:tr>
      <w:tr>
        <w:trPr>
          <w:trHeight w:val="182"/>
        </w:trPr>
        <w:tc>
          <w:tcPr>
            <w:tcW w:w="2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equipment, net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Certain ROU assets, net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 and ROU Assets</w:t>
      </w:r>
    </w:p>
    <w:p>
      <w:pPr>
        <w:spacing w:after="0" w:line="229" w:lineRule="exact"/>
        <w:rPr>
          <w:sz w:val="20"/>
          <w:szCs w:val="20"/>
          <w:color w:val="auto"/>
        </w:rPr>
      </w:pPr>
    </w:p>
    <w:p>
      <w:pPr>
        <w:ind w:left="60" w:right="100"/>
        <w:spacing w:after="0" w:line="288" w:lineRule="auto"/>
        <w:rPr>
          <w:sz w:val="20"/>
          <w:szCs w:val="20"/>
          <w:color w:val="auto"/>
        </w:rPr>
      </w:pPr>
      <w:r>
        <w:rPr>
          <w:rFonts w:ascii="Arial" w:cs="Arial" w:eastAsia="Arial" w:hAnsi="Arial"/>
          <w:sz w:val="16"/>
          <w:szCs w:val="16"/>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w:t>
      </w:r>
    </w:p>
    <w:p>
      <w:pPr>
        <w:sectPr>
          <w:pgSz w:w="11900" w:h="16838" w:orient="portrait"/>
          <w:cols w:equalWidth="0" w:num="1">
            <w:col w:w="9020"/>
          </w:cols>
          <w:pgMar w:left="1440" w:top="517" w:right="1439" w:bottom="1440" w:gutter="0" w:footer="0" w:header="0"/>
        </w:sect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and twenty-six weeks ended June 30, 2021 that required an impairment review of certain of the Company’s long-lived and ROU assets. Based on the results of the analysis, the Company recorded non-cash impairment charges of $0.4 million and $0.7 million for the thirteen and twenty-six weeks ended June 30, 2021, respectively, primarily related to the carrying value of the ROU assets of one restaurant in Texas that closed in 2019, the carrying value of the ROU assets of one restaurant in California and the long-lived assets of three restaurants in California.</w:t>
      </w:r>
    </w:p>
    <w:p>
      <w:pPr>
        <w:spacing w:after="0" w:line="16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Company recorded a non-cash impairment charge of $0.1 million and $2.0 million for the thirteen and twenty-six weeks ended June 24, 2020, respectively, primarily related to the carrying value of the ROU assets of one restaurant in Texas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and twenty-six weeks ended June 30, 2021, the Company recognized less than $0.1 million and $0.3 million, respectively, of closed-store reserve expense related to the amortization of ROU assets, property taxes and CAM payments for its closed locations. During the thirteen and twenty-six weeks ended June 24, 2020, the Company recognized $0.4 million and $0.9 million of closed-store reserve expense, respectively, primarily related to the amortization of ROU assets, property taxes and CAM payments for its closed locations.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uses an interest rate swap, a derivative instrument, to hedge interest rate risk and not for trading purposes.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derivative contract is entered into with a financial institution.</w:t>
      </w:r>
    </w:p>
    <w:p>
      <w:pPr>
        <w:spacing w:after="0" w:line="21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77"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June 30, 2021, the counterparty to the Company’s interest rate swap has performed in accordance with its contractual obligation.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84"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170" w:lineRule="exact"/>
        <w:rPr>
          <w:sz w:val="20"/>
          <w:szCs w:val="20"/>
          <w:color w:val="auto"/>
        </w:rPr>
      </w:pPr>
    </w:p>
    <w:p>
      <w:pPr>
        <w:jc w:val="both"/>
        <w:ind w:left="60" w:right="319"/>
        <w:spacing w:after="0" w:line="287" w:lineRule="auto"/>
        <w:rPr>
          <w:sz w:val="20"/>
          <w:szCs w:val="20"/>
          <w:color w:val="auto"/>
        </w:rPr>
      </w:pPr>
      <w:r>
        <w:rPr>
          <w:rFonts w:ascii="Arial" w:cs="Arial" w:eastAsia="Arial" w:hAnsi="Arial"/>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94"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color w:val="auto"/>
        </w:rPr>
        <w:t>The Company’s policy is to recognize interest and penalties related to income tax matters in income tax expense. The Company had no accrual for interest or penalties at June 30, 2021 or at December 30, 2020. During fiscal 2020 the Company recognized interest of $0.1 million related to the Notice of Proposed Adjustment (“NOPA”), discussed below. The Company did not recognize interest or penalties during the thirteen and twenty-six weeks ended June 24, 2020, since there were no material unrecognized tax benefits. Management believes no significant changes to the amount of unrecognized tax benefits will occur within the next twelve months.</w:t>
      </w:r>
    </w:p>
    <w:p>
      <w:pPr>
        <w:spacing w:after="0" w:line="178"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twenty-six weeks ended June 30, 2021, the Company recorded income tax receivable agreement expense of less than $0.1 million and income tax receivable agreement income of less than $0.1 million, respectively, and for the thirteen and twenty-six weeks ended June 24, 2020, the Company recorded income tax receivable agreement expense of $0.3 million and $0.2 million, respectively, related to the amortization of interest expense related to the total expected TRA payments and changes in estimates for actual tax returns filed and future forecasted taxable income.</w:t>
      </w:r>
    </w:p>
    <w:p>
      <w:pPr>
        <w:spacing w:after="0" w:line="196"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a law a stimulus package, which contains several tax provisions and deferral of employer Social Security taxes that are otherwise owed for wage payments. The tax provisions include a correction of a previous drafting error related to quality improvement property (“QIP”) and immediate refundability of all remaining alternative minimum tax (“AMT”) credits. The new provisions did not have a material impact on the Company’s condensed consolidated financial statements.</w:t>
      </w:r>
    </w:p>
    <w:p>
      <w:pPr>
        <w:spacing w:after="0" w:line="16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During fiscal 2020, the Company received a NOPA for the years ended December 27, 2017 and December 28, 2016, related to the Company’s methodology regarding its ordering of utilization of AMT NOLs. This resulted in a payment of $0.4 million, and the audit is closed. As a result of the CARES Act, this amount was immediately refundable upon filing of a Form 1139, which the Company filed during the twenty-six weeks ended June 30, 2021 and received a refund totaling $0.5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30, 2020</w:t>
            </w:r>
          </w:p>
        </w:tc>
      </w:tr>
      <w:tr>
        <w:trPr>
          <w:trHeight w:val="209"/>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147,939</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77,177</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r>
      <w:tr>
        <w:trPr>
          <w:trHeight w:val="209"/>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235,277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241,006</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00" w:type="dxa"/>
            <w:vAlign w:val="bottom"/>
            <w:gridSpan w:val="2"/>
          </w:tcPr>
          <w:p>
            <w:pPr>
              <w:jc w:val="right"/>
              <w:ind w:right="3070"/>
              <w:spacing w:after="0"/>
              <w:rPr>
                <w:sz w:val="20"/>
                <w:szCs w:val="20"/>
                <w:color w:val="auto"/>
              </w:rPr>
            </w:pPr>
            <w:r>
              <w:rPr>
                <w:rFonts w:ascii="Arial" w:cs="Arial" w:eastAsia="Arial" w:hAnsi="Arial"/>
                <w:sz w:val="18"/>
                <w:szCs w:val="18"/>
                <w:color w:val="auto"/>
                <w:w w:val="89"/>
              </w:rPr>
              <w:t>Less: accumulated depreciation and amortization</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(161,062)</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(161,364)</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Depreciation expense was $3.9 million and $4.2 million for the thirteen weeks ended June 30, 2021 and June 24, 2020, respectively, and $7.9 million and $8.5 million for the twenty-six weeks ended June 30, 2021 and June 24, 2020, respectively.</w:t>
      </w:r>
    </w:p>
    <w:p>
      <w:pPr>
        <w:spacing w:after="0" w:line="18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Based on the Company’s review of its long-lived assets for impairment, the Company recorded non-cash impairment charges of less than $0.1 million and $0.3 million for the thirteen and twenty-six weeks ended June 30, 2021, respectively, primarily related to the carrying value of the assets of three restaurants in California. During the thirteen and twenty-six weeks ended June 24, 2020, the Company recorded non-cash impairment charges of $0.1 million and $1.4 million, respectively, primarily related to the carrying value of the assets of three restaurants in California. D</w:t>
      </w:r>
      <w:r>
        <w:rPr>
          <w:rFonts w:ascii="Arial" w:cs="Arial" w:eastAsia="Arial" w:hAnsi="Arial"/>
          <w:sz w:val="16"/>
          <w:szCs w:val="16"/>
          <w:color w:val="212529"/>
        </w:rPr>
        <w:t>epending on the</w:t>
      </w:r>
      <w:r>
        <w:rPr>
          <w:rFonts w:ascii="Arial" w:cs="Arial" w:eastAsia="Arial" w:hAnsi="Arial"/>
          <w:sz w:val="16"/>
          <w:szCs w:val="16"/>
          <w:color w:val="auto"/>
        </w:rPr>
        <w:t xml:space="preserve"> </w:t>
      </w:r>
      <w:r>
        <w:rPr>
          <w:rFonts w:ascii="Arial" w:cs="Arial" w:eastAsia="Arial" w:hAnsi="Arial"/>
          <w:sz w:val="16"/>
          <w:szCs w:val="16"/>
          <w:color w:val="212529"/>
        </w:rPr>
        <w:t xml:space="preserve">severity and longevity of the COVID-19 pandemic, </w:t>
      </w:r>
      <w:r>
        <w:rPr>
          <w:rFonts w:ascii="Arial" w:cs="Arial" w:eastAsia="Arial" w:hAnsi="Arial"/>
          <w:sz w:val="16"/>
          <w:szCs w:val="16"/>
          <w:color w:val="000000"/>
        </w:rPr>
        <w:t>the Company’s financial performance could be further impacted and it</w:t>
      </w:r>
      <w:r>
        <w:rPr>
          <w:rFonts w:ascii="Arial" w:cs="Arial" w:eastAsia="Arial" w:hAnsi="Arial"/>
          <w:sz w:val="16"/>
          <w:szCs w:val="16"/>
          <w:color w:val="212529"/>
        </w:rPr>
        <w:t xml:space="preserve"> </w:t>
      </w:r>
      <w:r>
        <w:rPr>
          <w:rFonts w:ascii="Arial" w:cs="Arial" w:eastAsia="Arial" w:hAnsi="Arial"/>
          <w:sz w:val="16"/>
          <w:szCs w:val="16"/>
          <w:color w:val="000000"/>
        </w:rPr>
        <w:t>is possible that material impairments could be identified in future periods. See Note 1, “Basis of Presentation and Summary of Significant Accounting Policies – Impairment of Long-Lived Assets and ROU Assets” for additional information.</w:t>
      </w:r>
    </w:p>
    <w:p>
      <w:pPr>
        <w:spacing w:after="0" w:line="165" w:lineRule="exact"/>
        <w:rPr>
          <w:sz w:val="20"/>
          <w:szCs w:val="20"/>
          <w:color w:val="auto"/>
        </w:rPr>
      </w:pPr>
    </w:p>
    <w:p>
      <w:pPr>
        <w:ind w:left="60" w:right="239"/>
        <w:spacing w:after="0" w:line="291" w:lineRule="auto"/>
        <w:rPr>
          <w:sz w:val="20"/>
          <w:szCs w:val="20"/>
          <w:color w:val="auto"/>
        </w:rPr>
      </w:pPr>
      <w:r>
        <w:rPr>
          <w:rFonts w:ascii="Arial" w:cs="Arial" w:eastAsia="Arial" w:hAnsi="Arial"/>
          <w:sz w:val="16"/>
          <w:szCs w:val="16"/>
          <w:color w:val="auto"/>
        </w:rPr>
        <w:t xml:space="preserve">Assets are classified as held for sale if they meet the criteria outlined in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In accordance with applicable accounting guidance, the net assets were recorded at the lower of carrying value or fair value less costs to sell. The Company classified $3.8 million of assets as held for sale as of June30, 2021, and recognized a loss on held for sale assets of $1.5 million for the thirteen and twenty-six weeks ended June 30, 2021. Prior to June 30, 2021, the Company received $4.6 million of cash primarily representing the purchase price of the transaction. The funds were recorded within the Company’s cash and cash equivalents and other accrued expenses and current liabilities within the condensed consolidated balance sheet. The eight restaurants were sold subsequent to June 30, 2021.</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At June 30, 2021, options to purchase 1,153,946 shares of common stock were outstanding, including 702,831 vested and 451,115 unvested. Unvested options vest over time; however, upon a change in control, the Board of Directors may accelerate vesting. At June 30, 2021, 243,950 premium options, which are options granted above the stock price at date of grant, remained outstanding. A summary of stock option activity as of June 30, 2021 and changes during the twenty-six weeks ended June 30, 2021 is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30,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1,030,866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Grants</w:t>
            </w:r>
          </w:p>
        </w:tc>
        <w:tc>
          <w:tcPr>
            <w:tcW w:w="840" w:type="dxa"/>
            <w:vAlign w:val="bottom"/>
          </w:tcPr>
          <w:p>
            <w:pPr>
              <w:jc w:val="right"/>
              <w:spacing w:after="0"/>
              <w:rPr>
                <w:sz w:val="20"/>
                <w:szCs w:val="20"/>
                <w:color w:val="auto"/>
              </w:rPr>
            </w:pPr>
            <w:r>
              <w:rPr>
                <w:rFonts w:ascii="Arial" w:cs="Arial" w:eastAsia="Arial" w:hAnsi="Arial"/>
                <w:sz w:val="18"/>
                <w:szCs w:val="18"/>
                <w:color w:val="auto"/>
              </w:rPr>
              <w:t>256,172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15.99</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June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1,153,946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June 30, 2021</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Arial" w:cs="Arial" w:eastAsia="Arial" w:hAnsi="Arial"/>
                <w:sz w:val="18"/>
                <w:szCs w:val="18"/>
                <w:color w:val="auto"/>
              </w:rPr>
              <w:t>6.14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35"/>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1,146,295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June 30, 2021</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702,831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4.54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24, 2020</w:t>
            </w: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 %</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At June 30, 2021, the Company had total unrecognized compensation expense of $2.4 million related to unvested stock options, which it expects to recognize over a weighted-average period of 3.21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 summary of restricted share activity as of June 30, 2021 and changes during the twenty-six weeks ended June 30, 2021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30,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182,059</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(202,047)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(45,448)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June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Unvested shares at June 30, 2021 included 616,871 unvested restricted shares, 36,058 unvested performance stock units and 24,039 unvested restricted units.</w:t>
      </w:r>
    </w:p>
    <w:p>
      <w:pPr>
        <w:spacing w:after="0" w:line="170"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At June 30, 2021, the Company had unrecognized compensation expense of $7.4 million related to unvested restricted shares, which it expects to recognize over a weighted-average period of 2.87 years, unrecognized compensation expense of $0.1 million related to performance stock units, which it expects to recognize over a weighted-average period of 1.86 years, and unrecognized compensation expense of $0.2 million related to unvested restricted units, which it expects to recognize over a weighted-average period of 0.86 years.</w:t>
      </w:r>
    </w:p>
    <w:p>
      <w:pPr>
        <w:spacing w:after="0" w:line="18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Total stock-based compensation expense was $1.0 million and $1.9 million for the thirteen and twenty-six weeks ended June 30, 2021, respectively, and $0.7 million and $1.3 million for the thirteen and twenty-six weeks ended June 24, 2020,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139" w:hanging="10"/>
        <w:spacing w:after="0" w:line="281" w:lineRule="auto"/>
        <w:tabs>
          <w:tab w:leader="none" w:pos="32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1.35% to 1.36% and 1.35% to 1.65%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thirteen and twenty-six weeks ended June 30, 2021 respectively, and 1.67% to 3.11% and 1.67% to 3.29% for the thirteen and twenty-six weeks ended June 24, 2020, respectively.</w:t>
      </w:r>
    </w:p>
    <w:p>
      <w:pPr>
        <w:spacing w:after="0" w:line="170"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The 2018 Credit Agreement contains certain financial covenants. The Company was in compliance with the financial covenants as of June 30, 2021.</w:t>
      </w:r>
    </w:p>
    <w:p>
      <w:pPr>
        <w:spacing w:after="0" w:line="170"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At June 30, 2021, $8.4 million of letters of credit and $40.0 million in borrowings under the 2018 Revolver were outstanding. The Company had $101.6 million in borrowing availability under the 2018 Revolver at June 30,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During the thirteen and twenty-six weeks ended June 30, 2021, the Company elected to pay down $13.8 million and $22.8 million, respectively, on its 2018 Revolver. During the thirteen weeks ended June 24, 2020, the Company elected to pay down $2.7 million on its 2018 Revolver. During the twenty-six weeks ended June 24, 2020, the Company borrowed $41.8 million, net of pay downs of $10.7 million on the Company’s 2018 Revolver, primarily as a precautionary measure to bolster its existing cash position, related to the uncertainty regarding the COVID-19 pandemic, as well as to fund settlement payments. There are no required principal payments prior to maturity for the 2018 Revolver.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was 1.5% for the thirteen weeks ended March 31, 2021. The interest rate swap was designated as a cash flow hedge, as the changes in the future cash flows of the swap were expected to offset changes in expected future interest payments on the related variable-rate debt, in accordance with ASC 815 “Derivatives and Hedging.”</w:t>
      </w:r>
    </w:p>
    <w:p>
      <w:pPr>
        <w:spacing w:after="0" w:line="178"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twenty-six weeks ended June 30, 2021, the swap was a highly effective cash flow hedge.</w:t>
      </w:r>
    </w:p>
    <w:p>
      <w:pPr>
        <w:spacing w:after="0" w:line="225" w:lineRule="exact"/>
        <w:rPr>
          <w:sz w:val="20"/>
          <w:szCs w:val="20"/>
          <w:color w:val="auto"/>
        </w:rPr>
      </w:pPr>
    </w:p>
    <w:p>
      <w:pPr>
        <w:ind w:left="60" w:right="639"/>
        <w:spacing w:after="0" w:line="308" w:lineRule="auto"/>
        <w:rPr>
          <w:sz w:val="20"/>
          <w:szCs w:val="20"/>
          <w:color w:val="auto"/>
        </w:rPr>
      </w:pPr>
      <w:r>
        <w:rPr>
          <w:rFonts w:ascii="Arial" w:cs="Arial" w:eastAsia="Arial" w:hAnsi="Arial"/>
          <w:sz w:val="17"/>
          <w:szCs w:val="17"/>
          <w:color w:val="auto"/>
        </w:rPr>
        <w:t>As of June 30, 2021, the estimated net loss included in AOCI related to the Company’s cash flow hedge that will be reclassified into earnings in the next 12 months is $0.5 million, based on current LIBOR interest rates.</w:t>
      </w:r>
    </w:p>
    <w:p>
      <w:pPr>
        <w:spacing w:after="0" w:line="14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condensed consolidated balance sheets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December 30, 2020</w:t>
            </w:r>
          </w:p>
        </w:tc>
      </w:tr>
      <w:tr>
        <w:trPr>
          <w:trHeight w:val="142"/>
        </w:trPr>
        <w:tc>
          <w:tcPr>
            <w:tcW w:w="5400" w:type="dxa"/>
            <w:vAlign w:val="bottom"/>
          </w:tcPr>
          <w:p>
            <w:pPr>
              <w:spacing w:after="0"/>
              <w:rPr>
                <w:sz w:val="12"/>
                <w:szCs w:val="12"/>
                <w:color w:val="auto"/>
              </w:rPr>
            </w:pPr>
          </w:p>
        </w:tc>
        <w:tc>
          <w:tcPr>
            <w:tcW w:w="8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Notional</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Notional</w:t>
            </w: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 Interest rate swap</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6"/>
              </w:rPr>
              <w:t>$ 40,000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6"/>
              </w:rPr>
              <w:t>$ 40,000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1,139</w:t>
            </w: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17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3"/>
              </w:rPr>
              <w:t>Twenty-Six Weeks Ended</w:t>
            </w:r>
          </w:p>
        </w:tc>
      </w:tr>
      <w:tr>
        <w:trPr>
          <w:trHeight w:val="142"/>
        </w:trPr>
        <w:tc>
          <w:tcPr>
            <w:tcW w:w="510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24, 2020</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hedged portion of debt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1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on interest rate swap</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on debt and derivatives, net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AOCI for the thirteen and twenty-six weeks ended June 30, 2021 and June 24,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Thirteen Weeks Ended</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Twenty-Six Weeks Ended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40" w:type="dxa"/>
            <w:vAlign w:val="bottom"/>
            <w:gridSpan w:val="4"/>
          </w:tcPr>
          <w:p>
            <w:pPr>
              <w:jc w:val="right"/>
              <w:ind w:right="110"/>
              <w:spacing w:after="0" w:line="119" w:lineRule="exact"/>
              <w:rPr>
                <w:sz w:val="20"/>
                <w:szCs w:val="20"/>
                <w:color w:val="auto"/>
              </w:rPr>
            </w:pPr>
            <w:r>
              <w:rPr>
                <w:rFonts w:ascii="Arial" w:cs="Arial" w:eastAsia="Arial" w:hAnsi="Arial"/>
                <w:sz w:val="13"/>
                <w:szCs w:val="13"/>
                <w:b w:val="1"/>
                <w:bCs w:val="1"/>
                <w:color w:val="auto"/>
                <w:w w:val="99"/>
              </w:rPr>
              <w:t>Loss Reclassified from</w:t>
            </w:r>
          </w:p>
        </w:tc>
        <w:tc>
          <w:tcPr>
            <w:tcW w:w="140" w:type="dxa"/>
            <w:vAlign w:val="bottom"/>
          </w:tcPr>
          <w:p>
            <w:pPr>
              <w:spacing w:after="0"/>
              <w:rPr>
                <w:sz w:val="10"/>
                <w:szCs w:val="10"/>
                <w:color w:val="auto"/>
              </w:rPr>
            </w:pPr>
          </w:p>
        </w:tc>
        <w:tc>
          <w:tcPr>
            <w:tcW w:w="23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Net Gain (Loss) Recognized in OCI</w:t>
            </w:r>
          </w:p>
        </w:tc>
        <w:tc>
          <w:tcPr>
            <w:tcW w:w="140" w:type="dxa"/>
            <w:vAlign w:val="bottom"/>
          </w:tcPr>
          <w:p>
            <w:pPr>
              <w:spacing w:after="0"/>
              <w:rPr>
                <w:sz w:val="10"/>
                <w:szCs w:val="10"/>
                <w:color w:val="auto"/>
              </w:rPr>
            </w:pPr>
          </w:p>
        </w:tc>
        <w:tc>
          <w:tcPr>
            <w:tcW w:w="1900" w:type="dxa"/>
            <w:vAlign w:val="bottom"/>
            <w:gridSpan w:val="4"/>
          </w:tcPr>
          <w:p>
            <w:pPr>
              <w:jc w:val="center"/>
              <w:ind w:right="39"/>
              <w:spacing w:after="0" w:line="119" w:lineRule="exact"/>
              <w:rPr>
                <w:sz w:val="20"/>
                <w:szCs w:val="20"/>
                <w:color w:val="auto"/>
              </w:rPr>
            </w:pPr>
            <w:r>
              <w:rPr>
                <w:rFonts w:ascii="Arial" w:cs="Arial" w:eastAsia="Arial" w:hAnsi="Arial"/>
                <w:sz w:val="13"/>
                <w:szCs w:val="13"/>
                <w:b w:val="1"/>
                <w:bCs w:val="1"/>
                <w:color w:val="auto"/>
                <w:w w:val="96"/>
              </w:rPr>
              <w:t>Loss Reclassified from</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3700" w:type="dxa"/>
            <w:vAlign w:val="bottom"/>
            <w:gridSpan w:val="10"/>
          </w:tcPr>
          <w:p>
            <w:pPr>
              <w:ind w:left="20"/>
              <w:spacing w:after="0"/>
              <w:rPr>
                <w:sz w:val="20"/>
                <w:szCs w:val="20"/>
                <w:color w:val="auto"/>
              </w:rPr>
            </w:pPr>
            <w:r>
              <w:rPr>
                <w:rFonts w:ascii="Arial" w:cs="Arial" w:eastAsia="Arial" w:hAnsi="Arial"/>
                <w:sz w:val="14"/>
                <w:szCs w:val="14"/>
                <w:b w:val="1"/>
                <w:bCs w:val="1"/>
                <w:color w:val="auto"/>
                <w:w w:val="99"/>
              </w:rPr>
              <w:t>Net Loss Recognized in OCI AOCI into Interest expense</w:t>
            </w:r>
          </w:p>
        </w:tc>
        <w:tc>
          <w:tcPr>
            <w:tcW w:w="238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3"/>
              </w:rPr>
              <w:t>AOCI into Interest expense</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8"/>
              </w:rPr>
              <w:t>June 30, 2021</w:t>
            </w:r>
          </w:p>
        </w:tc>
        <w:tc>
          <w:tcPr>
            <w:tcW w:w="178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June 24, 2020June 30, 2021</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June 24, 2020</w:t>
            </w:r>
          </w:p>
        </w:tc>
        <w:tc>
          <w:tcPr>
            <w:tcW w:w="14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0" w:type="dxa"/>
            <w:vAlign w:val="bottom"/>
          </w:tcPr>
          <w:p>
            <w:pPr>
              <w:spacing w:after="0"/>
              <w:rPr>
                <w:sz w:val="1"/>
                <w:szCs w:val="1"/>
                <w:color w:val="auto"/>
              </w:rPr>
            </w:pPr>
          </w:p>
        </w:tc>
      </w:tr>
      <w:tr>
        <w:trPr>
          <w:trHeight w:val="182"/>
        </w:trPr>
        <w:tc>
          <w:tcPr>
            <w:tcW w:w="8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Interest</w:t>
            </w:r>
          </w:p>
        </w:tc>
        <w:tc>
          <w:tcPr>
            <w:tcW w:w="3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swap</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See Note 1, “Basis of Presentation and Summary of Significant Accounting Policies” for information about the fair value of the Company’s derivative asset.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June 30, 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30, 2020</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Gift card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legal settlements and professional fees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franchise and development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payment deferrals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Deposit received on assets held for sale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Employer social security tax deferral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7"/>
          </w:tcPr>
          <w:p>
            <w:pPr>
              <w:jc w:val="right"/>
              <w:spacing w:after="0"/>
              <w:rPr>
                <w:sz w:val="20"/>
                <w:szCs w:val="20"/>
                <w:color w:val="auto"/>
              </w:rPr>
            </w:pPr>
            <w:r>
              <w:rPr>
                <w:rFonts w:ascii="Arial" w:cs="Arial" w:eastAsia="Arial" w:hAnsi="Arial"/>
                <w:sz w:val="14"/>
                <w:szCs w:val="14"/>
                <w:b w:val="1"/>
                <w:bCs w:val="1"/>
                <w:color w:val="auto"/>
                <w:w w:val="97"/>
              </w:rPr>
              <w:t>June 30, 2021   December 30, 2020</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franchise and development fees</w:t>
            </w:r>
          </w:p>
        </w:tc>
        <w:tc>
          <w:tcPr>
            <w:tcW w:w="9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Derivative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Employer social security tax deferral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 xml:space="preserve">On or about February 24, 2014, a former employee filed a class action in the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w:t>
      </w:r>
      <w:r>
        <w:rPr>
          <w:rFonts w:ascii="Arial" w:cs="Arial" w:eastAsia="Arial" w:hAnsi="Arial"/>
          <w:sz w:val="17"/>
          <w:szCs w:val="17"/>
          <w:u w:val="single" w:color="auto"/>
          <w:color w:val="auto"/>
        </w:rPr>
        <w:t>Olvera</w:t>
      </w:r>
      <w:r>
        <w:rPr>
          <w:rFonts w:ascii="Arial" w:cs="Arial" w:eastAsia="Arial" w:hAnsi="Arial"/>
          <w:sz w:val="17"/>
          <w:szCs w:val="17"/>
          <w:color w:val="auto"/>
        </w:rPr>
        <w:t>, as well as all claims for failure to pay overtime compensation, failure to</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 xml:space="preserve">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w:t>
      </w:r>
      <w:r>
        <w:rPr>
          <w:rFonts w:ascii="Arial" w:cs="Arial" w:eastAsia="Arial" w:hAnsi="Arial"/>
          <w:sz w:val="16"/>
          <w:szCs w:val="16"/>
          <w:color w:val="auto"/>
        </w:rPr>
        <w:t xml:space="preserve"> actions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7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8"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Following discovery related to the SLC’s motion, on September 25, 2020, the SLC filed a motion to dismiss the Diep action. On April 23, 2021, the court held a hearing on the SLC’s motion to dismiss, and, on May 21, 2021, the Company filed a notice of proposed partial settlement of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Subject to the approval of the court, the proposed settlement payment of $625,000 in cash by individual defendants will resolve all claims brought, or that could have been brought, against such defendants. The Company believes that the gain has currently not been realized or considered realizable under ASC 450, "Contingencies", and as</w:t>
      </w:r>
    </w:p>
    <w:p>
      <w:pPr>
        <w:spacing w:after="0" w:line="4" w:lineRule="exact"/>
        <w:rPr>
          <w:sz w:val="20"/>
          <w:szCs w:val="20"/>
          <w:color w:val="auto"/>
        </w:rPr>
      </w:pPr>
    </w:p>
    <w:p>
      <w:pPr>
        <w:ind w:left="60" w:right="419"/>
        <w:spacing w:after="0" w:line="290" w:lineRule="auto"/>
        <w:rPr>
          <w:sz w:val="20"/>
          <w:szCs w:val="20"/>
          <w:color w:val="auto"/>
        </w:rPr>
      </w:pPr>
      <w:r>
        <w:rPr>
          <w:rFonts w:ascii="Arial" w:cs="Arial" w:eastAsia="Arial" w:hAnsi="Arial"/>
          <w:sz w:val="17"/>
          <w:szCs w:val="17"/>
          <w:color w:val="auto"/>
        </w:rPr>
        <w:t>of June 30, 2021, no entries have been recorded with regard to this case. On July 30, 2021, the court granted the SLC’s motion to dismiss with respect to the claims asserted against Trimaran Pollo Partners, LLC.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Janice P. Handlers-Bryman and Michael D. Bryman v. El Pollo Loco, Inc.</w:t>
      </w:r>
      <w:r>
        <w:rPr>
          <w:rFonts w:ascii="Arial" w:cs="Arial" w:eastAsia="Arial" w:hAnsi="Arial"/>
          <w:sz w:val="18"/>
          <w:szCs w:val="18"/>
          <w:color w:val="auto"/>
        </w:rPr>
        <w:t>, Los Angeles Superior Court (Case</w:t>
      </w:r>
    </w:p>
    <w:p>
      <w:pPr>
        <w:spacing w:after="0" w:line="23"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72"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7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w:t>
      </w:r>
    </w:p>
    <w:p>
      <w:pPr>
        <w:spacing w:after="0" w:line="184"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w:t>
      </w:r>
    </w:p>
    <w:p>
      <w:pPr>
        <w:spacing w:after="0" w:line="1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During fiscal 2020, the Company reached an agreement with the Plaintiffs to resolve the lawsuit for a payment by the Company of $2.5 million, which was recorded within operating expenses in the Company’s statement of operations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in the third quarter of 2020 and the appeal bond has been released.</w:t>
      </w:r>
    </w:p>
    <w:p>
      <w:pPr>
        <w:spacing w:after="0" w:line="19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left="60" w:right="300"/>
        <w:spacing w:after="0" w:line="25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2021, the Company’s total estimated commitment to purchase chicken was $18.1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left="60" w:right="120"/>
        <w:spacing w:after="0" w:line="287"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June 30, 2021, the potential amount of undiscounted payments the Company could be required to make in the event of non-payment by the primary lessee was $2.7 million. The present value of these potential payments discounted at the Company’s estimated pre-tax cost of debt at June 30, 2021 was $2.5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the impact it has had on the ability of the Company’s franchisees to make their lease payments, the Company has recorded a $0.1 million liability in the Company’s condensed consolidated financial statements related to these contingent liabilities.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500"/>
        <w:spacing w:after="0" w:line="263" w:lineRule="auto"/>
        <w:rPr>
          <w:sz w:val="20"/>
          <w:szCs w:val="20"/>
          <w:color w:val="auto"/>
        </w:rPr>
      </w:pPr>
      <w:r>
        <w:rPr>
          <w:rFonts w:ascii="Arial" w:cs="Arial" w:eastAsia="Arial" w:hAnsi="Arial"/>
          <w:sz w:val="18"/>
          <w:szCs w:val="18"/>
          <w:color w:val="auto"/>
        </w:rPr>
        <w:t>The Company has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180"/>
        <w:spacing w:after="0" w:line="257"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ind w:left="60" w:right="200"/>
        <w:spacing w:after="0" w:line="259"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and twenty-six weeks ended June 30, 2021 and June 24, 2020. Diluted EPS is calculated using the weighted-average number of shares of common stock outstanding and potentially dilutive during the period, using the treasury stock method.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basic and diluted EPS data for the periods indicated (in thousands except for share and per share data):</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w:t>
            </w:r>
          </w:p>
        </w:tc>
        <w:tc>
          <w:tcPr>
            <w:tcW w:w="14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35,927,781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34,836,410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35,861,493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34,747,785</w:t>
            </w: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36,416,686</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35,410,198</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36,423,394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35,382,607</w:t>
            </w:r>
          </w:p>
        </w:tc>
        <w:tc>
          <w:tcPr>
            <w:tcW w:w="140" w:type="dxa"/>
            <w:vAlign w:val="bottom"/>
            <w:shd w:val="clear" w:color="auto" w:fill="CCEEFF"/>
          </w:tcPr>
          <w:p>
            <w:pPr>
              <w:spacing w:after="0"/>
              <w:rPr>
                <w:sz w:val="18"/>
                <w:szCs w:val="18"/>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8"/>
                <w:szCs w:val="18"/>
                <w:color w:val="auto"/>
              </w:rPr>
              <w:t>Net income per share—basic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60"/>
          </w:cols>
          <w:pgMar w:left="1440" w:top="517" w:right="1399" w:bottom="1440" w:gutter="0" w:footer="0" w:header="0"/>
        </w:sect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r>
      <w:tr>
        <w:trPr>
          <w:trHeight w:val="182"/>
        </w:trPr>
        <w:tc>
          <w:tcPr>
            <w:tcW w:w="4540" w:type="dxa"/>
            <w:vAlign w:val="bottom"/>
          </w:tcPr>
          <w:p>
            <w:pPr>
              <w:ind w:left="20"/>
              <w:spacing w:after="0" w:line="182" w:lineRule="exact"/>
              <w:rPr>
                <w:sz w:val="20"/>
                <w:szCs w:val="20"/>
                <w:color w:val="auto"/>
              </w:rPr>
            </w:pPr>
            <w:r>
              <w:rPr>
                <w:rFonts w:ascii="Arial" w:cs="Arial" w:eastAsia="Arial" w:hAnsi="Arial"/>
                <w:sz w:val="18"/>
                <w:szCs w:val="18"/>
                <w:color w:val="auto"/>
              </w:rPr>
              <w:t>Anti-dilutive securities not considered in diluted EPS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calculation</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138,117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545,881</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65,798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565,118</w:t>
            </w:r>
          </w:p>
        </w:tc>
        <w:tc>
          <w:tcPr>
            <w:tcW w:w="120" w:type="dxa"/>
            <w:vAlign w:val="bottom"/>
          </w:tcPr>
          <w:p>
            <w:pPr>
              <w:spacing w:after="0"/>
              <w:rPr>
                <w:sz w:val="20"/>
                <w:szCs w:val="20"/>
                <w:color w:val="auto"/>
              </w:rPr>
            </w:pPr>
          </w:p>
        </w:tc>
      </w:tr>
      <w:tr>
        <w:trPr>
          <w:trHeight w:val="426"/>
        </w:trPr>
        <w:tc>
          <w:tcPr>
            <w:tcW w:w="4540" w:type="dxa"/>
            <w:vAlign w:val="bottom"/>
          </w:tcPr>
          <w:p>
            <w:pPr>
              <w:ind w:left="20"/>
              <w:spacing w:after="0"/>
              <w:rPr>
                <w:sz w:val="20"/>
                <w:szCs w:val="20"/>
                <w:color w:val="auto"/>
              </w:rPr>
            </w:pPr>
            <w:r>
              <w:rPr>
                <w:rFonts w:ascii="Arial" w:cs="Arial" w:eastAsia="Arial" w:hAnsi="Arial"/>
                <w:sz w:val="18"/>
                <w:szCs w:val="18"/>
                <w:color w:val="auto"/>
                <w:w w:val="96"/>
              </w:rPr>
              <w:t>Below is a reconciliation of basic and diluted share counts: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26"/>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Thirteen Weeks Ended</w:t>
            </w:r>
          </w:p>
        </w:tc>
        <w:tc>
          <w:tcPr>
            <w:tcW w:w="140" w:type="dxa"/>
            <w:vAlign w:val="bottom"/>
          </w:tcPr>
          <w:p>
            <w:pPr>
              <w:spacing w:after="0"/>
              <w:rPr>
                <w:sz w:val="24"/>
                <w:szCs w:val="24"/>
                <w:color w:val="auto"/>
              </w:rPr>
            </w:pPr>
          </w:p>
        </w:tc>
        <w:tc>
          <w:tcPr>
            <w:tcW w:w="2180" w:type="dxa"/>
            <w:vAlign w:val="bottom"/>
            <w:gridSpan w:val="8"/>
          </w:tcPr>
          <w:p>
            <w:pPr>
              <w:ind w:left="18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4"/>
              </w:rPr>
              <w:t>June 30, 2021</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Pr>
          <w:p>
            <w:pPr>
              <w:spacing w:after="0"/>
              <w:rPr>
                <w:sz w:val="12"/>
                <w:szCs w:val="12"/>
                <w:color w:val="auto"/>
              </w:rPr>
            </w:pPr>
          </w:p>
        </w:tc>
        <w:tc>
          <w:tcPr>
            <w:tcW w:w="102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June 30, 2021</w:t>
            </w: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260" w:type="dxa"/>
            <w:vAlign w:val="bottom"/>
            <w:gridSpan w:val="2"/>
          </w:tcPr>
          <w:p>
            <w:pPr>
              <w:spacing w:after="0"/>
              <w:rPr>
                <w:sz w:val="12"/>
                <w:szCs w:val="12"/>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35,927,781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34,836,410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35,861,493</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34,747,785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and restricted shares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488,905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573,788</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561,901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634,822</w:t>
            </w:r>
          </w:p>
        </w:tc>
        <w:tc>
          <w:tcPr>
            <w:tcW w:w="140" w:type="dxa"/>
            <w:vAlign w:val="bottom"/>
            <w:tcBorders>
              <w:bottom w:val="single" w:sz="8" w:color="CCEEFF"/>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36,416,686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35,410,198</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36,423,394</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35,382,607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left="60" w:right="120"/>
        <w:spacing w:after="0" w:line="284" w:lineRule="auto"/>
        <w:rPr>
          <w:sz w:val="20"/>
          <w:szCs w:val="20"/>
          <w:color w:val="auto"/>
        </w:rPr>
      </w:pPr>
      <w:r>
        <w:rPr>
          <w:rFonts w:ascii="Arial" w:cs="Arial" w:eastAsia="Arial" w:hAnsi="Arial"/>
          <w:sz w:val="16"/>
          <w:szCs w:val="16"/>
          <w:color w:val="auto"/>
        </w:rPr>
        <w:t>Trimaran Pollo Partners, L.L.C. (“LLC”) owns approximately 45.7% of the Company’s outstanding common stock. This large position means that LLC and its majority owners—predecessors and affiliates of, and certain funds managed by, Trimaran Capital Partners and Freeman Spogli &amp; Co. (collectively, “Trimaran” and “Freeman Spogli,” respectively)— 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w:t>
      </w:r>
    </w:p>
    <w:p>
      <w:pPr>
        <w:spacing w:after="0" w:line="2" w:lineRule="exact"/>
        <w:rPr>
          <w:sz w:val="20"/>
          <w:szCs w:val="20"/>
          <w:color w:val="auto"/>
        </w:rPr>
      </w:pPr>
    </w:p>
    <w:p>
      <w:pPr>
        <w:ind w:left="60" w:right="120" w:hanging="10"/>
        <w:spacing w:after="0" w:line="29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58" w:lineRule="exact"/>
        <w:rPr>
          <w:sz w:val="20"/>
          <w:szCs w:val="20"/>
          <w:color w:val="auto"/>
        </w:rPr>
      </w:pPr>
    </w:p>
    <w:p>
      <w:pPr>
        <w:ind w:left="60" w:right="4360" w:hanging="10"/>
        <w:spacing w:after="0" w:line="503" w:lineRule="auto"/>
        <w:tabs>
          <w:tab w:leader="none" w:pos="33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left="60" w:right="220"/>
        <w:spacing w:after="0" w:line="263"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84" w:lineRule="exact"/>
        <w:rPr>
          <w:sz w:val="20"/>
          <w:szCs w:val="20"/>
          <w:color w:val="auto"/>
        </w:rPr>
      </w:pPr>
    </w:p>
    <w:p>
      <w:pPr>
        <w:ind w:left="60" w:right="120"/>
        <w:spacing w:after="0" w:line="286" w:lineRule="auto"/>
        <w:rPr>
          <w:sz w:val="20"/>
          <w:szCs w:val="20"/>
          <w:color w:val="auto"/>
        </w:rPr>
      </w:pPr>
      <w:r>
        <w:rPr>
          <w:rFonts w:ascii="Arial" w:cs="Arial" w:eastAsia="Arial" w:hAnsi="Arial"/>
          <w:sz w:val="16"/>
          <w:szCs w:val="16"/>
          <w:color w:val="auto"/>
        </w:rPr>
        <w:t>The Company offers a loyalty rewards program, which awards a customer points for dollars spent.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June 30, 2021 and December 30, 2020, the revenue allocated to loyalty points that have not been redeemed was $0.6 million and $0.9 million, respectively, which is reflected in the Company’s accompanying condensed consolidated balance sheets within other accrued expenses and current liabilities. The Company expects the loyalty points to be redeemed and recognized over a one-year period.</w:t>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49" w:lineRule="exact"/>
        <w:rPr>
          <w:sz w:val="20"/>
          <w:szCs w:val="20"/>
          <w:color w:val="auto"/>
        </w:rPr>
      </w:pPr>
    </w:p>
    <w:p>
      <w:pPr>
        <w:ind w:left="720" w:right="239" w:hanging="319"/>
        <w:spacing w:after="0" w:line="25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21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92"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8"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30, 2021, there were no performance obligations related to hardware services that were unsatisfied or partially satisfied.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7"/>
              </w:rPr>
              <w:t>Thirteen Weeks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Twenty-Six Weeks Ended</w:t>
            </w: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w w:val="99"/>
              </w:rPr>
              <w:t>June 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24,</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Core Market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Company-operated restaurant revenue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99,429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81,370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186,652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167,285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Franchise advertising fee revenue</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core market</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106,599</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200,286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179,026</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tcPr>
          <w:p>
            <w:pPr>
              <w:spacing w:after="0" w:line="210" w:lineRule="exact"/>
              <w:rPr>
                <w:sz w:val="20"/>
                <w:szCs w:val="20"/>
                <w:color w:val="auto"/>
              </w:rPr>
            </w:pPr>
            <w:r>
              <w:rPr>
                <w:rFonts w:ascii="Arial" w:cs="Arial" w:eastAsia="Arial" w:hAnsi="Arial"/>
                <w:sz w:val="17"/>
                <w:szCs w:val="17"/>
                <w:b w:val="1"/>
                <w:bCs w:val="1"/>
                <w:color w:val="auto"/>
              </w:rPr>
              <w:t>Non-Core Market</w:t>
            </w:r>
            <w:r>
              <w:rPr>
                <w:rFonts w:ascii="Arial" w:cs="Arial" w:eastAsia="Arial" w:hAnsi="Arial"/>
                <w:sz w:val="24"/>
                <w:szCs w:val="24"/>
                <w:b w:val="1"/>
                <w:bCs w:val="1"/>
                <w:color w:val="auto"/>
                <w:vertAlign w:val="superscript"/>
              </w:rPr>
              <w:t>(2)</w:t>
            </w:r>
            <w:r>
              <w:rPr>
                <w:rFonts w:ascii="Arial" w:cs="Arial" w:eastAsia="Arial" w:hAnsi="Arial"/>
                <w:sz w:val="17"/>
                <w:szCs w:val="17"/>
                <w:b w:val="1"/>
                <w:bCs w:val="1"/>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Company-operated restaurant 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Franchise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advertising fee revenue</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non-core market</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121,985</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99,604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229,706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204,767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7" w:lineRule="exact"/>
        <w:rPr>
          <w:sz w:val="20"/>
          <w:szCs w:val="20"/>
          <w:color w:val="auto"/>
        </w:rPr>
      </w:pPr>
    </w:p>
    <w:p>
      <w:pPr>
        <w:ind w:left="380" w:right="599" w:hanging="330"/>
        <w:spacing w:after="0" w:line="207" w:lineRule="auto"/>
        <w:tabs>
          <w:tab w:leader="none" w:pos="3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Core Market includes markets with existing company-operated restaurants at the time of the Company’s IPO on July 28, 2014.</w:t>
      </w:r>
    </w:p>
    <w:p>
      <w:pPr>
        <w:ind w:left="380" w:hanging="330"/>
        <w:spacing w:after="0" w:line="180"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Non-Core Market includes markets entered into by the Company subsequent to the IPO date.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Thirteen Weeks Ended</w:t>
            </w:r>
          </w:p>
        </w:tc>
        <w:tc>
          <w:tcPr>
            <w:tcW w:w="21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6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2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90"/>
              </w:rPr>
              <w:t>June 30, 2021</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20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Greater Los Angeles area market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markets</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29.6 %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28.3 %</w:t>
            </w:r>
          </w:p>
        </w:tc>
      </w:tr>
      <w:tr>
        <w:trPr>
          <w:trHeight w:val="210"/>
        </w:trPr>
        <w:tc>
          <w:tcPr>
            <w:tcW w:w="4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twenty-six weeks ended June 30, 2021 and June 24, 2020 (in thousands)</w:t>
      </w:r>
      <w:r>
        <w:rPr>
          <w:rFonts w:ascii="Arial" w:cs="Arial" w:eastAsia="Arial" w:hAnsi="Arial"/>
          <w:sz w:val="18"/>
          <w:szCs w:val="18"/>
          <w:b w:val="1"/>
          <w:bCs w:val="1"/>
          <w:color w:val="auto"/>
        </w:rPr>
        <w:t>:</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30, 2020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rPr>
              <w:t>Revenue recognized - beginning balance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contract liability</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December 25, 2019</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recognized - beginning balance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June 24, 2020</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June 30, 2021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Franchise revenues: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r>
      <w:tr>
        <w:trPr>
          <w:trHeight w:val="209"/>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6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rewards liability, beginning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Revenue deferred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2,463</w:t>
            </w:r>
          </w:p>
        </w:tc>
        <w:tc>
          <w:tcPr>
            <w:tcW w:w="14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w:t>
            </w: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color w:val="auto"/>
              </w:rPr>
              <w:t>Loyalty rewards liability, ending balance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14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expects all loyalty points revenue related to performance obligations unsatisfied as of June 30, 2021 to be recognized within one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Gift Cards</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gift card liability included in other accrued expenses and current liabilities on the condensed consolidated balance sheets was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December 30,</w:t>
            </w:r>
          </w:p>
        </w:tc>
      </w:tr>
      <w:tr>
        <w:trPr>
          <w:trHeight w:val="201"/>
        </w:trPr>
        <w:tc>
          <w:tcPr>
            <w:tcW w:w="6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r>
      <w:tr>
        <w:trPr>
          <w:trHeight w:val="20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Revenue recognized from the redemption of gift cards that was included in other accrued expenses and current liabilities at the beginning of the year was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Twenty-Six Weeks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June 24, 2020</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24, 2020</w:t>
            </w:r>
          </w:p>
        </w:tc>
        <w:tc>
          <w:tcPr>
            <w:tcW w:w="0" w:type="dxa"/>
            <w:vAlign w:val="bottom"/>
          </w:tcPr>
          <w:p>
            <w:pPr>
              <w:spacing w:after="0"/>
              <w:rPr>
                <w:sz w:val="1"/>
                <w:szCs w:val="1"/>
                <w:color w:val="auto"/>
              </w:rPr>
            </w:pPr>
          </w:p>
        </w:tc>
      </w:tr>
      <w:tr>
        <w:trPr>
          <w:trHeight w:val="182"/>
        </w:trPr>
        <w:tc>
          <w:tcPr>
            <w:tcW w:w="41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Revenue recognized from gift card liability balance at</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beginning of the year</w:t>
            </w: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319"/>
        <w:spacing w:after="0" w:line="277" w:lineRule="auto"/>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leases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8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As of June 30, 2021, the Company had one lease that it had entered into, but had not yet commenced. The Company does not have control of the property until lease commencement.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Building and facility leases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two facility and nine equipment leases that are classified as finance leases.</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6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9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During the thirteen and twenty-six weeks ended June 30, 2021, the Company reassessed the lease terms on five and twelve restaurants, respectively, due to certain triggering events, such as the addition of significant leasehold improvements, the decision to terminate a lease, or the decision to renew. As a result of the reassessment, an additional $6.5 million and $11.2 million of ROU asset and lease liabilities for the thirteen and twenty-six weeks ended June 30, 2021, respectively, were recognized and will be amortized over the new lease term. During the thirteen and twenty-six weeks ended June 24, 2020, the Company reassessed the lease terms on four and seven restaurants, respectively, due to the addition of significant leasehold improvements with useful lives that extend past the current lease expiration, the decision to terminate a lease or the decision to renew leases. This reassessment resulted in an additional $1.4 million and $1.7 million of ROU asset and lease liability for the thirteen and twenty-six weeks ended June 24, 2020, respectively, which will be recognized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17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During the twenty-six weeks ended June 30, 2021, the Company determined that the carrying value of ROU assets at two restaurants was not recoverable. As a result, the Company recorded a $0.4 million non-cash impairment charge for the twenty-six weeks ended June 30, 2021, related to one restaurant closed in Texas in 2019 and one restaurant in California. The Company recorded a $0.5 million non-cash impairment charge for the twenty-six weeks ended June 24, 2020 related to one restaurant in Texas sold to franchisees in the prior year. See Note 1, “Basis of Presentation and Summary of Significant Accounting Policies – Impairment of Long-Lived Assets and ROU Assets” for additional information.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225" w:lineRule="exact"/>
        <w:rPr>
          <w:sz w:val="20"/>
          <w:szCs w:val="20"/>
          <w:color w:val="auto"/>
        </w:rPr>
      </w:pPr>
    </w:p>
    <w:p>
      <w:pPr>
        <w:ind w:left="60" w:right="939"/>
        <w:spacing w:after="0" w:line="308"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4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84"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61" w:lineRule="exact"/>
        <w:rPr>
          <w:sz w:val="20"/>
          <w:szCs w:val="20"/>
          <w:color w:val="auto"/>
        </w:rPr>
      </w:pPr>
    </w:p>
    <w:p>
      <w:pPr>
        <w:ind w:left="60" w:right="659"/>
        <w:spacing w:after="0" w:line="263"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4"/>
              </w:rPr>
              <w:t>Thirteen Weeks Ended</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5"/>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0"/>
                <w:szCs w:val="10"/>
                <w:color w:val="auto"/>
              </w:rPr>
            </w:pPr>
          </w:p>
        </w:tc>
        <w:tc>
          <w:tcPr>
            <w:tcW w:w="8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Equipment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74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8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Equipment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lease 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Variable lease 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lease cost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3"/>
              </w:rPr>
              <w:t>Twenty-Six Weeks Ended</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0"/>
              </w:rPr>
              <w:t>June 24, 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Property</w:t>
            </w:r>
          </w:p>
        </w:tc>
        <w:tc>
          <w:tcPr>
            <w:tcW w:w="100" w:type="dxa"/>
            <w:vAlign w:val="bottom"/>
          </w:tcPr>
          <w:p>
            <w:pPr>
              <w:spacing w:after="0"/>
              <w:rPr>
                <w:sz w:val="19"/>
                <w:szCs w:val="19"/>
                <w:color w:val="auto"/>
              </w:rPr>
            </w:pPr>
          </w:p>
        </w:tc>
        <w:tc>
          <w:tcPr>
            <w:tcW w:w="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Equipment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9"/>
                <w:szCs w:val="19"/>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Equipment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Operating lease cost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13,977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13,075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$ 12,136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$ 12,932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$ 11,754</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620"/>
        <w:spacing w:after="0" w:line="277" w:lineRule="auto"/>
        <w:rPr>
          <w:sz w:val="20"/>
          <w:szCs w:val="20"/>
          <w:color w:val="auto"/>
        </w:rPr>
      </w:pPr>
      <w:r>
        <w:rPr>
          <w:rFonts w:ascii="Arial" w:cs="Arial" w:eastAsia="Arial" w:hAnsi="Arial"/>
          <w:sz w:val="18"/>
          <w:szCs w:val="18"/>
          <w:color w:val="auto"/>
        </w:rPr>
        <w:t>The following table presents the Company’s total lease cost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08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460" w:type="dxa"/>
            <w:vAlign w:val="bottom"/>
          </w:tcPr>
          <w:p>
            <w:pPr>
              <w:spacing w:after="0"/>
              <w:rPr>
                <w:sz w:val="12"/>
                <w:szCs w:val="12"/>
                <w:color w:val="auto"/>
              </w:rPr>
            </w:pPr>
          </w:p>
        </w:tc>
        <w:tc>
          <w:tcPr>
            <w:tcW w:w="10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June 30, 2021</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24, 2020</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24, 2020</w:t>
            </w: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 – Occupancy and other operating expenses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Lease cost – General &amp; administrative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Lease cost – 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Closed-store reserve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r>
    </w:tbl>
    <w:p>
      <w:pPr>
        <w:spacing w:after="0" w:line="202"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During the thirteen and twenty-six weeks ended June 30, 2021 and June 24, 2020, the Company had the following cash and non-cash activities associated with its leases (dollars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right"/>
              <w:ind w:right="13"/>
              <w:spacing w:after="0"/>
              <w:rPr>
                <w:sz w:val="20"/>
                <w:szCs w:val="20"/>
                <w:color w:val="auto"/>
              </w:rPr>
            </w:pPr>
            <w:r>
              <w:rPr>
                <w:rFonts w:ascii="Arial" w:cs="Arial" w:eastAsia="Arial" w:hAnsi="Arial"/>
                <w:sz w:val="14"/>
                <w:szCs w:val="14"/>
                <w:b w:val="1"/>
                <w:bCs w:val="1"/>
                <w:color w:val="auto"/>
                <w:w w:val="91"/>
              </w:rPr>
              <w:t>Twenty-Six Weeks Ended June 30, 2021</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right"/>
              <w:ind w:right="53"/>
              <w:spacing w:after="0"/>
              <w:rPr>
                <w:sz w:val="20"/>
                <w:szCs w:val="20"/>
                <w:color w:val="auto"/>
              </w:rPr>
            </w:pPr>
            <w:r>
              <w:rPr>
                <w:rFonts w:ascii="Arial" w:cs="Arial" w:eastAsia="Arial" w:hAnsi="Arial"/>
                <w:sz w:val="14"/>
                <w:szCs w:val="14"/>
                <w:b w:val="1"/>
                <w:bCs w:val="1"/>
                <w:color w:val="auto"/>
                <w:w w:val="93"/>
              </w:rPr>
              <w:t>Twenty-Six Weeks Ended June 24,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Property</w:t>
            </w:r>
          </w:p>
        </w:tc>
        <w:tc>
          <w:tcPr>
            <w:tcW w:w="4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Equipment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Property</w:t>
            </w:r>
          </w:p>
        </w:tc>
        <w:tc>
          <w:tcPr>
            <w:tcW w:w="60" w:type="dxa"/>
            <w:vAlign w:val="bottom"/>
          </w:tcPr>
          <w:p>
            <w:pPr>
              <w:spacing w:after="0"/>
              <w:rPr>
                <w:sz w:val="10"/>
                <w:szCs w:val="10"/>
                <w:color w:val="auto"/>
              </w:rPr>
            </w:pPr>
          </w:p>
        </w:tc>
        <w:tc>
          <w:tcPr>
            <w:tcW w:w="9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Equipment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Leases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paid for amounts included in the</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measurement of lease 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w w:val="91"/>
              </w:rPr>
              <w:t>Operating cash flows used for operating leases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12,357</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12,932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9,269</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Financing cash flows used for finance leases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Non-cash investing and 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Operating lease ROU assets obtained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exchange for lease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ROU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11,260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w w:val="90"/>
              </w:rPr>
              <w:t>Finance lease ROU assets obtained in exchange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for lease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 ROU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Derecognition of ROU assets due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terminations, impairment or modifications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(4,513)</w:t>
            </w:r>
          </w:p>
        </w:tc>
        <w:tc>
          <w:tcPr>
            <w:tcW w:w="20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(4,552)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Weighted-average remaining lease term—</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80"/>
              <w:spacing w:after="0" w:line="201" w:lineRule="exact"/>
              <w:rPr>
                <w:sz w:val="20"/>
                <w:szCs w:val="20"/>
                <w:color w:val="auto"/>
              </w:rPr>
            </w:pPr>
            <w:r>
              <w:rPr>
                <w:rFonts w:ascii="Arial" w:cs="Arial" w:eastAsia="Arial" w:hAnsi="Arial"/>
                <w:sz w:val="18"/>
                <w:szCs w:val="18"/>
                <w:color w:val="auto"/>
              </w:rPr>
              <w:t>Weighted-average remaining lease term—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Weighted-average discount rate—finance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80"/>
              <w:spacing w:after="0" w:line="201" w:lineRule="exact"/>
              <w:rPr>
                <w:sz w:val="20"/>
                <w:szCs w:val="20"/>
                <w:color w:val="auto"/>
              </w:rPr>
            </w:pPr>
            <w:r>
              <w:rPr>
                <w:rFonts w:ascii="Arial" w:cs="Arial" w:eastAsia="Arial" w:hAnsi="Arial"/>
                <w:sz w:val="18"/>
                <w:szCs w:val="18"/>
                <w:color w:val="auto"/>
                <w:w w:val="98"/>
              </w:rPr>
              <w:t>Weighted-average discount rate—operating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3.92 %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4.34 %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3.93 %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regarding the Company’s minimum future lease obligations as of June 30, 2021 is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Finance</w:t>
            </w:r>
          </w:p>
        </w:tc>
        <w:tc>
          <w:tcPr>
            <w:tcW w:w="186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Minimum</w:t>
            </w:r>
          </w:p>
        </w:tc>
        <w:tc>
          <w:tcPr>
            <w:tcW w:w="18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Years Ending</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4"/>
              </w:rPr>
              <w:t>Sublease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29, 2021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14,563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December 28, 2022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27, 2023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December 25, 2024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517" w:right="1439" w:bottom="1440"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252,227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Less: imputed interest (1.57% - 4.42%)</w:t>
            </w: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(57,463)</w:t>
            </w:r>
          </w:p>
        </w:tc>
        <w:tc>
          <w:tcPr>
            <w:tcW w:w="1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194,764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(19,572)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175,192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Short-Term Leases</w:t>
      </w:r>
    </w:p>
    <w:p>
      <w:pPr>
        <w:spacing w:after="0" w:line="22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Company has multiple short-term leases, which have terms of less than 12 months, and thus were excluded from the recognition requirements of Topic 842. The Company has recognized these lease payments in its consolidated statements of operations on a straight-line basis over the lease term and variable lease payments in the period in which the obligation for those payments was incurred.</w:t>
      </w:r>
    </w:p>
    <w:p>
      <w:pPr>
        <w:spacing w:after="0" w:line="187" w:lineRule="exact"/>
        <w:rPr>
          <w:sz w:val="20"/>
          <w:szCs w:val="20"/>
          <w:color w:val="auto"/>
        </w:rPr>
      </w:pPr>
    </w:p>
    <w:p>
      <w:pPr>
        <w:ind w:left="60" w:right="299"/>
        <w:spacing w:after="0" w:line="271" w:lineRule="auto"/>
        <w:rPr>
          <w:sz w:val="20"/>
          <w:szCs w:val="20"/>
          <w:color w:val="auto"/>
        </w:rPr>
      </w:pPr>
      <w:r>
        <w:rPr>
          <w:rFonts w:ascii="Arial" w:cs="Arial" w:eastAsia="Arial" w:hAnsi="Arial"/>
          <w:sz w:val="17"/>
          <w:szCs w:val="17"/>
          <w:color w:val="auto"/>
        </w:rPr>
        <w:t>In April 2020, the FASB issued guidance allowing entities to make a policy election whether to account for lease concessions related to the COVID-19 pandemic as lease modifications. The election applies to any lessor-provided lease concession related to the impact of the COVID-19 pandemic, provided the concession does not result in a substantial increase in the rights of the lessor or in the obligations of the lessee. During fiscal 2020, the Company received non-substantial concessions from certain landlords in the form of rent deferrals and abatements. The Company elected to not account for these rent concessions as lease modifications. The rent concessions are recorded as part of other accrued expenses. The recognition of rent concessions did not have a material impact on the Company’s condensed consolidated financial statements as of June 30,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Lessor</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84"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The Company received $0.1 million of lease income from company-owned locations for each of the thirteen weeks ended June 30, 2021 and June 24, 2020. The Company received $0.2 million and $0.3 million of lease income from company-owned locations for the twenty-six weeks ended June 30, 2021 and June 24, 2020,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79"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looking statements made in this report in the context of the factors that could cause outcomes to differ materially from our expectations. These factors include, but are not limited to:</w:t>
      </w:r>
    </w:p>
    <w:p>
      <w:pPr>
        <w:spacing w:after="0" w:line="170" w:lineRule="exact"/>
        <w:rPr>
          <w:sz w:val="20"/>
          <w:szCs w:val="20"/>
          <w:color w:val="auto"/>
        </w:rPr>
      </w:pPr>
    </w:p>
    <w:p>
      <w:pPr>
        <w:ind w:left="720" w:right="13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the COVID-19 pandemic on our company, our employees, our customers, our partners, our industry and the economy as a whole, as well as our franchisees’ ability to maintain operations in their individual restaurants;</w:t>
      </w:r>
    </w:p>
    <w:p>
      <w:pPr>
        <w:spacing w:after="0" w:line="2"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vulnerability to political and social factors, including regarding trade, immigration or customer preferences;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ind w:left="720" w:right="2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food and supply costs, especially for chicken;</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our digital business, delivery orders and catering;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 and our dependence on a single supplier to distribute substantially all of our products to our restaurants;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related to the success of our marketing programs, new menu items, advertising campaigns and restaurant designs and remodels;</w:t>
      </w:r>
    </w:p>
    <w:p>
      <w:pPr>
        <w:ind w:left="720" w:right="459" w:hanging="319"/>
        <w:spacing w:after="0" w:line="28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reliance on our franchisees, who may incur financial hardships, lose access to credit, close restaurants, or declare bankruptcy, and our limited control over our franchisees and potential liability for their acts;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exposure to unexpected costs and losses from our self-insurance programs;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720" w:right="1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data or personal information in connection with our electronic process of credit and debit card transactions;</w:t>
      </w: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enforce and maintain our trademarks and protect our other proprietary intellectual property;</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government regulation and litigation, including employment and labor laws; and</w:t>
      </w:r>
    </w:p>
    <w:p>
      <w:pPr>
        <w:spacing w:after="0" w:line="9" w:lineRule="exact"/>
        <w:rPr>
          <w:rFonts w:ascii="Arial" w:cs="Arial" w:eastAsia="Arial" w:hAnsi="Arial"/>
          <w:sz w:val="18"/>
          <w:szCs w:val="18"/>
          <w:color w:val="auto"/>
        </w:rPr>
      </w:pPr>
    </w:p>
    <w:p>
      <w:pPr>
        <w:ind w:left="720" w:right="2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our annual report on Form 10-K for the year ended December 30, 2020, which filings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90"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a combination that we call “LA-Mex.” Our distinctive menu features our signature product-- citrus-marinated fire-grilled chicken--and a variety of Mexican and LA-inspired entrees that we create from our chicken. We serve individual and family-sized chicken meals, a variety of Mexican and LA-inspired entrees, and sides,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159"/>
        <w:spacing w:after="0" w:line="283" w:lineRule="auto"/>
        <w:rPr>
          <w:sz w:val="20"/>
          <w:szCs w:val="20"/>
          <w:color w:val="auto"/>
        </w:rPr>
      </w:pPr>
      <w:r>
        <w:rPr>
          <w:rFonts w:ascii="Arial" w:cs="Arial" w:eastAsia="Arial" w:hAnsi="Arial"/>
          <w:sz w:val="16"/>
          <w:szCs w:val="16"/>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our sales are associated with dine-in service. Many state and local governments continue to periodically implement certain restrictions to try and contain the spread of the virus. As of June 30, 2021, the nearly all of our restaurants have dining rooms open at full capacity and continue to maintain take-away, mobile pick-up, delivery, and drive-thru operations where available. During the thirteen and twenty-six weeks ended June 30, 2021, we temporarily closed 5 and 50 restaurants, respectively, of which all have reopened as of June 30, 2021. Similarly, during both thirteen and twenty-six weeks ended June 30, 2021, our franchisees temporarily closed 27 restaurants, of which all have reopened as of June 30, 2021. For both franchise-operated and company-operated restaurants, this represents total temporary closures and may include more than one closure for the same restaurant. These closures typically lasted from one to three days. As of June 30, 2021, we</w:t>
      </w:r>
    </w:p>
    <w:p>
      <w:pPr>
        <w:spacing w:after="0" w:line="3" w:lineRule="exact"/>
        <w:rPr>
          <w:sz w:val="20"/>
          <w:szCs w:val="20"/>
          <w:color w:val="auto"/>
        </w:rPr>
      </w:pPr>
    </w:p>
    <w:p>
      <w:pPr>
        <w:ind w:left="60" w:right="299"/>
        <w:spacing w:after="0" w:line="323" w:lineRule="auto"/>
        <w:rPr>
          <w:sz w:val="20"/>
          <w:szCs w:val="20"/>
          <w:color w:val="auto"/>
        </w:rPr>
      </w:pPr>
      <w:r>
        <w:rPr>
          <w:rFonts w:ascii="Arial" w:cs="Arial" w:eastAsia="Arial" w:hAnsi="Arial"/>
          <w:sz w:val="16"/>
          <w:szCs w:val="16"/>
          <w:color w:val="auto"/>
        </w:rPr>
        <w:t>had not permanently closed any restaurants due to the COVID-19 pandemic. Subsequent to June 30, 2021, the Company has not temporarily closed any restaurants, and franchisees have not temporarily closed any restaurants.</w:t>
      </w:r>
    </w:p>
    <w:p>
      <w:pPr>
        <w:spacing w:after="0" w:line="13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During the thirteen and twenty-six weeks ended June 30, 2021, we incurred $0.2 million and $3.0 million, respectively, in COVID-19 related expenses, primarily due to leaves of absence and overtime pay. During both thirteen and twenty-six weeks ended June 24, 2020, the Company incurred $1.1 million in COVID-19 related expenses, primarily due to leaves of absence and overtime pay.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As of June 30, 2021, we had 480 locations in six states. In fiscal 2020, we opened one new company-operated restaurant in Nevada, which was in process prior to the COVID-19 pandemic and our franchisees opened three new restaurants, two in California and one in Arizona. For the twenty-six weeks ended June 30, 2021, two new company-operated restaurants were opened, one in Nevada and one in California, and no new franchised restaurants were opened.</w:t>
      </w:r>
    </w:p>
    <w:p>
      <w:pPr>
        <w:spacing w:after="0" w:line="15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 plan to continue to expand our business, drive restaurant sales growth, and enhance our competitive positioning, by executing the following strategies:</w:t>
      </w:r>
    </w:p>
    <w:p>
      <w:pPr>
        <w:spacing w:after="0" w:line="170"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To increase comparable restaurant sales, we plan to increase customer frequency, attract new customers, and improve per-person spend. Success of these growth plans is not guaranteed.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For the thirteen and twenty-six weeks ended June 30, 2021, system-wide comparable restaurant sales increased by 21.0% and 14.2%, respectively, from the comparable period in the prior year. For company-operated restaurants, comparable restaurant sales for the thirteen and twenty-six weeks ended June 30, 2021 increased by 16.4% and 9.8%, respectively. For company-operated restaurants, the quarter’s change in comparable restaurant sales consisted of an approximately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07" w:lineRule="auto"/>
        <w:rPr>
          <w:sz w:val="20"/>
          <w:szCs w:val="20"/>
          <w:color w:val="auto"/>
        </w:rPr>
      </w:pPr>
      <w:r>
        <w:rPr>
          <w:rFonts w:ascii="Arial" w:cs="Arial" w:eastAsia="Arial" w:hAnsi="Arial"/>
          <w:sz w:val="15"/>
          <w:szCs w:val="15"/>
          <w:color w:val="auto"/>
        </w:rPr>
        <w:t>0.4% increase in average check size and an increase in transactions of 15.9%, and the year-to-date change in comparable restaurant sales consisted of a 1.5% increase in transactions and a 8.2% increase in average check size. For franchised restaurants, comparable restaurant sales increased 24.5% and 17.5% for the thirteen and twenty-six weeks ended</w:t>
      </w:r>
    </w:p>
    <w:p>
      <w:pPr>
        <w:ind w:left="60" w:right="459"/>
        <w:spacing w:after="0" w:line="260" w:lineRule="auto"/>
        <w:rPr>
          <w:sz w:val="20"/>
          <w:szCs w:val="20"/>
          <w:color w:val="auto"/>
        </w:rPr>
      </w:pPr>
      <w:r>
        <w:rPr>
          <w:rFonts w:ascii="Arial" w:cs="Arial" w:eastAsia="Arial" w:hAnsi="Arial"/>
          <w:sz w:val="18"/>
          <w:szCs w:val="18"/>
          <w:color w:val="auto"/>
        </w:rPr>
        <w:t>June 30, 2021, respectively. Refer to Comparable Restaurant Sales definition in “Key Performance Indicators” section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restaurant counts at the beginning and end of each of the last three fiscal years and the twenty-six weeks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Twenty-Six Weeks Ended</w:t>
            </w:r>
          </w:p>
        </w:tc>
        <w:tc>
          <w:tcPr>
            <w:tcW w:w="1640" w:type="dxa"/>
            <w:vAlign w:val="bottom"/>
            <w:gridSpan w:val="5"/>
          </w:tcPr>
          <w:p>
            <w:pPr>
              <w:ind w:left="500"/>
              <w:spacing w:after="0"/>
              <w:rPr>
                <w:sz w:val="20"/>
                <w:szCs w:val="20"/>
                <w:color w:val="auto"/>
              </w:rPr>
            </w:pPr>
            <w:r>
              <w:rPr>
                <w:rFonts w:ascii="Arial" w:cs="Arial" w:eastAsia="Arial" w:hAnsi="Arial"/>
                <w:sz w:val="14"/>
                <w:szCs w:val="14"/>
                <w:b w:val="1"/>
                <w:bCs w:val="1"/>
                <w:color w:val="auto"/>
                <w:w w:val="92"/>
              </w:rPr>
              <w:t>Fiscal Year Ended</w:t>
            </w:r>
          </w:p>
        </w:tc>
        <w:tc>
          <w:tcPr>
            <w:tcW w:w="50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System-wide restaurant activity:</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Closures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As of June 30, 2021, we have completed seven remodels using the new asset design. </w:t>
      </w:r>
      <w:r>
        <w:rPr>
          <w:rFonts w:ascii="Arial" w:cs="Arial" w:eastAsia="Arial" w:hAnsi="Arial"/>
          <w:sz w:val="17"/>
          <w:szCs w:val="17"/>
          <w:color w:val="212529"/>
        </w:rPr>
        <w:t>In fiscal 2021, we</w:t>
      </w:r>
      <w:r>
        <w:rPr>
          <w:rFonts w:ascii="Arial" w:cs="Arial" w:eastAsia="Arial" w:hAnsi="Arial"/>
          <w:sz w:val="17"/>
          <w:szCs w:val="17"/>
          <w:color w:val="auto"/>
        </w:rPr>
        <w:t xml:space="preserve"> </w:t>
      </w:r>
      <w:r>
        <w:rPr>
          <w:rFonts w:ascii="Arial" w:cs="Arial" w:eastAsia="Arial" w:hAnsi="Arial"/>
          <w:sz w:val="17"/>
          <w:szCs w:val="17"/>
          <w:color w:val="212529"/>
        </w:rPr>
        <w:t>plan to complete a total of 15 company and 40 franchise remodels using the new design.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Loco Rewards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7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June 30, 2021 and December 30, 2020, the revenue allocated to loyalty points that had not been redeemed was $0.6 million and $0.9 million, respectively, which is reflected in the Company’s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accompanying condensed consolidated balance sheets within other accrued expenses and current liabilities. The Company had over 2.4 million loyalty program members as of June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7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2020.</w:t>
      </w:r>
    </w:p>
    <w:p>
      <w:pPr>
        <w:spacing w:after="0" w:line="17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919"/>
        <w:spacing w:after="0" w:line="308" w:lineRule="auto"/>
        <w:rPr>
          <w:sz w:val="20"/>
          <w:szCs w:val="20"/>
          <w:color w:val="auto"/>
        </w:rPr>
      </w:pPr>
      <w:r>
        <w:rPr>
          <w:rFonts w:ascii="Arial" w:cs="Arial" w:eastAsia="Arial" w:hAnsi="Arial"/>
          <w:sz w:val="17"/>
          <w:szCs w:val="17"/>
          <w:color w:val="auto"/>
        </w:rPr>
        <w:t>Recent accounting pronouncements are described in Note 1, “Basis of Presentation and Summary of Significant Accounting Policies” in the Notes to Condensed Consolidated Financial Statements above.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overtime, the frequency and severity of workers’ compensation claims, health care costs, and the performance of our restaurants.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Occupancy costs include rent, CAM, and real estate taxes. Other restaurant operating expenses include the costs of utilities, advertising, credit card processing fees, restaurant supplies, repairs and maintenance, and other restaurant operating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Depreciation and amortization primarily consists of the depreciation of property and equipment, including leasehold improvements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68" w:lineRule="exact"/>
        <w:rPr>
          <w:sz w:val="20"/>
          <w:szCs w:val="20"/>
          <w:color w:val="auto"/>
        </w:rPr>
      </w:pPr>
    </w:p>
    <w:p>
      <w:pPr>
        <w:ind w:left="60" w:right="459"/>
        <w:spacing w:after="0" w:line="311" w:lineRule="auto"/>
        <w:rPr>
          <w:sz w:val="20"/>
          <w:szCs w:val="20"/>
          <w:color w:val="auto"/>
        </w:rPr>
      </w:pPr>
      <w:r>
        <w:rPr>
          <w:rFonts w:ascii="Arial" w:cs="Arial" w:eastAsia="Arial" w:hAnsi="Arial"/>
          <w:sz w:val="16"/>
          <w:szCs w:val="16"/>
          <w:color w:val="auto"/>
        </w:rPr>
        <w:t>When the Company closes a restaurant, it will evaluate the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Interest expense, net, consists primarily of interest on our outstanding debt. Debt issuance costs are amortized at cost over the life of the related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consists of federal and state taxes on our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Results of Operations</w:t>
      </w:r>
    </w:p>
    <w:p>
      <w:pPr>
        <w:spacing w:after="0" w:line="229"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Our operating results for the thirteen weeks ended June 30, 2021 and June 24, 2020 and expressed as percentages of total revenue, with the exception of cost of operations and company restaurant expenses, which are expressed as a percentage of company-operated restaurant revenue, are compared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Thirteen Weeks Ended</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20" w:type="dxa"/>
            <w:vAlign w:val="bottom"/>
            <w:gridSpan w:val="3"/>
          </w:tcPr>
          <w:p>
            <w:pPr>
              <w:jc w:val="right"/>
              <w:ind w:right="191"/>
              <w:spacing w:after="0" w:line="142" w:lineRule="exact"/>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2"/>
                <w:szCs w:val="12"/>
                <w:color w:val="auto"/>
              </w:rPr>
            </w:pPr>
          </w:p>
        </w:tc>
        <w:tc>
          <w:tcPr>
            <w:tcW w:w="148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Company-operated restaurant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$ 106,970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$ 87,707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$ 19,263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Franchise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8,389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121,985</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100.0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99,604</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22,381</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Food and paper costs (1)</w:t>
            </w:r>
          </w:p>
        </w:tc>
        <w:tc>
          <w:tcPr>
            <w:tcW w:w="780" w:type="dxa"/>
            <w:vAlign w:val="bottom"/>
          </w:tcPr>
          <w:p>
            <w:pPr>
              <w:jc w:val="right"/>
              <w:spacing w:after="0"/>
              <w:rPr>
                <w:sz w:val="20"/>
                <w:szCs w:val="20"/>
                <w:color w:val="auto"/>
              </w:rPr>
            </w:pPr>
            <w:r>
              <w:rPr>
                <w:rFonts w:ascii="Arial" w:cs="Arial" w:eastAsia="Arial" w:hAnsi="Arial"/>
                <w:sz w:val="18"/>
                <w:szCs w:val="18"/>
                <w:color w:val="auto"/>
              </w:rPr>
              <w:t>27,882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22,873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Labor and related expenses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Occupancy and other operating expenses (1)</w:t>
            </w:r>
          </w:p>
        </w:tc>
        <w:tc>
          <w:tcPr>
            <w:tcW w:w="780" w:type="dxa"/>
            <w:vAlign w:val="bottom"/>
          </w:tcPr>
          <w:p>
            <w:pPr>
              <w:jc w:val="right"/>
              <w:spacing w:after="0"/>
              <w:rPr>
                <w:sz w:val="20"/>
                <w:szCs w:val="20"/>
                <w:color w:val="auto"/>
              </w:rPr>
            </w:pPr>
            <w:r>
              <w:rPr>
                <w:rFonts w:ascii="Arial" w:cs="Arial" w:eastAsia="Arial" w:hAnsi="Arial"/>
                <w:sz w:val="18"/>
                <w:szCs w:val="18"/>
                <w:color w:val="auto"/>
              </w:rPr>
              <w:t>25,336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21,922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 (1)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84,744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70,554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10,523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10,465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3,917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Recovery of securities lawsuits related legal expenses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other insurance claims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109,314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92,155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17,159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12,671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7,449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5,222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Income tax receivable agreement 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6,251</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8,818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5,499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3,319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Our operating results for the twenty-six weeks ended June 30, 2021 and June 24, 2020 and expressed as percentages of total revenue, with the exception of cost of operations and company restaurant expenses, which are expressed as a percentage of company-operated restaurant revenue, are compared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Twenty-Six Weeks Ended</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42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2"/>
                <w:szCs w:val="12"/>
                <w:color w:val="auto"/>
              </w:rPr>
            </w:pPr>
          </w:p>
        </w:tc>
        <w:tc>
          <w:tcPr>
            <w:tcW w:w="158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7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Company-operated restaurant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$ 201,131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$ 180,341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$ 20,790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Franchise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16,001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13,781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229,706</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100.0</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204,767</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24,939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Food and paper costs (1)</w:t>
            </w:r>
          </w:p>
        </w:tc>
        <w:tc>
          <w:tcPr>
            <w:tcW w:w="780" w:type="dxa"/>
            <w:vAlign w:val="bottom"/>
          </w:tcPr>
          <w:p>
            <w:pPr>
              <w:jc w:val="right"/>
              <w:spacing w:after="0"/>
              <w:rPr>
                <w:sz w:val="20"/>
                <w:szCs w:val="20"/>
                <w:color w:val="auto"/>
              </w:rPr>
            </w:pPr>
            <w:r>
              <w:rPr>
                <w:rFonts w:ascii="Arial" w:cs="Arial" w:eastAsia="Arial" w:hAnsi="Arial"/>
                <w:sz w:val="18"/>
                <w:szCs w:val="18"/>
                <w:color w:val="auto"/>
              </w:rPr>
              <w:t>52,273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48,435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expenses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Occupancy and other operating expenses (1)</w:t>
            </w:r>
          </w:p>
        </w:tc>
        <w:tc>
          <w:tcPr>
            <w:tcW w:w="780" w:type="dxa"/>
            <w:vAlign w:val="bottom"/>
          </w:tcPr>
          <w:p>
            <w:pPr>
              <w:jc w:val="right"/>
              <w:spacing w:after="0"/>
              <w:rPr>
                <w:sz w:val="20"/>
                <w:szCs w:val="20"/>
                <w:color w:val="auto"/>
              </w:rPr>
            </w:pPr>
            <w:r>
              <w:rPr>
                <w:rFonts w:ascii="Arial" w:cs="Arial" w:eastAsia="Arial" w:hAnsi="Arial"/>
                <w:sz w:val="18"/>
                <w:szCs w:val="18"/>
                <w:color w:val="auto"/>
              </w:rPr>
              <w:t>49,180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44,031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5,149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 (1)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163,711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146,918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20,997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19,796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7,855</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8,537</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(682)</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06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06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2"/>
        </w:trPr>
        <w:tc>
          <w:tcPr>
            <w:tcW w:w="43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2"/>
              </w:rPr>
              <w:t>Recovery of securities lawsuits related legal expenses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insurance claims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780" w:type="dxa"/>
            <w:vAlign w:val="bottom"/>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(1,915)</w:t>
            </w: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211,034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191,632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18,672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13,135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5,537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42.2</w:t>
            </w: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Income tax receivable agreement (income) expense</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60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w:t>
            </w: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r>
      <w:tr>
        <w:trPr>
          <w:trHeight w:val="210"/>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12,782</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9,099</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3,683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r>
      <w:tr>
        <w:trPr>
          <w:trHeight w:val="20"/>
        </w:trPr>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For the quarter, company-operated restaurant revenue increased $19.3 million, or 22.0%, from the comparable period in the prior year. The increase in company-operated restaurant sales was primarily due to an increase in company-operated comparable restaurant revenue of $17.0 million, or 16.4%. The company-operated comparable restaurant sales increase consisted of an approximately 0.4% increase in average check size and a 15.9% increase in transactions. In addition, company-operated revenue was favorably impacted by $1.3 million of additional sales from restaurants opened during or after the second quarter of the prior year and a $1.1 million increase in revenue from restaurants that were temporarily closed due to the COVID-19 pandemic during the second quarter of the prior year.</w:t>
      </w:r>
    </w:p>
    <w:p>
      <w:pPr>
        <w:spacing w:after="0" w:line="17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Year-to-date, company-operated restaurant revenue increased $20.8 million, or 11.5%, from the comparable period in the prior year. The increase in company-operated restaurant sales was primarily due to a $19.2 million, or 9.8% increase in company-operated comparable restaurant revenue. In addition, company-operated revenue was favorably impacted by $1.7 million of additional sales from restaurants opened during or after the first quarter of the prior year and a $0.2 million increase in revenue from restaurants that were temporarily closed due to the COVID-19 pandemic during the year-to-date period of the prior year. The company-operated comparable restaurant sales increase consisted of an approximately 8.2% increase in average check size and a 1.5% increase in transactions. See above under “COVID-19 Impact” for additional information related to the impact of the COVID-19 pandemic on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For the quarter, franchise revenue increased $1.7 million, or 24.9%, from the comparable period in the prior year. This increase was primarily due to a franchise comparable restaurant sales increase of 24.5% and the opening of two restaurants during or subsequent to the second quarter of 2020. This franchise revenue increase was partially offset by the closure of three franchise locations during or subsequent to the second quarter of 2020.</w:t>
      </w:r>
    </w:p>
    <w:p>
      <w:pPr>
        <w:spacing w:after="0" w:line="171" w:lineRule="exact"/>
        <w:rPr>
          <w:sz w:val="20"/>
          <w:szCs w:val="20"/>
          <w:color w:val="auto"/>
        </w:rPr>
      </w:pPr>
    </w:p>
    <w:p>
      <w:pPr>
        <w:ind w:left="60" w:right="419"/>
        <w:spacing w:after="0" w:line="279" w:lineRule="auto"/>
        <w:rPr>
          <w:sz w:val="20"/>
          <w:szCs w:val="20"/>
          <w:color w:val="auto"/>
        </w:rPr>
      </w:pPr>
      <w:r>
        <w:rPr>
          <w:rFonts w:ascii="Arial" w:cs="Arial" w:eastAsia="Arial" w:hAnsi="Arial"/>
          <w:sz w:val="17"/>
          <w:szCs w:val="17"/>
          <w:color w:val="auto"/>
        </w:rPr>
        <w:t>Year-to-date, franchise revenue increased $2.2 million, or 16.1%, from the comparable period in the prior year. This increase was primarily due to a franchise comparable restaurant sales increase of 17.5% and the opening of three restaurants during or subsequent to the first quarter of 2020. This franchise revenue increase was partially offset by the closure of seven franchise locations during or subsequent to the first quarter of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For the quarter, franchise advertising fee revenue increased $1.4 million, or 28.0%, from the comparable period in the prior year. Year-to-date, franchise advertising fee revenue increased $1.9 million, or 18.1%, from the comparable period in the prior year. As advertising fee revenue is a percentage of franchisees’ revenue, the quarter-to-date fluctuations were due to the increases and decreases noted in franchise revenue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For the quarter, food and paper costs increased $5.0 million, or 21.9%, from the comparable period in the prior year, primarily due to a $3.6 million increase in food costs and a $1.4 million increase in paper costs. Year-to-date, food and paper costs increased $3.8 million, or 7.9%, from the comparable period in the prior year, due to a $2.4 million increase in food costs and a $1.4 million increase in paper costs. The increase in food and paper costs for the quarter and year-to-date periods resulted primarily from higher company transactions, sales mix and commodity inflation. For the quarter, food and paper costs as a percentage of company-operated restaurant revenue were 26.1%, consistent with the comparable period of the prior year as higher prices offset the cost increases above. Year-to-date, food and paper costs as a percentage of company-operated restaurant revenue were 26.0%, down from 26.9% in the comparable period of the prior year. The percentage decrease for the year-to-date period was due primarily to an increase in pricing and effective waste management, partially offset by sales mix and commodity inflation.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For the quarter, labor and related expenses increased $5.8 million, or 22.4%, from the comparable period in the prior year. The increase for the quarter was primarily due to $2.6 million related to the 15.9% increase in year-over-year sales transactions, a $1.3 million increase in overtime, a $0.6 million increase related to higher minimum wage increases in California during fiscal 2020 and 2021, a $0.5 million increase in medical and workers compensation expense, due to higher claims activity, $0.4 million higher in payroll taxes and $0.4 million related to employee training and other labor related expenses.</w:t>
      </w:r>
    </w:p>
    <w:p>
      <w:pPr>
        <w:spacing w:after="0" w:line="19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Year-to-date, labor and related expenses increased $7.8 million, or 14.3%, from the comparable period in the prior year. The increase for the year-to-date period was due to a $2.2 million increase in overtime, $1.4 million related to the 1.5% increase in year-over-year sales transactions, a $1.2 million increase related to higher minimum wage increases in California during fiscal 2020 and 2021, $1.2 million in labor costs associated with the COVID-19 pandemic, a $0.4 million increase in medical and workers compensation expense due to higher claims activity, $0.5 million in higher payroll taxes and $0.9 million related to employee training and other labor related expenses.</w:t>
      </w:r>
    </w:p>
    <w:p>
      <w:pPr>
        <w:spacing w:after="0" w:line="178"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For the quarter, labor and related expenses as a percentage of company-operated restaurant revenue were 29.5%, consistent with the comparable period in the prior year as higher prices and efficiencies offset the cost increases highlighted above. Year-to-date labor and related expenses as a percentage of company-operated restaurant revenue were 31.0%, up from 30.2% in the comparable period in the prior year. The year-to-date percentage was impacted by the cost increases highlighted above, partially offset by an increase in pricing and labor efficiencies.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For the quarter, occupancy and other operating expenses increased $3.4 million, or 15.6%, from the comparable period of the prior year. Fluctuations in occupancy and other expenses consisted primarily of a $0.8 million increase in advertising fees, a $0.6 million increase in utilities, a $0.4 million increase in repairs and maintenance costs, a $0.4 million increase in other operating expenses, a $0.4 million increase in market place delivery fees, a $0.3 million increase in operating supplies, a $0.2 million increase in occupancy costs, primarily related to rent expense and higher general liability claims and a $0.3 million increase in credit card charges.</w:t>
      </w:r>
    </w:p>
    <w:p>
      <w:pPr>
        <w:spacing w:after="0" w:line="178"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Year-to-date, occupancy and other operating expenses increased $5.1 million, or 11.7%, from the comparable period of the prior year. The increase was primarily due to a $0.9 million increase in advertising fees, $0.9 million increase in market place delivery fees, a $0.7 million increase in utilities, a $0.7 million increase in operating supplies, a $0.7 million increase in repairs and maintenance costs, a $0.5 million increase in occupancy costs, primarily related to rent expense and higher general liability claims, a $0.4 million increase in credit card charges and a $0.4 million increase in other operating expenses.</w:t>
      </w:r>
    </w:p>
    <w:p>
      <w:pPr>
        <w:spacing w:after="0" w:line="192"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were 23.7% down from 25.0% in the comparable period in the prior year. Year-to-date, occupancy and other operating expenses as a percentage of company-operated restaurant revenue were 24.5%, up from 24.4% in the comparable period of the prior year. The decrease for the quarter resulted primarily from higher revenue, partially offset by the increase in costs noted above. The slightly higher percentage on a year-to-date basis reflects the cost increases noted above partially offset by higher year-to-date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For the quarter, general and administrative expenses increased $0.1 million, or 0.6%, from the comparable period in the prior year. The increase for the quarter was due primarily to a $1.3 million increase in labor related costs, primarily related to an increase in management bonus expense, a $0.3 million increase in stock compensation expenses, and a $0.4 million increase in temporary office staff and recruiting fees, partially offset by a $2.1 million decrease in legal and professional expenses.</w:t>
      </w:r>
    </w:p>
    <w:p>
      <w:pPr>
        <w:spacing w:after="0" w:line="18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Year-to-date, general and administrative expenses increased $1.2 million, or 6.1%, from the comparable period in the prior year. The increase for the year-to-date period was due primarily to a $1.6 million increase in labor related costs, primarily related to an increase in management bonus expense, a $0.7 million increase in stock compensation expenses and a $0.7 million increase in temporary office staff and recruiting fees. This increase was partially offset by a $1.8 million decrease in legal and professional expenses, related primarily to a $2.5 million legal settlement in the prior year period discussed in Note 7, “Commitments and Contingencies, Legal Matters” in the Notes to Condensed Consolidated Financial Statements above.</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For the quarter, general and administrative expenses as a percentage of total revenue were 8.6%, down from 10.5% in the comparable period of the prior year. The percentage decrease for the quarterly period resulted primarily from higher revenue. Year-to-date, general and administrative expenses as a percentage of total revenue were 9.1%, down from 9.7% in the comparable period of the prior year. The year-to-date percentage decrease is primarily due to the higher revenue, partially offset by the cost increases discussed above.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held for sale assets</w:t>
      </w:r>
    </w:p>
    <w:p>
      <w:pPr>
        <w:spacing w:after="0" w:line="22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During the thirteen and twenty-six weeks ended June 30, 2021, we agreed in principle to sell eight restaurants within the Sacramento area to an existing franchisee. The net assets were recorded to assets held for sale at the lower of carrying value or fair value less costs to sell, which resulted in a loss on held for sale assets of $1.5 million for the thirteen and twenty-six weeks ended June 30, 2021. Prior to June 30, 2021, we received $4.6 million of cash primarily representing the purchase price of the transaction. The funds were recorded within our cash and cash equivalents and other accrued expenses and current liabilities within our condensed consolidated balance sheet. The eight restaurants were sold subsequent to June 30,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During the thirteen and twenty-six weeks ended June 30, 2021, we recorded non-cash impairment charges of $0.4 million and $0.7 million, respectively, primarily related to the carrying value of the ROU assets of one restaurant in Texas closed in 2019, the ROU assets of one restaurant in California, and the long-lived assets of three restaurants in California. During the thirteen and twenty-six weeks ended June 24, 2020, we recorded non-cash impairment charges of $0.1 million and $2.0 million, respectively, primarily related to the carrying value of the assets of one restaurant in Texas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twenty-six weeks ended June 30, 2021, we recognized less than $0.1 million and $0.2 million, respectively, of closed-store reserve expense related to the amortization of ROU assets, property taxes and CAM payments for our closed locations. During the thirteen and twenty-six weeks ended June 24, 2020, we recognized $0.4 million and $0.9 million, respectively, of closed-store reserve expense, primarily related to the amortization of ROU assets, property taxes and CAM payments for our closed locations.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For the quarter and year-to-date, interest expense, net, decreased $0.5 million and $0.9 million, respectively, from the comparable period in the prior year. The decrease is primarily related to lower interest rates and lower outstanding balances on our 2018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NOLs and other tax attributes attributable to preceding periods. For the thirteen and twenty-six weeks ended June 30, 2021, we recorded income tax receivable agreement expense of less than $0.1 million and income tax receivable agreement income of less than $0.1 million, respectively, and for the thirteen and twenty-six weeks ended June 24, 2020 we recorded income tax receivable agreement expense of $0.3 million and $0.2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For the quarter ended June 30, 2021, we recorded an income tax provision of $3.4 million, reflecting an estimated effective tax rate of 27.8%. For the quarter ended June 24, 2020, we recorded an income tax provision of $0.8 million, reflecting an estimated effective tax rate of approximately 12.0%. For the year-to-date period ended June 30, 2021, we recorded an income tax provision of $5.0 million, reflecting an estimated effective tax rate of approximately 28.1%. For the year-to-date ended June 24, 2020, we recorded an income tax provision of $2.1 million, reflecting an estimated effective tax rate of approximately 18.4%.</w:t>
      </w:r>
    </w:p>
    <w:p>
      <w:pPr>
        <w:spacing w:after="0" w:line="192"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difference between the 21.0% statutory rate and the Company’s effective tax rate of 28.1% for the year-to-date ended June 30, 2021 is primarily a result of a windfall tax benefit related to stock options exercised, non-deductible executive compensation, state taxes, a Work Opportunity Tax Credit benefit, the change in valuation allowance against certain state credits and prior year true up related to stock based compensation.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left="60" w:right="659"/>
        <w:spacing w:after="0" w:line="311" w:lineRule="auto"/>
        <w:rPr>
          <w:sz w:val="20"/>
          <w:szCs w:val="20"/>
          <w:color w:val="auto"/>
        </w:rPr>
      </w:pPr>
      <w:r>
        <w:rPr>
          <w:rFonts w:ascii="Arial" w:cs="Arial" w:eastAsia="Arial" w:hAnsi="Arial"/>
          <w:sz w:val="16"/>
          <w:szCs w:val="16"/>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System-Wide Sales</w:t>
      </w:r>
    </w:p>
    <w:p>
      <w:pPr>
        <w:spacing w:after="0" w:line="225"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System-wide sales are neither required by, nor presented in accordance with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5040" w:type="dxa"/>
            <w:vAlign w:val="bottom"/>
          </w:tcPr>
          <w:p>
            <w:pPr>
              <w:spacing w:after="0"/>
              <w:rPr>
                <w:sz w:val="12"/>
                <w:szCs w:val="12"/>
                <w:color w:val="auto"/>
              </w:rPr>
            </w:pPr>
          </w:p>
        </w:tc>
        <w:tc>
          <w:tcPr>
            <w:tcW w:w="174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2"/>
              </w:rPr>
              <w:t>June 30, 2021 June 24, 2020</w:t>
            </w:r>
          </w:p>
        </w:tc>
        <w:tc>
          <w:tcPr>
            <w:tcW w:w="14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106,970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201,131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180,341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Franchise revenue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13,781</w:t>
            </w:r>
          </w:p>
        </w:tc>
        <w:tc>
          <w:tcPr>
            <w:tcW w:w="14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shd w:val="clear" w:color="auto" w:fill="CCEEFF"/>
          </w:tcPr>
          <w:p>
            <w:pPr>
              <w:spacing w:after="0"/>
              <w:rPr>
                <w:sz w:val="18"/>
                <w:szCs w:val="18"/>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121,985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229,706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204,767</w:t>
            </w:r>
          </w:p>
        </w:tc>
        <w:tc>
          <w:tcPr>
            <w:tcW w:w="14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(13,781)</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(6,626)</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(5,178)</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(12,574)</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(10,645)</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from franchised restaurants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148,130</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115,593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281,095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238,120</w:t>
            </w:r>
          </w:p>
        </w:tc>
        <w:tc>
          <w:tcPr>
            <w:tcW w:w="140" w:type="dxa"/>
            <w:vAlign w:val="bottom"/>
            <w:shd w:val="clear" w:color="auto" w:fill="CCEEFF"/>
          </w:tcPr>
          <w:p>
            <w:pPr>
              <w:spacing w:after="0"/>
              <w:rPr>
                <w:sz w:val="18"/>
                <w:szCs w:val="18"/>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System-wide sales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255,100</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203,300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482,226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418,461</w:t>
            </w:r>
          </w:p>
        </w:tc>
        <w:tc>
          <w:tcPr>
            <w:tcW w:w="14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jc w:val="both"/>
        <w:ind w:left="60" w:right="499"/>
        <w:spacing w:after="0" w:line="259"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7"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30, 2021 and June 24, 2020, there were 465 and 469 comparable restaurants, 191 and 191 company-operated restaurants and 274 and</w:t>
      </w:r>
    </w:p>
    <w:p>
      <w:pPr>
        <w:spacing w:after="0" w:line="1"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278 franchised restaurants, respectively. Comparable restaurant sales indicate the performance of existing restaurants, since new restaurants are excluded.</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6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6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Thirteen Weeks Ended</w:t>
            </w:r>
          </w:p>
        </w:tc>
        <w:tc>
          <w:tcPr>
            <w:tcW w:w="14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24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12,671</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7,449</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18,672</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13,135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(less):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Loss on assets held for sale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(6,626)</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(5,178)</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(12,574)</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Recovery of securities lawsuits related legal expenses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other insurance claims</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Impairment and closed-store reserves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33,423</w:t>
            </w:r>
          </w:p>
        </w:tc>
        <w:tc>
          <w:tcPr>
            <w:tcW w:w="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121,985</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99,604</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229,706</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204,767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(8,389)</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(6,719)</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(16,001)</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106,970</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87,707</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201,131</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180,341</w:t>
            </w:r>
          </w:p>
        </w:tc>
        <w:tc>
          <w:tcPr>
            <w:tcW w:w="3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Restaurant contribution margin (%)</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20.8 %</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19.6 %</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18.6 %</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7"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reconciliations of our net income to our EBITDA and Adjusted EBITDA: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7"/>
              </w:rPr>
              <w:t>Thirteen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ind w:left="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2021</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14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21,502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 (a)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Loss on disposal of assets (b)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assets held for sale (c)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w w:val="94"/>
              </w:rPr>
              <w:t>Recovery of securities lawsuits related legal expense and other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insurance claims (d)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closed-store reserves (e)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 (income) (f)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class action legal expense (g)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Legal settlements (h)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 (i)</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19,926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380" w:right="159" w:hanging="330"/>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380" w:right="239" w:hanging="330"/>
        <w:spacing w:after="0" w:line="25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30, 2021, we agreed in principle to sell eight restaurants within Sacramento area to an existing franchisee. The related net assets were reclassified to assets held for sale and remeasured at their fair value less costs to sell, which resulted in a loss on held for sale assets of $1.5 million for the twenty-six weeks ended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19" w:hanging="330"/>
        <w:spacing w:after="0" w:line="258"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24, 2020, we received insurance proceeds of $0.1 million related to a property claim.</w:t>
      </w:r>
    </w:p>
    <w:p>
      <w:pPr>
        <w:spacing w:after="0" w:line="1" w:lineRule="exact"/>
        <w:rPr>
          <w:rFonts w:ascii="Arial" w:cs="Arial" w:eastAsia="Arial" w:hAnsi="Arial"/>
          <w:sz w:val="18"/>
          <w:szCs w:val="18"/>
          <w:color w:val="auto"/>
        </w:rPr>
      </w:pPr>
    </w:p>
    <w:p>
      <w:pPr>
        <w:ind w:left="380" w:right="1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and ROU assets and closing restaurants. During the thirteen and twenty-six weeks ended June 30, 2021, we recorded non-cash impairment charges of $0.4 million and $0.7 million, respectively, primarily related to the carrying value of the ROU assets of one restaurant in Texas closed in 2019, the ROU assets of one restaurant in California, and the long-lived assets of three restaurants in California. During the thirteen and twenty-six weeks ended June 24, 2020, we recorded non-cash impairment charges of $0.1 million and $2.0 million, respectively, primarily related to the carrying value of the ROU assets of one restaurant in Texas and the long-lived assets of three restaurants in California.</w:t>
      </w:r>
    </w:p>
    <w:p>
      <w:pPr>
        <w:spacing w:after="0" w:line="1" w:lineRule="exact"/>
        <w:rPr>
          <w:rFonts w:ascii="Arial" w:cs="Arial" w:eastAsia="Arial" w:hAnsi="Arial"/>
          <w:sz w:val="17"/>
          <w:szCs w:val="17"/>
          <w:color w:val="auto"/>
        </w:rPr>
      </w:pPr>
    </w:p>
    <w:p>
      <w:pPr>
        <w:ind w:left="380" w:right="179"/>
        <w:spacing w:after="0" w:line="250" w:lineRule="auto"/>
        <w:rPr>
          <w:rFonts w:ascii="Arial" w:cs="Arial" w:eastAsia="Arial" w:hAnsi="Arial"/>
          <w:sz w:val="17"/>
          <w:szCs w:val="17"/>
          <w:color w:val="auto"/>
        </w:rPr>
      </w:pPr>
      <w:r>
        <w:rPr>
          <w:rFonts w:ascii="Arial" w:cs="Arial" w:eastAsia="Arial" w:hAnsi="Arial"/>
          <w:sz w:val="18"/>
          <w:szCs w:val="18"/>
          <w:color w:val="auto"/>
        </w:rPr>
        <w:t>During the thirteen and twenty-six weeks ended June 30, 2021, we recognized less than $0.1 million and $0.2 million of closed-store reserve expense related to the amortization of ROU assets, property taxes and CAM payments for our closed locations. During the thirteen and twenty-six weeks ended June 24, 2020, we recognized $0.4 million and $0.9 million, respectively, of closed-store reserve expense, primarily related to the amortization of ROU assets, property taxes and CAM payments for our closed locations.</w:t>
      </w:r>
    </w:p>
    <w:p>
      <w:pPr>
        <w:spacing w:after="0" w:line="1" w:lineRule="exact"/>
        <w:rPr>
          <w:rFonts w:ascii="Arial" w:cs="Arial" w:eastAsia="Arial" w:hAnsi="Arial"/>
          <w:sz w:val="17"/>
          <w:szCs w:val="17"/>
          <w:color w:val="auto"/>
        </w:rPr>
      </w:pPr>
    </w:p>
    <w:p>
      <w:pPr>
        <w:ind w:left="380" w:right="11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NOL and other tax attributes attributable to preceding periods. For the thirteen and twenty-six weeks ended June 30, 2021 and June 24, 2020, income tax receivable agreement (income) expense consisted of the amortization of interest expense and changes in estimates for actual tax returns filed, related to our total expected TRA payments.</w:t>
      </w:r>
    </w:p>
    <w:p>
      <w:pPr>
        <w:ind w:left="380" w:right="35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 in the Notes to Condensed Consolidated Financial Statements above.</w:t>
      </w:r>
    </w:p>
    <w:p>
      <w:pPr>
        <w:ind w:left="380" w:right="41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incurred related to the payment of the final settlement amounts for multiple wage and hour class action suits.</w:t>
      </w:r>
    </w:p>
    <w:p>
      <w:pPr>
        <w:ind w:left="380" w:right="99" w:hanging="330"/>
        <w:spacing w:after="0" w:line="271"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for at least the next 12 months from the issuance of the consolidated financial statements. However, </w:t>
      </w:r>
      <w:r>
        <w:rPr>
          <w:rFonts w:ascii="Arial" w:cs="Arial" w:eastAsia="Arial" w:hAnsi="Arial"/>
          <w:sz w:val="16"/>
          <w:szCs w:val="16"/>
          <w:color w:val="212529"/>
        </w:rPr>
        <w:t>depending on the severity and longevity of the</w:t>
      </w:r>
      <w:r>
        <w:rPr>
          <w:rFonts w:ascii="Arial" w:cs="Arial" w:eastAsia="Arial" w:hAnsi="Arial"/>
          <w:sz w:val="16"/>
          <w:szCs w:val="16"/>
          <w:color w:val="auto"/>
        </w:rPr>
        <w:t xml:space="preserve"> </w:t>
      </w:r>
      <w:r>
        <w:rPr>
          <w:rFonts w:ascii="Arial" w:cs="Arial" w:eastAsia="Arial" w:hAnsi="Arial"/>
          <w:sz w:val="16"/>
          <w:szCs w:val="16"/>
          <w:color w:val="212529"/>
        </w:rPr>
        <w:t xml:space="preserve">COVID-19 pandemic, the efforts taken to reduce its spread and the possibility of a subsequent resurgence of the COVID-19 outbreak after the current outbreak subsides, our </w:t>
      </w:r>
      <w:r>
        <w:rPr>
          <w:rFonts w:ascii="Arial" w:cs="Arial" w:eastAsia="Arial" w:hAnsi="Arial"/>
          <w:sz w:val="16"/>
          <w:szCs w:val="16"/>
          <w:color w:val="000000"/>
        </w:rPr>
        <w:t>financial performance and liquidity could be further impacted and</w:t>
      </w:r>
      <w:r>
        <w:rPr>
          <w:rFonts w:ascii="Arial" w:cs="Arial" w:eastAsia="Arial" w:hAnsi="Arial"/>
          <w:sz w:val="16"/>
          <w:szCs w:val="16"/>
          <w:color w:val="212529"/>
        </w:rPr>
        <w:t xml:space="preserve"> </w:t>
      </w:r>
      <w:r>
        <w:rPr>
          <w:rFonts w:ascii="Arial" w:cs="Arial" w:eastAsia="Arial" w:hAnsi="Arial"/>
          <w:sz w:val="16"/>
          <w:szCs w:val="16"/>
          <w:color w:val="000000"/>
        </w:rPr>
        <w:t>could impact our ability to meet certain financial covenants required in our 2018 Credit Agreement, specifically the lease-adjusted coverage ratio and fixed-charge coverage ratio.</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June 30, 2021</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26,624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(22,947)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For the twenty-six weeks ended June 30, 2021, net cash from operating activities changed by approximately $15.5 million from the comparable period of the prior year. This change was due primarily to an increase in profitability after non-cash items and favorable working capital fluctuations.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For the twenty-six weeks ended June 30, 2021, net cash used in investing activities increased by $1.8 million from the comparable period of the prior year. This increase was due primarily to opening two new company-operated restaurants and remodeling five restaurants in the twenty-six weeks ended June 30, 2021 compared to opening no new company-operated restaurants and completing no new remodels in the twenty-six weeks ended June 30, 2020. In addition, during the twenty-six weeks ended June 30, 2021, the Company received a deposit of $4.6 million on sale of eight restaurants within the Sacramento area.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For the twenty-six weeks ended June 30, 2021, net cash from financing activities changed by $66.6 million from the comparable period of the prior year. This change was due primarily to an increase in net borrowings of $44.5 million on the 2018 Revolver during the twenty-six weeks ended June 24, 2020, primarily as a precautionary measure to bolster our existing cash position in light of the COVID-19 pandemic, as well as to provide for the $16.3 million litigation settlement payment. In addition, during the twenty-six weeks ended June 30, 2021, the Company paid down $22.8 million on the 2018 Revolver.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The 2018 Revolver, which is available pursuant to the 2018 Credit Agreement,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139" w:hanging="10"/>
        <w:spacing w:after="0" w:line="281" w:lineRule="auto"/>
        <w:tabs>
          <w:tab w:leader="none" w:pos="3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1.35% to 1.36% and 1.35% to 1.65% for the thirteen and twenty-six weeks ended June 30, 2021, respectively, and 1.67% to 3.11% and 1.67% to 3.29% for the thirteen and twenty-six weeks ended June 24, 2020.</w:t>
      </w:r>
    </w:p>
    <w:p>
      <w:pPr>
        <w:spacing w:after="0" w:line="17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The 2018 Credit Agreement contains certain financial covenants. The Company was in compliance with the financial covenants as of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At June 30, 2021, $8.4 million of letters of credit and $40.0 million of borrowings were outstanding under the 2018 Revolver. There were $101.6 million remaining borrowings available under the 2018 Revolver at June 30, 2021.</w:t>
      </w:r>
    </w:p>
    <w:p>
      <w:pPr>
        <w:spacing w:after="0" w:line="12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was 1.5% for the thirteen weeks ended March 31, 2021. The interest rate swap matures in June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Other than our paydown of $22.8 million on the 2018 Revolver during the twenty-six weeks ended June 30, 2021 described above, our contractual obligations outstanding on June 30, 2021 have not changed materially since those disclosed under “Debt and Other Obligations – Contractual Obligations” in Part II, Item 7 of our annual report on Form 10-K for the year ended December 30, 2020. Our contractual commitments relate to future (i) debt payments, including expected interest expense, calculated based on current interest rates, (ii) restaurant operating lease payments, (iii) income tax receivable agreement payments, and (iv) purchasing commitments for chicken.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22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As of June 30, 2021 and December 25, 2020, we were using $8.4 million of borrowing capacity on the 2018 Revolver for letters of credit in support of our insurance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are exposed to market risk from changes in interest rates on our debt, which bears interest, at USD LIBOR plus a</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margin between 1.25% and 2.25%. As of June 30, 2021, we had outstanding borrowings of $40.0 million under our 2018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Revolver, $8.4 million of letters of credit in support of our insurance programs, and the applicable margin on outstanding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under 2018 Revolver was 1.5%. In addition, certain tenors of LIBOR are expected to be phased out beginning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after 2021. Organizations are currently working on industry wide and company specific transition plans as it relates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and other derivative contracts exposed to LIBOR. When LIBOR ceases to exist, we may need to enter into an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amendment to the 2018 Credit Agreement and we cannot predict what alternative index would be negotiated with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lenders. If future rates based upon a successor rate are higher than LIBOR rates as currently determined or if our lenders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have increased costs due to changes in LIBOR, we may experience potential increases in interest rates on our variable rate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which could adversely impact our interest expense, results of operations and cash flows. After giving effect to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$40.0 million of interest rate swaps described below, we effectively did not have any long-term debt subject to variations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rates as of June 30, 2021 and as such, a one percent increase in the variable rate of interest would not result in 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 in annual interest expense.</w:t>
      </w:r>
    </w:p>
    <w:p>
      <w:pPr>
        <w:spacing w:after="0" w:line="211"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was 1.5% for the twenty-six weeks ended June30, 2021. The interest rate swap matures in June 2023.</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We maintain disclosure controls and procedures (as such term is defined in Rules 13a-15(e) of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7"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June 30,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No changes in our internal control over financial reporting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“Notes to Condensed Consolidated Financial Statements” above, which information is incorporated by reference into this Item 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30, 2020 filed with the SEC on March 15, 2021.</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4"/>
                <w:szCs w:val="14"/>
                <w:color w:val="auto"/>
                <w:w w:val="98"/>
              </w:rPr>
              <w:t>Filed</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4"/>
                <w:szCs w:val="14"/>
                <w:color w:val="auto"/>
              </w:rPr>
              <w:t>SEC File</w:t>
            </w:r>
          </w:p>
        </w:tc>
      </w:tr>
      <w:tr>
        <w:trPr>
          <w:trHeight w:val="128"/>
        </w:trPr>
        <w:tc>
          <w:tcPr>
            <w:tcW w:w="84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13"/>
          </w:tcPr>
          <w:p>
            <w:pPr>
              <w:ind w:left="40"/>
              <w:spacing w:after="0" w:line="129" w:lineRule="exact"/>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5"/>
              </w:rPr>
              <w:t>Herewith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spacing w:after="0" w:line="129" w:lineRule="exact"/>
              <w:rPr>
                <w:sz w:val="20"/>
                <w:szCs w:val="20"/>
                <w:color w:val="auto"/>
              </w:rPr>
            </w:pPr>
            <w:r>
              <w:rPr>
                <w:rFonts w:ascii="Arial" w:cs="Arial" w:eastAsia="Arial" w:hAnsi="Arial"/>
                <w:sz w:val="14"/>
                <w:szCs w:val="14"/>
                <w:color w:val="auto"/>
              </w:rPr>
              <w:t>Form</w:t>
            </w:r>
          </w:p>
        </w:tc>
        <w:tc>
          <w:tcPr>
            <w:tcW w:w="260" w:type="dxa"/>
            <w:vAlign w:val="bottom"/>
          </w:tcPr>
          <w:p>
            <w:pPr>
              <w:spacing w:after="0"/>
              <w:rPr>
                <w:sz w:val="11"/>
                <w:szCs w:val="11"/>
                <w:color w:val="auto"/>
              </w:rPr>
            </w:pPr>
          </w:p>
        </w:tc>
        <w:tc>
          <w:tcPr>
            <w:tcW w:w="38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color w:val="auto"/>
                <w:w w:val="88"/>
              </w:rPr>
              <w:t>Ended</w:t>
            </w:r>
          </w:p>
        </w:tc>
        <w:tc>
          <w:tcPr>
            <w:tcW w:w="22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Exhibit</w:t>
            </w:r>
          </w:p>
        </w:tc>
        <w:tc>
          <w:tcPr>
            <w:tcW w:w="86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Filing Date</w:t>
            </w: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3580" w:type="dxa"/>
            <w:vAlign w:val="bottom"/>
            <w:gridSpan w:val="15"/>
          </w:tcPr>
          <w:p>
            <w:pPr>
              <w:spacing w:after="0"/>
              <w:rPr>
                <w:rFonts w:ascii="Arial" w:cs="Arial" w:eastAsia="Arial" w:hAnsi="Arial"/>
                <w:sz w:val="18"/>
                <w:szCs w:val="18"/>
                <w:color w:val="0000EE"/>
              </w:rPr>
            </w:pPr>
            <w:hyperlink r:id="rId65">
              <w:r>
                <w:rPr>
                  <w:rFonts w:ascii="Arial" w:cs="Arial" w:eastAsia="Arial" w:hAnsi="Arial"/>
                  <w:sz w:val="18"/>
                  <w:szCs w:val="18"/>
                  <w:color w:val="0000EE"/>
                </w:rPr>
                <w:t>Amended and Restated Certificate of</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Incorporation of El Pollo Loco Holdings, Inc.</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10-Q</w:t>
            </w:r>
          </w:p>
        </w:tc>
        <w:tc>
          <w:tcPr>
            <w:tcW w:w="8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2"/>
              </w:rPr>
              <w:t>6/25/2014</w:t>
            </w:r>
          </w:p>
        </w:tc>
        <w:tc>
          <w:tcPr>
            <w:tcW w:w="5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76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94"/>
              </w:rPr>
              <w:t>9/5/2014</w:t>
            </w:r>
          </w:p>
        </w:tc>
        <w:tc>
          <w:tcPr>
            <w:tcW w:w="100" w:type="dxa"/>
            <w:vAlign w:val="bottom"/>
          </w:tcPr>
          <w:p>
            <w:pPr>
              <w:spacing w:after="0"/>
              <w:rPr>
                <w:sz w:val="17"/>
                <w:szCs w:val="17"/>
                <w:color w:val="auto"/>
              </w:rPr>
            </w:pPr>
          </w:p>
        </w:tc>
        <w:tc>
          <w:tcPr>
            <w:tcW w:w="82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2"/>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Amended and Restated By-Laws of El Pollo</w:t>
              </w:r>
            </w:hyperlink>
          </w:p>
        </w:tc>
        <w:tc>
          <w:tcPr>
            <w:tcW w:w="80" w:type="dxa"/>
            <w:vAlign w:val="bottom"/>
            <w:tcBorders>
              <w:top w:val="single" w:sz="8" w:color="0000EE"/>
            </w:tcBorders>
            <w:gridSpan w:val="2"/>
          </w:tcPr>
          <w:p>
            <w:pPr>
              <w:spacing w:after="0"/>
              <w:rPr>
                <w:sz w:val="24"/>
                <w:szCs w:val="24"/>
                <w:color w:val="auto"/>
              </w:rPr>
            </w:pPr>
          </w:p>
        </w:tc>
        <w:tc>
          <w:tcPr>
            <w:tcW w:w="3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Loco Holdings, Inc.</w:t>
              </w:r>
            </w:hyperlink>
          </w:p>
        </w:tc>
        <w:tc>
          <w:tcPr>
            <w:tcW w:w="214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10-Q</w:t>
            </w:r>
          </w:p>
        </w:tc>
        <w:tc>
          <w:tcPr>
            <w:tcW w:w="8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2"/>
              </w:rPr>
              <w:t>6/25/2014</w:t>
            </w:r>
          </w:p>
        </w:tc>
        <w:tc>
          <w:tcPr>
            <w:tcW w:w="5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76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94"/>
              </w:rPr>
              <w:t>9/5/2014</w:t>
            </w:r>
          </w:p>
        </w:tc>
        <w:tc>
          <w:tcPr>
            <w:tcW w:w="100" w:type="dxa"/>
            <w:vAlign w:val="bottom"/>
          </w:tcPr>
          <w:p>
            <w:pPr>
              <w:spacing w:after="0"/>
              <w:rPr>
                <w:sz w:val="17"/>
                <w:szCs w:val="17"/>
                <w:color w:val="auto"/>
              </w:rPr>
            </w:pPr>
          </w:p>
        </w:tc>
        <w:tc>
          <w:tcPr>
            <w:tcW w:w="82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2"/>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3580" w:type="dxa"/>
            <w:vAlign w:val="bottom"/>
            <w:gridSpan w:val="15"/>
          </w:tcPr>
          <w:p>
            <w:pPr>
              <w:spacing w:after="0"/>
              <w:rPr>
                <w:rFonts w:ascii="Arial" w:cs="Arial" w:eastAsia="Arial" w:hAnsi="Arial"/>
                <w:sz w:val="18"/>
                <w:szCs w:val="18"/>
                <w:color w:val="0000EE"/>
              </w:rPr>
            </w:pPr>
            <w:hyperlink r:id="rId67">
              <w:r>
                <w:rPr>
                  <w:rFonts w:ascii="Arial" w:cs="Arial" w:eastAsia="Arial" w:hAnsi="Arial"/>
                  <w:sz w:val="18"/>
                  <w:szCs w:val="18"/>
                  <w:color w:val="0000EE"/>
                </w:rPr>
                <w:t>El Pollo Loco Holdings, Inc. Equity Incentive</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color w:val="auto"/>
                <w:w w:val="94"/>
              </w:rPr>
              <w:t>6/14/2021</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2"/>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1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Principal Executive Officer</w:t>
              </w:r>
            </w:hyperlink>
          </w:p>
        </w:tc>
        <w:tc>
          <w:tcPr>
            <w:tcW w:w="180" w:type="dxa"/>
            <w:vAlign w:val="bottom"/>
            <w:tcBorders>
              <w:top w:val="single" w:sz="8" w:color="0000EE"/>
            </w:tcBorders>
            <w:gridSpan w:val="5"/>
          </w:tcPr>
          <w:p>
            <w:pPr>
              <w:spacing w:after="0"/>
              <w:rPr>
                <w:sz w:val="24"/>
                <w:szCs w:val="24"/>
                <w:color w:val="auto"/>
              </w:rPr>
            </w:pPr>
          </w:p>
        </w:tc>
        <w:tc>
          <w:tcPr>
            <w:tcW w:w="2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5"/>
          </w:tcPr>
          <w:p>
            <w:pPr>
              <w:spacing w:after="0" w:line="19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of 2002</w:t>
              </w:r>
            </w:hyperlink>
          </w:p>
        </w:tc>
        <w:tc>
          <w:tcPr>
            <w:tcW w:w="3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5"/>
          </w:tcPr>
          <w:p>
            <w:pPr>
              <w:jc w:val="center"/>
              <w:ind w:right="720"/>
              <w:spacing w:after="0" w:line="196" w:lineRule="exact"/>
              <w:rPr>
                <w:sz w:val="20"/>
                <w:szCs w:val="20"/>
                <w:color w:val="auto"/>
              </w:rPr>
            </w:pPr>
            <w:r>
              <w:rPr>
                <w:rFonts w:ascii="Arial" w:cs="Arial" w:eastAsia="Arial" w:hAnsi="Arial"/>
                <w:sz w:val="18"/>
                <w:szCs w:val="18"/>
                <w:color w:val="auto"/>
              </w:rPr>
              <w:t>X</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358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Principal Financial Officer</w:t>
              </w:r>
            </w:hyperlink>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5"/>
          </w:tcPr>
          <w:p>
            <w:pPr>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of 2002</w:t>
              </w:r>
            </w:hyperlink>
          </w:p>
        </w:tc>
        <w:tc>
          <w:tcPr>
            <w:tcW w:w="3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3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Certification of Chief Executive Officer and</w:t>
              </w:r>
            </w:hyperlink>
          </w:p>
        </w:tc>
        <w:tc>
          <w:tcPr>
            <w:tcW w:w="400" w:type="dxa"/>
            <w:vAlign w:val="bottom"/>
            <w:gridSpan w:val="7"/>
          </w:tcPr>
          <w:p>
            <w:pPr>
              <w:spacing w:after="0"/>
              <w:rPr>
                <w:sz w:val="24"/>
                <w:szCs w:val="24"/>
                <w:color w:val="auto"/>
              </w:rPr>
            </w:pPr>
          </w:p>
        </w:tc>
        <w:tc>
          <w:tcPr>
            <w:tcW w:w="42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Chief Financial Officer under 18 U.S.C. section</w:t>
              </w:r>
            </w:hyperlink>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1350, adopted by section 906 of the Sarbanes–</w:t>
              </w:r>
            </w:hyperlink>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Oxley Act of 2002</w:t>
              </w:r>
            </w:hyperlink>
          </w:p>
        </w:tc>
        <w:tc>
          <w:tcPr>
            <w:tcW w:w="22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gridSpan w:val="15"/>
          </w:tcPr>
          <w:p>
            <w:pPr>
              <w:spacing w:after="0"/>
              <w:rPr>
                <w:sz w:val="20"/>
                <w:szCs w:val="20"/>
                <w:color w:val="auto"/>
              </w:rPr>
            </w:pPr>
            <w:r>
              <w:rPr>
                <w:rFonts w:ascii="Arial" w:cs="Arial" w:eastAsia="Arial" w:hAnsi="Arial"/>
                <w:sz w:val="18"/>
                <w:szCs w:val="18"/>
                <w:color w:val="auto"/>
                <w:w w:val="96"/>
              </w:rPr>
              <w:t>Inline XBRL Instance Document - the instance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document does not appear in the Interactive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w w:val="93"/>
              </w:rPr>
              <w:t>Data File because its XBRL tags are embedded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580" w:type="dxa"/>
            <w:vAlign w:val="bottom"/>
            <w:gridSpan w:val="15"/>
          </w:tcPr>
          <w:p>
            <w:pPr>
              <w:spacing w:after="0"/>
              <w:rPr>
                <w:sz w:val="20"/>
                <w:szCs w:val="20"/>
                <w:color w:val="auto"/>
              </w:rPr>
            </w:pPr>
            <w:r>
              <w:rPr>
                <w:rFonts w:ascii="Arial" w:cs="Arial" w:eastAsia="Arial" w:hAnsi="Arial"/>
                <w:sz w:val="18"/>
                <w:szCs w:val="18"/>
                <w:color w:val="auto"/>
              </w:rPr>
              <w:t>XBRL Taxonomy Extension Schema</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580" w:type="dxa"/>
            <w:vAlign w:val="bottom"/>
            <w:gridSpan w:val="15"/>
          </w:tcPr>
          <w:p>
            <w:pPr>
              <w:spacing w:after="0"/>
              <w:rPr>
                <w:sz w:val="20"/>
                <w:szCs w:val="20"/>
                <w:color w:val="auto"/>
              </w:rPr>
            </w:pPr>
            <w:r>
              <w:rPr>
                <w:rFonts w:ascii="Arial" w:cs="Arial" w:eastAsia="Arial" w:hAnsi="Arial"/>
                <w:sz w:val="18"/>
                <w:szCs w:val="18"/>
                <w:color w:val="auto"/>
              </w:rPr>
              <w:t>XBRL Taxonomy Extension Calculation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580" w:type="dxa"/>
            <w:vAlign w:val="bottom"/>
            <w:gridSpan w:val="15"/>
          </w:tcPr>
          <w:p>
            <w:pPr>
              <w:spacing w:after="0"/>
              <w:rPr>
                <w:sz w:val="20"/>
                <w:szCs w:val="20"/>
                <w:color w:val="auto"/>
              </w:rPr>
            </w:pPr>
            <w:r>
              <w:rPr>
                <w:rFonts w:ascii="Arial" w:cs="Arial" w:eastAsia="Arial" w:hAnsi="Arial"/>
                <w:sz w:val="18"/>
                <w:szCs w:val="18"/>
                <w:color w:val="auto"/>
              </w:rPr>
              <w:t>XBRL Taxonomy Extension Definition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58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58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Cover Page Interactive Data File - the cover</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w w:val="93"/>
              </w:rPr>
              <w:t>page interactive data file does not appear in the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w w:val="94"/>
              </w:rPr>
              <w:t>Interactive Data File because its XBRL tags 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59" w:hanging="330"/>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/s/ Bernard Acoca</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(duly authorized officer)</w:t>
      </w:r>
    </w:p>
    <w:p>
      <w:pPr>
        <w:spacing w:after="0" w:line="293"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/s/ Laurance Roberts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66" w:lineRule="exact"/>
        <w:rPr>
          <w:sz w:val="20"/>
          <w:szCs w:val="20"/>
          <w:color w:val="auto"/>
        </w:rPr>
      </w:pPr>
    </w:p>
    <w:p>
      <w:pPr>
        <w:ind w:left="180" w:hanging="17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/s/Bernard Acoca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5966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794385</wp:posOffset>
            </wp:positionV>
            <wp:extent cx="59664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66" w:lineRule="exact"/>
        <w:rPr>
          <w:sz w:val="20"/>
          <w:szCs w:val="20"/>
          <w:color w:val="auto"/>
        </w:rPr>
      </w:pPr>
    </w:p>
    <w:p>
      <w:pPr>
        <w:ind w:right="240"/>
        <w:spacing w:after="0" w:line="329" w:lineRule="auto"/>
        <w:rPr>
          <w:sz w:val="20"/>
          <w:szCs w:val="20"/>
          <w:color w:val="auto"/>
        </w:rPr>
      </w:pPr>
      <w:r>
        <w:rPr>
          <w:rFonts w:ascii="Arial" w:cs="Arial" w:eastAsia="Arial" w:hAnsi="Arial"/>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sectPr>
      <w:pgSz w:w="11900" w:h="16838" w:orient="portrait"/>
      <w:cols w:equalWidth="0" w:num="1">
        <w:col w:w="9400"/>
      </w:cols>
      <w:pgMar w:left="1240" w:top="405"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10"/>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4"/>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5"/>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65" Type="http://schemas.openxmlformats.org/officeDocument/2006/relationships/hyperlink" Target="https://www.sec.gov/Archives/edgar/data/1606366/000119312514332367/d779664dex31.htm" TargetMode="External"/><Relationship Id="rId66" Type="http://schemas.openxmlformats.org/officeDocument/2006/relationships/hyperlink" Target="https://www.sec.gov/Archives/edgar/data/1606366/000119312514332367/d779664dex32.htm" TargetMode="External"/><Relationship Id="rId67" Type="http://schemas.openxmlformats.org/officeDocument/2006/relationships/hyperlink" Target="https://www.sec.gov/Archives/edgar/data/1606366/000160636621000042/loco-20210608ex1014922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2021-08-06T14:12:01Z</dcterms:created>
  <dcterms:modified xsi:type="dcterms:W3CDTF">2021-08-06T14:12:01Z</dcterms:modified>
</cp:coreProperties>
</file>