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0001580602</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0000921895-26-001686</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El Pollo Loco Holdings,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001-36556</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575 ANTON BLVD</w:t>
              <w:br/>
              <w:t>STE 1100</w:t>
              <w:br/>
              <w:t>COSTA MESA</w:t>
              <w:br/>
              <w:t xml:space="preserve">CALIFORNIA </w:t>
              <w:br/>
              <w:t>92626</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7145995000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LION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398"/>
        <w:gridCol w:w="1162"/>
        <w:gridCol w:w="1569"/>
        <w:gridCol w:w="1546"/>
        <w:gridCol w:w="1563"/>
        <w:gridCol w:w="1403"/>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3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569"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398" w:type="dxa"/>
            <w:tcBorders/>
            <w:vAlign w:val="center"/>
          </w:tcPr>
          <w:p>
            <w:pPr>
              <w:pStyle w:val="TableContents"/>
              <w:bidi w:val="0"/>
              <w:spacing w:before="0" w:after="0"/>
              <w:jc w:val="left"/>
              <w:rPr/>
            </w:pPr>
            <w:r>
              <w:rPr/>
              <w:t>Wells Fargo</w:t>
              <w:br/>
              <w:t>280 Park Ave</w:t>
              <w:br/>
              <w:t>Floor 28</w:t>
              <w:br/>
              <w:t>New York   NY   10017</w:t>
            </w:r>
          </w:p>
        </w:tc>
        <w:tc>
          <w:tcPr>
            <w:tcW w:w="1162" w:type="dxa"/>
            <w:tcBorders/>
            <w:vAlign w:val="center"/>
          </w:tcPr>
          <w:p>
            <w:pPr>
              <w:pStyle w:val="TableContents"/>
              <w:bidi w:val="0"/>
              <w:spacing w:before="0" w:after="283"/>
              <w:jc w:val="left"/>
              <w:rPr/>
            </w:pPr>
            <w:r>
              <w:rPr/>
              <w:t>982103</w:t>
            </w:r>
          </w:p>
        </w:tc>
        <w:tc>
          <w:tcPr>
            <w:tcW w:w="1569" w:type="dxa"/>
            <w:tcBorders/>
            <w:vAlign w:val="center"/>
          </w:tcPr>
          <w:p>
            <w:pPr>
              <w:pStyle w:val="TableContents"/>
              <w:bidi w:val="0"/>
              <w:spacing w:before="0" w:after="283"/>
              <w:jc w:val="left"/>
              <w:rPr/>
            </w:pPr>
            <w:r>
              <w:rPr/>
              <w:t>16018099.93</w:t>
            </w:r>
          </w:p>
        </w:tc>
        <w:tc>
          <w:tcPr>
            <w:tcW w:w="1546" w:type="dxa"/>
            <w:tcBorders/>
            <w:vAlign w:val="center"/>
          </w:tcPr>
          <w:p>
            <w:pPr>
              <w:pStyle w:val="TableContents"/>
              <w:bidi w:val="0"/>
              <w:spacing w:before="0" w:after="283"/>
              <w:jc w:val="left"/>
              <w:rPr/>
            </w:pPr>
            <w:r>
              <w:rPr/>
              <w:t>30455298</w:t>
            </w:r>
          </w:p>
        </w:tc>
        <w:tc>
          <w:tcPr>
            <w:tcW w:w="1563" w:type="dxa"/>
            <w:tcBorders/>
            <w:vAlign w:val="center"/>
          </w:tcPr>
          <w:p>
            <w:pPr>
              <w:pStyle w:val="TableContents"/>
              <w:bidi w:val="0"/>
              <w:spacing w:before="0" w:after="283"/>
              <w:jc w:val="left"/>
              <w:rPr/>
            </w:pPr>
            <w:r>
              <w:rPr/>
              <w:t>06/26/2026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06/28/2023</w:t>
            </w:r>
          </w:p>
        </w:tc>
        <w:tc>
          <w:tcPr>
            <w:tcW w:w="1505" w:type="dxa"/>
            <w:tcBorders/>
            <w:vAlign w:val="center"/>
          </w:tcPr>
          <w:p>
            <w:pPr>
              <w:pStyle w:val="TableContents"/>
              <w:bidi w:val="0"/>
              <w:spacing w:before="0" w:after="283"/>
              <w:jc w:val="left"/>
              <w:rPr/>
            </w:pPr>
            <w:r>
              <w:rPr/>
              <w:t>Open Market Purchases</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4000000</w:t>
            </w:r>
          </w:p>
        </w:tc>
        <w:tc>
          <w:tcPr>
            <w:tcW w:w="1078" w:type="dxa"/>
            <w:tcBorders/>
            <w:vAlign w:val="center"/>
          </w:tcPr>
          <w:p>
            <w:pPr>
              <w:pStyle w:val="TableContents"/>
              <w:bidi w:val="0"/>
              <w:spacing w:before="0" w:after="283"/>
              <w:jc w:val="left"/>
              <w:rPr/>
            </w:pPr>
            <w:r>
              <w:rPr/>
              <w:t>06/28/2023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06/26/2026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1675000.00</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06/29/2026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1658000.00</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06/30/2026</w:t>
            </w:r>
          </w:p>
        </w:tc>
        <w:tc>
          <w:tcPr>
            <w:tcW w:w="1549" w:type="dxa"/>
            <w:tcBorders/>
            <w:vAlign w:val="center"/>
          </w:tcPr>
          <w:p>
            <w:pPr>
              <w:pStyle w:val="TableContents"/>
              <w:bidi w:val="0"/>
              <w:spacing w:before="0" w:after="283"/>
              <w:jc w:val="left"/>
              <w:rPr/>
            </w:pPr>
            <w:r>
              <w:rPr/>
              <w:t>22600</w:t>
            </w:r>
          </w:p>
        </w:tc>
        <w:tc>
          <w:tcPr>
            <w:tcW w:w="1830" w:type="dxa"/>
            <w:tcBorders/>
            <w:vAlign w:val="center"/>
          </w:tcPr>
          <w:p>
            <w:pPr>
              <w:pStyle w:val="TableContents"/>
              <w:bidi w:val="0"/>
              <w:spacing w:before="0" w:after="283"/>
              <w:jc w:val="left"/>
              <w:rPr/>
            </w:pPr>
            <w:r>
              <w:rPr/>
              <w:t>382166.00</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132421</w:t>
            </w:r>
          </w:p>
        </w:tc>
        <w:tc>
          <w:tcPr>
            <w:tcW w:w="1830" w:type="dxa"/>
            <w:tcBorders/>
            <w:vAlign w:val="center"/>
          </w:tcPr>
          <w:p>
            <w:pPr>
              <w:pStyle w:val="TableContents"/>
              <w:bidi w:val="0"/>
              <w:spacing w:before="0" w:after="283"/>
              <w:jc w:val="left"/>
              <w:rPr/>
            </w:pPr>
            <w:r>
              <w:rPr/>
              <w:t>2286911.00</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9525</w:t>
            </w:r>
          </w:p>
        </w:tc>
        <w:tc>
          <w:tcPr>
            <w:tcW w:w="1830" w:type="dxa"/>
            <w:tcBorders/>
            <w:vAlign w:val="center"/>
          </w:tcPr>
          <w:p>
            <w:pPr>
              <w:pStyle w:val="TableContents"/>
              <w:bidi w:val="0"/>
              <w:spacing w:before="0" w:after="283"/>
              <w:jc w:val="left"/>
              <w:rPr/>
            </w:pPr>
            <w:r>
              <w:rPr/>
              <w:t>161163.00</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1255500.00</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1211</w:t>
            </w:r>
          </w:p>
        </w:tc>
        <w:tc>
          <w:tcPr>
            <w:tcW w:w="1830" w:type="dxa"/>
            <w:tcBorders/>
            <w:vAlign w:val="center"/>
          </w:tcPr>
          <w:p>
            <w:pPr>
              <w:pStyle w:val="TableContents"/>
              <w:bidi w:val="0"/>
              <w:spacing w:before="0" w:after="283"/>
              <w:jc w:val="left"/>
              <w:rPr/>
            </w:pPr>
            <w:r>
              <w:rPr/>
              <w:t>20260.00</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6533</w:t>
            </w:r>
          </w:p>
        </w:tc>
        <w:tc>
          <w:tcPr>
            <w:tcW w:w="1830" w:type="dxa"/>
            <w:tcBorders/>
            <w:vAlign w:val="center"/>
          </w:tcPr>
          <w:p>
            <w:pPr>
              <w:pStyle w:val="TableContents"/>
              <w:bidi w:val="0"/>
              <w:spacing w:before="0" w:after="283"/>
              <w:jc w:val="left"/>
              <w:rPr/>
            </w:pPr>
            <w:r>
              <w:rPr/>
              <w:t>109166.00</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2749</w:t>
            </w:r>
          </w:p>
        </w:tc>
        <w:tc>
          <w:tcPr>
            <w:tcW w:w="1830" w:type="dxa"/>
            <w:tcBorders/>
            <w:vAlign w:val="center"/>
          </w:tcPr>
          <w:p>
            <w:pPr>
              <w:pStyle w:val="TableContents"/>
              <w:bidi w:val="0"/>
              <w:spacing w:before="0" w:after="283"/>
              <w:jc w:val="left"/>
              <w:rPr/>
            </w:pPr>
            <w:r>
              <w:rPr/>
              <w:t>45908.00</w:t>
            </w:r>
          </w:p>
        </w:tc>
      </w:tr>
      <w:tr>
        <w:trPr/>
        <w:tc>
          <w:tcPr>
            <w:tcW w:w="3000" w:type="dxa"/>
            <w:tcBorders/>
            <w:vAlign w:val="center"/>
          </w:tcPr>
          <w:p>
            <w:pPr>
              <w:pStyle w:val="TableContents"/>
              <w:bidi w:val="0"/>
              <w:spacing w:before="0" w:after="283"/>
              <w:jc w:val="left"/>
              <w:rPr/>
            </w:pPr>
            <w:r>
              <w:rPr/>
              <w:t>The Lion Fund II, L.P.</w:t>
              <w:br/>
              <w:t>19100 Ridgewood Pkwy</w:t>
              <w:br/>
              <w:t>Suite 1200</w:t>
              <w:br/>
              <w:t>San Antonio   TX   78259</w:t>
            </w:r>
          </w:p>
        </w:tc>
        <w:tc>
          <w:tcPr>
            <w:tcW w:w="2891" w:type="dxa"/>
            <w:tcBorders/>
            <w:vAlign w:val="center"/>
          </w:tcPr>
          <w:p>
            <w:pPr>
              <w:pStyle w:val="TableContents"/>
              <w:bidi w:val="0"/>
              <w:spacing w:before="0" w:after="283"/>
              <w:jc w:val="left"/>
              <w:rPr/>
            </w:pPr>
            <w:r>
              <w:rPr/>
              <w:t>Common Stock</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11000</w:t>
            </w:r>
          </w:p>
        </w:tc>
        <w:tc>
          <w:tcPr>
            <w:tcW w:w="1830" w:type="dxa"/>
            <w:tcBorders/>
            <w:vAlign w:val="center"/>
          </w:tcPr>
          <w:p>
            <w:pPr>
              <w:pStyle w:val="TableContents"/>
              <w:bidi w:val="0"/>
              <w:spacing w:before="0" w:after="283"/>
              <w:jc w:val="left"/>
              <w:rPr/>
            </w:pPr>
            <w:r>
              <w:rPr/>
              <w:t>183810.00</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Remarks</w:t>
            </w:r>
          </w:p>
        </w:tc>
        <w:tc>
          <w:tcPr>
            <w:tcW w:w="9022" w:type="dxa"/>
            <w:tcBorders/>
            <w:vAlign w:val="center"/>
          </w:tcPr>
          <w:p>
            <w:pPr>
              <w:pStyle w:val="TableContents"/>
              <w:bidi w:val="0"/>
              <w:spacing w:before="0" w:after="0"/>
              <w:jc w:val="left"/>
              <w:rPr/>
            </w:pPr>
            <w:r>
              <w:rPr/>
              <w:t>The aggregate market value is as of the close of business on 07/28/2026. The number of securities outstanding is as of 05/01/2026. The approximate date of sale is between 06/26/2026 through 09/24/2026. The shares proposed to be sold were acquired and paid for between 06/28/2023 and 08/08/2023. Certain affiliates of The Lion Fund II, L.P. are selling shares of the Issuer and filing on a separate Form 144.</w:t>
            </w:r>
          </w:p>
        </w:tc>
      </w:tr>
      <w:tr>
        <w:trPr/>
        <w:tc>
          <w:tcPr>
            <w:tcW w:w="1183" w:type="dxa"/>
            <w:tcBorders/>
            <w:vAlign w:val="center"/>
          </w:tcPr>
          <w:p>
            <w:pPr>
              <w:pStyle w:val="TableContents"/>
              <w:bidi w:val="0"/>
              <w:spacing w:before="0" w:after="283"/>
              <w:jc w:val="left"/>
              <w:rPr/>
            </w:pPr>
            <w:r>
              <w:rPr/>
              <w:t>Date of Notice</w:t>
            </w:r>
          </w:p>
        </w:tc>
        <w:tc>
          <w:tcPr>
            <w:tcW w:w="9022"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0"/>
              <w:jc w:val="left"/>
              <w:rPr/>
            </w:pPr>
            <w:r>
              <w:rPr/>
              <w:t>/s/ Sardar Biglari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4337</Characters>
  <CharactersWithSpaces>5125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