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624205</wp:posOffset>
            </wp:positionH>
            <wp:positionV relativeFrom="page">
              <wp:posOffset>534035</wp:posOffset>
            </wp:positionV>
            <wp:extent cx="6300470" cy="31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Proxy Statement Pursuant to Section 14(a) of</w:t>
      </w: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the Securities Exchange Act of 1934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200" w:hanging="199"/>
        <w:spacing w:after="0"/>
        <w:tabs>
          <w:tab w:leader="none" w:pos="2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10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200" w:hanging="199"/>
        <w:spacing w:after="0"/>
        <w:tabs>
          <w:tab w:leader="none" w:pos="2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Confidential, for Use of the Commission Only (as permitted by Rule 14a-6(e)(2))</w:t>
      </w:r>
    </w:p>
    <w:p>
      <w:pPr>
        <w:spacing w:after="0" w:line="10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200" w:hanging="199"/>
        <w:spacing w:after="0"/>
        <w:tabs>
          <w:tab w:leader="none" w:pos="2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200" w:hanging="199"/>
        <w:spacing w:after="0"/>
        <w:tabs>
          <w:tab w:leader="none" w:pos="2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200" w:hanging="199"/>
        <w:spacing w:after="0"/>
        <w:tabs>
          <w:tab w:leader="none" w:pos="2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Pursuant to § 240.14a-12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El Pollo Loco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103505</wp:posOffset>
            </wp:positionV>
            <wp:extent cx="630047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92710</wp:posOffset>
            </wp:positionV>
            <wp:extent cx="6300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all boxes that apply):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200" w:hanging="199"/>
        <w:spacing w:after="0"/>
        <w:tabs>
          <w:tab w:leader="none" w:pos="2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200" w:hanging="199"/>
        <w:spacing w:after="0"/>
        <w:tabs>
          <w:tab w:leader="none" w:pos="2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10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200" w:hanging="199"/>
        <w:spacing w:after="0"/>
        <w:tabs>
          <w:tab w:leader="none" w:pos="2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784225</wp:posOffset>
            </wp:positionV>
            <wp:extent cx="6300470" cy="24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479"/>
          </w:cols>
          <w:pgMar w:left="980" w:top="107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7845" cy="9081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8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7845" cy="90811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8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2025-04-17T15:33:34Z</dcterms:created>
  <dcterms:modified xsi:type="dcterms:W3CDTF">2025-04-17T15:33:34Z</dcterms:modified>
</cp:coreProperties>
</file>