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1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29, 2017</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8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5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360"/>
          </w:cols>
          <w:pgMar w:left="240" w:top="1044" w:right="299" w:bottom="1440" w:gutter="0" w:footer="0" w:header="0"/>
        </w:sectPr>
      </w:pPr>
    </w:p>
    <w:bookmarkStart w:id="1" w:name="page2"/>
    <w:bookmarkEnd w:id="1"/>
    <w:p>
      <w:pPr>
        <w:ind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April 24, 2017, there were 38,467,205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8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900" w:type="dxa"/>
            <w:vAlign w:val="bottom"/>
            <w:gridSpan w:val="15"/>
          </w:tcPr>
          <w:p>
            <w:pPr>
              <w:spacing w:after="0"/>
              <w:rPr>
                <w:sz w:val="14"/>
                <w:szCs w:val="14"/>
                <w:color w:val="auto"/>
              </w:rPr>
            </w:pPr>
          </w:p>
        </w:tc>
        <w:tc>
          <w:tcPr>
            <w:tcW w:w="23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4"/>
          </w:tcPr>
          <w:p>
            <w:pPr>
              <w:spacing w:after="0"/>
              <w:rPr>
                <w:sz w:val="21"/>
                <w:szCs w:val="21"/>
                <w:color w:val="auto"/>
              </w:rPr>
            </w:pPr>
          </w:p>
        </w:tc>
        <w:tc>
          <w:tcPr>
            <w:tcW w:w="6020" w:type="dxa"/>
            <w:vAlign w:val="bottom"/>
            <w:gridSpan w:val="7"/>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w:t>
              </w:r>
            </w:hyperlink>
          </w:p>
        </w:tc>
        <w:tc>
          <w:tcPr>
            <w:tcW w:w="4660" w:type="dxa"/>
            <w:vAlign w:val="bottom"/>
            <w:gridSpan w:val="5"/>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9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60" w:type="dxa"/>
            <w:vAlign w:val="bottom"/>
            <w:gridSpan w:val="1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40" w:type="dxa"/>
            <w:vAlign w:val="bottom"/>
            <w:tcBorders>
              <w:left w:val="single" w:sz="8" w:color="0000EE"/>
            </w:tcBorders>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4. Controls and Procedures.</w:t>
              </w:r>
            </w:hyperlink>
          </w:p>
        </w:tc>
        <w:tc>
          <w:tcPr>
            <w:tcW w:w="2580" w:type="dxa"/>
            <w:vAlign w:val="bottom"/>
            <w:gridSpan w:val="8"/>
          </w:tcPr>
          <w:p>
            <w:pPr>
              <w:spacing w:after="0"/>
              <w:rPr>
                <w:sz w:val="21"/>
                <w:szCs w:val="21"/>
                <w:color w:val="auto"/>
              </w:rPr>
            </w:pPr>
          </w:p>
        </w:tc>
        <w:tc>
          <w:tcPr>
            <w:tcW w:w="404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II—OTHER INFORMATION</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 Defaults Upon Senior Securities.</w:t>
              </w:r>
            </w:hyperlink>
          </w:p>
        </w:tc>
        <w:tc>
          <w:tcPr>
            <w:tcW w:w="2020" w:type="dxa"/>
            <w:vAlign w:val="bottom"/>
            <w:gridSpan w:val="6"/>
          </w:tcPr>
          <w:p>
            <w:pPr>
              <w:spacing w:after="0"/>
              <w:rPr>
                <w:sz w:val="21"/>
                <w:szCs w:val="21"/>
                <w:color w:val="auto"/>
              </w:rPr>
            </w:pPr>
          </w:p>
        </w:tc>
        <w:tc>
          <w:tcPr>
            <w:tcW w:w="404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6060" w:type="dxa"/>
            <w:vAlign w:val="bottom"/>
            <w:gridSpan w:val="8"/>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6620" w:type="dxa"/>
            <w:vAlign w:val="bottom"/>
            <w:gridSpan w:val="10"/>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780" w:type="dxa"/>
            <w:vAlign w:val="bottom"/>
            <w:gridSpan w:val="14"/>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723"/>
        </w:trPr>
        <w:tc>
          <w:tcPr>
            <w:tcW w:w="760" w:type="dxa"/>
            <w:vAlign w:val="bottom"/>
            <w:tcBorders>
              <w:top w:val="single" w:sz="8" w:color="0000EE"/>
            </w:tcBorders>
          </w:tcPr>
          <w:p>
            <w:pPr>
              <w:spacing w:after="0"/>
              <w:rPr>
                <w:sz w:val="24"/>
                <w:szCs w:val="24"/>
                <w:color w:val="auto"/>
              </w:rPr>
            </w:pPr>
          </w:p>
        </w:tc>
        <w:tc>
          <w:tcPr>
            <w:tcW w:w="6300" w:type="dxa"/>
            <w:vAlign w:val="bottom"/>
            <w:gridSpan w:val="15"/>
          </w:tcPr>
          <w:p>
            <w:pPr>
              <w:jc w:val="right"/>
              <w:ind w:right="134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2017</w:t>
            </w:r>
          </w:p>
        </w:tc>
        <w:tc>
          <w:tcPr>
            <w:tcW w:w="120" w:type="dxa"/>
            <w:vAlign w:val="bottom"/>
          </w:tcPr>
          <w:p>
            <w:pPr>
              <w:spacing w:after="0"/>
              <w:rPr>
                <w:sz w:val="16"/>
                <w:szCs w:val="16"/>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December 28, 2016</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other receivables, net</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2,112</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14,428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118,470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Property held under capital leases, net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61,888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61,888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25,905</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463,352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471,305</w:t>
            </w: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3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11,637</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vacation</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5,444</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 payable</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22,021</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45,318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104,000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1,012</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206,123</w:t>
            </w: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460" w:type="dxa"/>
            <w:vAlign w:val="bottom"/>
            <w:gridSpan w:val="2"/>
            <w:shd w:val="clear" w:color="auto" w:fill="CCEEFF"/>
          </w:tcPr>
          <w:p>
            <w:pPr>
              <w:jc w:val="right"/>
              <w:ind w:right="2690"/>
              <w:spacing w:after="0"/>
              <w:rPr>
                <w:sz w:val="20"/>
                <w:szCs w:val="20"/>
                <w:color w:val="auto"/>
              </w:rPr>
            </w:pPr>
            <w:r>
              <w:rPr>
                <w:rFonts w:ascii="Arial" w:cs="Arial" w:eastAsia="Arial" w:hAnsi="Arial"/>
                <w:sz w:val="18"/>
                <w:szCs w:val="18"/>
                <w:color w:val="auto"/>
                <w:w w:val="90"/>
              </w:rPr>
              <w:t>issued or</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Common stock, $0.01 par value—200,000,000 shares authorized; 38,467,205</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and 38,473,772 shares issued and outstanding</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371,984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371,843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(107,046)</w:t>
            </w: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265,182</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463,352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471,305</w:t>
            </w:r>
          </w:p>
        </w:tc>
      </w:tr>
      <w:tr>
        <w:trPr>
          <w:trHeight w:val="20"/>
        </w:trPr>
        <w:tc>
          <w:tcPr>
            <w:tcW w:w="5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80"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2017</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30, 2016</w:t>
            </w:r>
          </w:p>
        </w:tc>
        <w:tc>
          <w:tcPr>
            <w:tcW w:w="0" w:type="dxa"/>
            <w:vAlign w:val="bottom"/>
          </w:tcPr>
          <w:p>
            <w:pPr>
              <w:spacing w:after="0"/>
              <w:rPr>
                <w:sz w:val="1"/>
                <w:szCs w:val="1"/>
                <w:color w:val="auto"/>
              </w:rPr>
            </w:pPr>
          </w:p>
        </w:tc>
      </w:tr>
      <w:tr>
        <w:trPr>
          <w:trHeight w:val="236"/>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93,449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88,369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94,354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Food and paper cost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Occupancy and other operating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18,834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 equipment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84,060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Interest expense-net of interest income of $5 and $7 for the quarters ended March 29, 2017 and March 30, 2016,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used in computing net income per share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38,437,020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38,284,435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39,079,007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39,001,078</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2017</w:t>
            </w:r>
          </w:p>
        </w:tc>
        <w:tc>
          <w:tcPr>
            <w:tcW w:w="200" w:type="dxa"/>
            <w:vAlign w:val="bottom"/>
          </w:tcPr>
          <w:p>
            <w:pPr>
              <w:spacing w:after="0"/>
              <w:rPr>
                <w:sz w:val="22"/>
                <w:szCs w:val="22"/>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rPr>
              <w:t>March 30,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5,443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Fire insurance proceeds for expenses paid and lost profit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recovery of insurance proceeds for property, equipment and expenses</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Closed-store reserve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and other receivables,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salaries and vacation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1,831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insurance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2,341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Fire insurance proceeds for property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on revolver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obligations under capital leases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8,864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2017</w:t>
            </w:r>
          </w:p>
        </w:tc>
        <w:tc>
          <w:tcPr>
            <w:tcW w:w="2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30, 2016</w:t>
            </w:r>
          </w:p>
        </w:tc>
      </w:tr>
      <w:tr>
        <w:trPr>
          <w:trHeight w:val="26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781</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7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20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29, 2017, the Company operated 204 and franchised 263 El Pollo Loco restaurants.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28, 2016.</w:t>
      </w:r>
    </w:p>
    <w:p>
      <w:pPr>
        <w:spacing w:after="0" w:line="16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2016 and 2017 are both 52-week years, ending on December 28, 2016 and December 27, 2017, respectively. Revenues, expenses, and other financial and operational figures may be elevated in a 53-week year.</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ind w:right="340"/>
        <w:spacing w:after="0" w:line="277" w:lineRule="auto"/>
        <w:rPr>
          <w:sz w:val="20"/>
          <w:szCs w:val="20"/>
          <w:color w:val="auto"/>
        </w:rPr>
      </w:pPr>
      <w:r>
        <w:rPr>
          <w:rFonts w:ascii="Arial" w:cs="Arial" w:eastAsia="Arial" w:hAnsi="Arial"/>
          <w:sz w:val="18"/>
          <w:szCs w:val="18"/>
          <w:color w:val="auto"/>
        </w:rPr>
        <w:t>impairment of goodwill, intangible assets and property and equipment, insurance reserves, lease termination liabilities, closed-store reserves, stock-based compensation, income tax receivable agreement liability, and income tax valuation allowances.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Company’s restricted cash represented cash collateral to one commercial bank for Company credit cards. During the thirteen weeks ended March 29, 2017, the cash collateral was returned by the bank, and the Company reclassified such amounts to cash and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principal liquidity requirements are to service its debt and to meet capital expenditure needs. At March 29, 2017, the Company’s total debt (including capital lease liabilities) was $101.4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$6.7 million at March 29, 2017, and available borrowings under the 2014 Revolver (which availability was approximately $90.9 million at March 29, 2017) will be adequate to meet the Company’s liquidity needs for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2015, one of the Company’s restaurants incurred damage resulting from a fire. During the thirteen weeks ended March 30, 2016, we incurred costs directly related to the fire of less than $0.1 million, and recognized gains of $0.3 million, related to the reimbursement of property and equipment. The Company received from the insurance company cash of $0.4 million during the thirteen weeks ended March 30, 2016, net of the insurance deductible. The restaurant was reopened for business on March 14, 2016.</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January 2017, the FASB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the Company’s consolidated financial position or results of operations.</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 annual periods. The adoption of ASU 2016-18 is not expected to have a significant impact on the Company’s consolidated financial position or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92" w:right="279" w:bottom="1440" w:gutter="0" w:footer="0" w:header="0"/>
        </w:sectPr>
      </w:pPr>
    </w:p>
    <w:bookmarkStart w:id="9" w:name="page10"/>
    <w:bookmarkEnd w:id="9"/>
    <w:p>
      <w:pPr>
        <w:ind w:right="80"/>
        <w:spacing w:after="0" w:line="30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statements of cash flows. The Company adopted ASU 2016-09 in the first quarter of fiscal 2017; however, as there were no exercises during the period there was no impact to the financial statements.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we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$280.1 million of operating lease obligations as of March 29, 2017 and upon adoption of this standard will record a ROU asset and lease liability for present value of these leases, which will have a material impact on the balance sheet. However, the statement of income recognition of lease expense is not expected to change from the current methodology.</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the Company’s consolidated financial position or results of operations.</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Company adopted ASU 2015-17 retrospectively in the first quarter of fiscal 2017, resulting in the classification of all deferred tax assets as non-current. As the Company implemented this ASU retrospectively $21.5 million of deferred tax assets previously classified as current assets in fiscal year 2016 are now classified as noncurrent assets within the Company's condensed consolidated balance sheets.</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July 2015, the FASB issued ASU No. 2015-11, “Inventory (Topic 330).” The pronouncement was issued to simplify the measurement of inventory and changes the measurement from lower of cost or market to lower of cost and net realizable value. The Company adopted ASU 2015-11 in first quarter of fiscal 2017, but this adoption did not result in any impact to the financial statements, based on the fast turnover of the Company's inventory.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with the cumulative effect of initially adopting ASU 2014-09 recognized at the date of adoption (which includes additional footnote disclosures).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FASB has issued the following Technical Corrections, Practical Expedients and Improvements to Topic 606, Revenue from Contracts with Customers: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 nature of the Company’s business, the adoption of ASU No. 2014-09, or any of the subsequent related ASU’s, are not expected to impact the majority of its revenue streams. The Company is currently in the process of evaluating current accounting policies to identify potential differences for the remaining revenue streams and, while the Company does anticipate some changes to revenue recognition for certain franchisee and development agreements, it does not currently believe the adoption of ASU 2014-09 will have a material impact to its consolidated financial position or results of operations. In addition, the Company is currently determining the transition method and disclosure requirements, and plans on finishing its analysis by the end of fiscal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29, 2017, the Company opened two new restaurant and made a $1.0 million pre-payment on the 2014 Revolver.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evaluated subsequent events that have occurred after March 29, 2017, and determined that there were no other events or transactions occurring during this reporting period that require recognition or disclosure in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had no suppliers for which amounts due at March 29, 2017 totaled greater than 10% of the Company’s accounts payable. As of December 28, 2016, the Company had one supplier for which amounts totaled 16% of the Company’s accounts payable. Purchases from the Company’s largest supplier totaled 29% of total expenses for the thirteen weeks ended March 29, 2017, and 33% of total expenses for the thirteen weeks ended March 30, 2016, of the Company’s purchases. Company-operated and franchised restaurants in the greater Los Angeles area generated, in the aggregate, approximately 73% and 76% of total revenue for the thirteen weeks ended March 29, 2017 and March 30, 2016,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Upon a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performs annual impairment tests for goodwill during the fourth fiscal quarter of each fiscal year, or more frequently if impairment indicators arise.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1" w:name="page12"/>
    <w:bookmarkEnd w:id="11"/>
    <w:p>
      <w:pPr>
        <w:ind w:right="100"/>
        <w:spacing w:after="0" w:line="277" w:lineRule="auto"/>
        <w:rPr>
          <w:sz w:val="20"/>
          <w:szCs w:val="20"/>
          <w:color w:val="auto"/>
        </w:rPr>
      </w:pPr>
      <w:r>
        <w:rPr>
          <w:rFonts w:ascii="Arial" w:cs="Arial" w:eastAsia="Arial" w:hAnsi="Arial"/>
          <w:sz w:val="18"/>
          <w:szCs w:val="18"/>
          <w:color w:val="auto"/>
        </w:rPr>
        <w:t>carrying amount of the goodwill to a determination of the implied value of the goodwill. If the carrying amount of goodwill is greater than the implied value, an impairment charge is recognized for the difference.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fiscal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did not identify any indicators of potential impairment of its goodwill or indefinite-lived intangible assets during the thirteen weeks ended March 29, 2017, and therefore did not record any impairment. Furthermore, the Company did not identify any indicators of potential impairment during the thirteen weeks ended March 30, 2016, and thus no impairment was recorded.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2017 and December 28, 2016, the Company had no assets or liabilities measured at fair value on a recurring basis.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Based on the results of the analysis, the Company did not record a non-cash impairment charge for the thirteen weeks ended March 29, 2017 or March 30, 2016. However, during the thirteen weeks ended March 29, 2017, the Company recorded an immaterial non-cash impairment charge related to capital expenditures for stores fully impaired in previous years. The Company continues to monitor the recoverability of the carrying value of the assets of several restaurants on an ongoing basis.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 In the first quarter of fiscal 2017 the Company implemented ASU 2015-17, resulting in the classification of all deferred tax assets as non-current. 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spacing w:after="0" w:line="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implemented this ASU retrospectively $21.5 million of deferred tax assets previously classified as current in fiscal year 2016 are now classified as noncurrent liabilities within the Company's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March 29, 2017 or at December 28, 2016, and did not recognize interest or penalties during the thirteen weeks ended March 29, 2017 or March 30, 2016,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2017</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28,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134,217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125,159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11,539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(96,382)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118,470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Depreciation expense was $4.3 million and $3.8 million for the thirteen weeks ended March 29, 2017 and March 30, 2016, respectively. The gross value of assets under capital leases for buildings and improvements was $1.6 million at March 29, 2017 and December 28, 2016. Accumulated depreciation for assets under capital leases was $1.5 million as of March 29, 2017 and December 28, 2016. For the thirteen weeks ended March 29, 2017, capital expenditures totaled $11.6 million, including $1.4 million for restaurant remodeling and $9.5 million for new restaurant expenditures. For the thirteen weeks ended March 30, 2016, capital expenditures totaled $5.9 million, including $1.5 million for restaurant remodeling and $2.9 million for new restaurant expenditures. Capital expenditures for these periods exclude unpaid purchases of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March 29, 2017, options to purchase 2,191,728 shares of common stock were outstanding, including 1,746,501 vested and 445,227 unvested. Unvested options vest over time. However, upon a change in control, the board may accelerate vesting. At March 29, 2017, 1,569,436 premium options, options granted above the stock price at date of grant, remained outstanding. No stock options were exercised in the thirteen weeks ended March 29, 2017 and March 30, 2016. No stock options were granted in the thirteen weeks ended March 29, 2017 and March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29, 2017, there were 30,185 unvested restricted shares outstanding. Restricted shares vest over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29, 2017, we had total unrecognized compensation expense of $1.1 million, related to unvested stock options and restricted shares, which we expect to recognize over a weighted-average period of 2.8 years.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stock-based compensation expense was $0.1 million for the thirteen weeks ended March 29, 2017 and less than $0.1 million for the thirteen weeks ended March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$200.0 million five-year senior secured revolving facility (the “2014 Revolver”). The 2014 Revolver includes a sub limit of $15.0 million for letters of credit and a sub limit of $15.0 million for swingline loans. At March 29, 2017, $8.1 million of letters of credit, and $101.0 million of the revolving line of credit were outstanding. The amount available under the revolving line of credit was $90.9 million at March 29, 2017. The 2014 Revolver will mature on or about December 11, 2019.</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2.3% to 2.7% and 2.0% to 2.2% for the thirteen weeks ended March 29, 2017 and March 30, 2016, respectively.</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w:t>
      </w:r>
    </w:p>
    <w:p>
      <w:pPr>
        <w:sectPr>
          <w:pgSz w:w="11900" w:h="16867" w:orient="portrait"/>
          <w:cols w:equalWidth="0" w:num="1">
            <w:col w:w="11420"/>
          </w:cols>
          <w:pgMar w:left="240" w:top="692" w:right="239" w:bottom="0" w:gutter="0" w:footer="0" w:header="0"/>
        </w:sectPr>
      </w:pPr>
    </w:p>
    <w:bookmarkStart w:id="13" w:name="page14"/>
    <w:bookmarkEnd w:id="13"/>
    <w:p>
      <w:pPr>
        <w:ind w:right="240"/>
        <w:spacing w:after="0" w:line="264" w:lineRule="auto"/>
        <w:rPr>
          <w:sz w:val="20"/>
          <w:szCs w:val="20"/>
          <w:color w:val="auto"/>
        </w:rPr>
      </w:pPr>
      <w:r>
        <w:rPr>
          <w:rFonts w:ascii="Arial" w:cs="Arial" w:eastAsia="Arial" w:hAnsi="Arial"/>
          <w:sz w:val="18"/>
          <w:szCs w:val="18"/>
          <w:color w:val="auto"/>
        </w:rPr>
        <w:t>investments, asset sales, mergers, consolidations, liquidations, dissolutions, restricted payments, and negative pledges. The 2014 Revolver also includes certain customary affirmative covenants and events of default. The Company was in compliance with all such covenants at March 29, 2017. See Note 1 for restrictions on the payment of dividends under the 2014 Revolver.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are no required principal payments prior to maturity for the 2014 Revolver. During the thirteen weeks ended March 29, 2017, the Company elected to pay down $3.0 million of outstanding borrowings on our 2014 Revolver, primarily from our cash flow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29, 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3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tax receivable agreement payable</w:t>
            </w:r>
          </w:p>
        </w:tc>
        <w:tc>
          <w:tcPr>
            <w:tcW w:w="3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Gift card liability</w:t>
            </w:r>
          </w:p>
        </w:tc>
        <w:tc>
          <w:tcPr>
            <w:tcW w:w="3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22,993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22,021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2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20" w:type="dxa"/>
            <w:vAlign w:val="bottom"/>
            <w:tcBorders>
              <w:bottom w:val="single" w:sz="8" w:color="CCEEFF"/>
            </w:tcBorders>
          </w:tcPr>
          <w:p>
            <w:pPr>
              <w:spacing w:after="0"/>
              <w:rPr>
                <w:sz w:val="24"/>
                <w:szCs w:val="24"/>
                <w:color w:val="auto"/>
              </w:rPr>
            </w:pPr>
          </w:p>
        </w:tc>
        <w:tc>
          <w:tcPr>
            <w:tcW w:w="3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29,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tax receivable agreement payable</w:t>
            </w:r>
          </w:p>
        </w:tc>
        <w:tc>
          <w:tcPr>
            <w:tcW w:w="3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26,306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3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37,749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36,988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20" w:type="dxa"/>
            <w:vAlign w:val="bottom"/>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ind w:right="772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40"/>
        <w:spacing w:after="0" w:line="253" w:lineRule="auto"/>
        <w:rPr>
          <w:sz w:val="20"/>
          <w:szCs w:val="20"/>
          <w:color w:val="auto"/>
        </w:rPr>
      </w:pPr>
      <w:r>
        <w:rPr>
          <w:rFonts w:ascii="Arial" w:cs="Arial" w:eastAsia="Arial" w:hAnsi="Arial"/>
          <w:sz w:val="18"/>
          <w:szCs w:val="18"/>
          <w:color w:val="auto"/>
        </w:rPr>
        <w:t xml:space="preserve">On or about February 24, 2014, a former employee filed a class action in the Superior Court of the State of California, County of Orange, under the caption </w:t>
      </w:r>
      <w:r>
        <w:rPr>
          <w:rFonts w:ascii="Arial" w:cs="Arial" w:eastAsia="Arial" w:hAnsi="Arial"/>
          <w:sz w:val="18"/>
          <w:szCs w:val="18"/>
          <w:u w:val="single" w:color="auto"/>
          <w:color w:val="auto"/>
        </w:rPr>
        <w:t>Elliott Olvera, et al v. El Pollo Loco, Inc., et al</w:t>
      </w:r>
      <w:r>
        <w:rPr>
          <w:rFonts w:ascii="Arial" w:cs="Arial" w:eastAsia="Arial" w:hAnsi="Arial"/>
          <w:sz w:val="18"/>
          <w:szCs w:val="18"/>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recently refused to approve on the grounds that it did not provide sufficient compensation for the putative class members. The parties are now once again engaged in settlement discussion with the putative lead plaintiff proposing to limit the class to those hourly employees who worked as cooks at the time a corporate-owned restaurant closed. Purported class actions alleging wage and hour violations are commonly filed against California employers, and we fully expect to have to defend against similar lawsuits in the future.</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intend to continue to defend against the claims asserted and intend to file a motion to dismiss the amended complaint on or about May17, 2017.</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80" w:right="29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 xml:space="preserve">defendants and asserts substantially the same claims on substantially the same alleged facts as does </w:t>
      </w:r>
      <w:r>
        <w:rPr>
          <w:rFonts w:ascii="Arial" w:cs="Arial" w:eastAsia="Arial" w:hAnsi="Arial"/>
          <w:sz w:val="18"/>
          <w:szCs w:val="18"/>
          <w:u w:val="single" w:color="auto"/>
          <w:color w:val="auto"/>
        </w:rPr>
        <w:t>Galustyan</w:t>
      </w:r>
      <w:r>
        <w:rPr>
          <w:rFonts w:ascii="Arial" w:cs="Arial" w:eastAsia="Arial" w:hAnsi="Arial"/>
          <w:sz w:val="18"/>
          <w:szCs w:val="18"/>
          <w:color w:val="auto"/>
        </w:rPr>
        <w:t xml:space="preserve">. Defendants moved to stay or dismiss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allowed the claim based on allegations that directors, officers and a large stockholder sold shares at inflated prices to proceed and also denied the defendants' motion to dismiss that claim. No trial date for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has been set.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2017 with an estimated Company obligation totaling $6.6 million as of March 29,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29, 2017, the Company’s total estimated commitment to purchase chicken was $27.0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franchisees, the Company is contingently liable on five lease agreements. These leases have various terms, the latest of which expires in 2036.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March 29, 2017, the potential amount of undiscounted payments the Company could be required to make in the event of non-payment by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lessee was $3.0 million. The present value of these potential payments discounted at the Company’s estimated pre-tax cost of debt at March 29,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The Company’s franchisees are primarily liable on the leases. The Company has cross-default provisions with these franchisees that would put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them in default of their franchise agreements in the event of non-payment under the leases. The Company believes that these cross-default provisions reduce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risk that payments will be required to be made under these leases. Accordingly, no liability has been recorded in the Company’s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related to these contingent liabilities.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weeks ended March 29, 2017 and March 30, 2016.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2017</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30, 2016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1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38,437,020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38,284,435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39,079,007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39,001,078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 per share—basic</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1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468,705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2017</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30, 2016</w:t>
            </w:r>
          </w:p>
        </w:tc>
        <w:tc>
          <w:tcPr>
            <w:tcW w:w="0" w:type="dxa"/>
            <w:vAlign w:val="bottom"/>
          </w:tcPr>
          <w:p>
            <w:pPr>
              <w:spacing w:after="0"/>
              <w:rPr>
                <w:sz w:val="1"/>
                <w:szCs w:val="1"/>
                <w:color w:val="auto"/>
              </w:rPr>
            </w:pPr>
          </w:p>
        </w:tc>
      </w:tr>
      <w:tr>
        <w:trPr>
          <w:trHeight w:val="215"/>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38,437,020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38,284,435</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Dilutive effect of stock options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16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641,987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716,643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39,079,007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39,001,078</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43.5%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discussion and analysis should be read in conjunction with Item 1 above and with the consolidated financial statements contained in our annual report on Form 10-K for the year ended December 28, 2016.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24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 of March 29, 2017, we had 467 locations in five states. In fiscal 2016, we opened 18 new company-operated and 13 new franchised restaurants across Arizona, California, Nevada, Utah and Texas. For the quarter ended March 29, 2017, we opened 5 new company-operated restaurants and 4 franchised restaurants, in California, Texas and Arizona. In 2017, we intend to open 15 to 20 new company-operated and 8 to 12 new franchised restaurants. Over the long-term, we plan to grow the number of El Pollo Loco restaurants by 8% to 10% annually. To increase comparable restaurant sales, we plan to increase customer frequency, attract new customers, and improve per-person spend. These growth rates are not guaranteed.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System-wide, for the quarter ended March 29, 2017, comparable restaurant sales decreased 0.3% year over year. For company-operated restaurants, comparable restaurant sales, for the quarter, decreased by 0.4%. For company-operated restaurants, the quarter’s change in comparable restaurant sales consisted of a 2.2% decline in transactions, partially offset by a 1.9% increase in average check size. For franchised restaurants, comparable restaurant sales decreased 0.2%.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thirteen weeks ended March 29, 2017, were as follows.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0"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Thirteen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March 29, 2017</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and our franchisees commenced our remodeling program in 2011 and, as of March 29, 2017, together we had remodeled 109 company-operated and 187 franchised restaurants, or 296 system-wide, over 75% of our restaurant system due to be remodeled. Remodeling is a use of cash and has implications for our net property and depreciation line items on our condensed consolidated balance sheets and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28, 2016,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2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the Company’s consolidated financial position or results of operations.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 annual periods. The adoption of ASU 2016-18 is not expected to have a significant impact on the Company’s consolidated financial position or results of operations.</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statements of cash flows. The Company adopted ASU 2016-09 in the first quarter of fiscal 2017; however, as there were no exercises during the period there was no impact to the financial statements.</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we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$280.1 million of operating lease obligations as of March 29, 2017 and upon adoption of this standard will record a ROU asset and lease liability for present value of these leases, which will have a material impact on the balance sheet. However, the statement of income recognition of lease expense is not expected to change from the current methodology.</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the Company’s consolidated financial position or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96" w:right="259" w:bottom="1440" w:gutter="0" w:footer="0" w:header="0"/>
        </w:sectPr>
      </w:pPr>
    </w:p>
    <w:bookmarkStart w:id="20" w:name="page21"/>
    <w:bookmarkEnd w:id="20"/>
    <w:p>
      <w:pPr>
        <w:ind w:right="60"/>
        <w:spacing w:after="0" w:line="297" w:lineRule="auto"/>
        <w:rPr>
          <w:sz w:val="20"/>
          <w:szCs w:val="20"/>
          <w:color w:val="auto"/>
        </w:rPr>
      </w:pPr>
      <w:r>
        <w:rPr>
          <w:rFonts w:ascii="Arial" w:cs="Arial" w:eastAsia="Arial" w:hAnsi="Arial"/>
          <w:sz w:val="16"/>
          <w:szCs w:val="16"/>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Company adopted ASU 2015-17 retrospectively in the first quarter of fiscal 2017, resulting in the classification of all deferred tax assets as non-current. As the Company implemented this ASU retrospectively $21.5 million of deferred tax assets previously classified as current assets in fiscal year 2016 are now classified as noncurrent assets within the Company's condensed consolidated balance sheets.</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July 2015, the FASB issued ASU No. 2015-11, “Inventory (Topic 330).” The pronouncement was issued to simplify the measurement of inventory and changes the measurement from lower of cost or market to lower of cost and net realizable value. The Company adopted ASU 2015-11 in first quarter of fiscal 2017, but this adoption did not result in any impact to the financial statements, based on the fast turnover of the Company's inventory.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FASB has issued the following Technical Corrections, Practical Expedients and Improvements to Topic 606, Revenue from Contracts with Customers: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on the nature of the Company’s business, the adoption of ASU No. 2014-09, or any of the subsequent related ASU’s, are not expected to impact the majority of its revenue streams. The Company is currently in the process of evaluating current accounting policies to identify potential differences for the remaining revenue streams and, while the Company does anticipate some changes to revenue recognition for certain franchisee and development agreements, it does not currently believe the adoption of ASU 2014-09 will have a material impact to its consolidated financial position or results of operations. In addition, the Company is currently determining the transition method and disclosure requirements, and plans on finishing its analysis by the end of fiscal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904"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29, 2017 and March 30, 2016, there were 415 and 404 comparable restaurants, 174 and 167 company-operated and 241 and 237 franchised, respectively. Comparable restaurant sales indicate the performance of existing restaurants, since new restaurants are excluded.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0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42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18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2017</w:t>
            </w:r>
          </w:p>
        </w:tc>
        <w:tc>
          <w:tcPr>
            <w:tcW w:w="180" w:type="dxa"/>
            <w:vAlign w:val="bottom"/>
          </w:tcPr>
          <w:p>
            <w:pPr>
              <w:spacing w:after="0"/>
              <w:rPr>
                <w:sz w:val="22"/>
                <w:szCs w:val="22"/>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30, 2016</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93,449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88,369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180" w:type="dxa"/>
            <w:vAlign w:val="bottom"/>
          </w:tcPr>
          <w:p>
            <w:pPr>
              <w:spacing w:after="0"/>
              <w:rPr>
                <w:sz w:val="21"/>
                <w:szCs w:val="21"/>
                <w:color w:val="auto"/>
              </w:rPr>
            </w:pP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74,447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70,109</w:t>
            </w:r>
          </w:p>
        </w:tc>
      </w:tr>
      <w:tr>
        <w:trPr>
          <w:trHeight w:val="27"/>
        </w:trPr>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18,260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8"/>
          <w:szCs w:val="18"/>
          <w:color w:val="auto"/>
        </w:rPr>
        <w:t>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2017</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March 30, 2016</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expense-net of interest income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826</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13,451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13,788</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6"/>
                <w:szCs w:val="16"/>
                <w:color w:val="auto"/>
              </w:rPr>
              <w:t>(a)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6"/>
                <w:szCs w:val="16"/>
                <w:color w:val="auto"/>
              </w:rPr>
              <w:t>(b)(c)</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r>
              <w:rPr>
                <w:rFonts w:ascii="Arial" w:cs="Arial" w:eastAsia="Arial" w:hAnsi="Arial"/>
                <w:sz w:val="16"/>
                <w:szCs w:val="16"/>
                <w:color w:val="auto"/>
              </w:rPr>
              <w:t>(c)</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Gain on recovery of insurance proceeds</w:t>
            </w:r>
            <w:r>
              <w:rPr>
                <w:rFonts w:ascii="Arial" w:cs="Arial" w:eastAsia="Arial" w:hAnsi="Arial"/>
                <w:sz w:val="16"/>
                <w:szCs w:val="16"/>
                <w:color w:val="auto"/>
              </w:rPr>
              <w:t>(c)</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r>
              <w:rPr>
                <w:rFonts w:ascii="Arial" w:cs="Arial" w:eastAsia="Arial" w:hAnsi="Arial"/>
                <w:sz w:val="16"/>
                <w:szCs w:val="16"/>
                <w:color w:val="auto"/>
              </w:rPr>
              <w:t>(d)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receivable agreement expense(e)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class action legal expense</w:t>
            </w:r>
            <w:r>
              <w:rPr>
                <w:rFonts w:ascii="Arial" w:cs="Arial" w:eastAsia="Arial" w:hAnsi="Arial"/>
                <w:sz w:val="16"/>
                <w:szCs w:val="16"/>
                <w:color w:val="auto"/>
              </w:rPr>
              <w:t>(f)</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Pre-opening costs</w:t>
            </w:r>
            <w:r>
              <w:rPr>
                <w:rFonts w:ascii="Arial" w:cs="Arial" w:eastAsia="Arial" w:hAnsi="Arial"/>
                <w:sz w:val="16"/>
                <w:szCs w:val="16"/>
                <w:color w:val="auto"/>
              </w:rPr>
              <w:t>(g)</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transition costs</w:t>
            </w:r>
            <w:r>
              <w:rPr>
                <w:rFonts w:ascii="Arial" w:cs="Arial" w:eastAsia="Arial" w:hAnsi="Arial"/>
                <w:sz w:val="16"/>
                <w:szCs w:val="16"/>
                <w:color w:val="auto"/>
              </w:rPr>
              <w:t>(h)</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15,985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16,044</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66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2015, one of the Company’s restaurants incurred damage resulting from a fire. During the thirteen weeks ended March 30, 2016, we incurred costs directly related to the fire of less than $0.1 million, and recognized a gain of $0.3 million, related to the reimbursement of property and equipment. The Company received from the insurance company cash of $0.4 million during the thirteen weeks ended March 30, 2016, net of the insurance deductible. The restaurant was reopened for business on March 14, 2016.</w:t>
      </w:r>
    </w:p>
    <w:p>
      <w:pPr>
        <w:spacing w:after="0" w:line="1" w:lineRule="exact"/>
        <w:rPr>
          <w:rFonts w:ascii="Arial" w:cs="Arial" w:eastAsia="Arial" w:hAnsi="Arial"/>
          <w:sz w:val="18"/>
          <w:szCs w:val="18"/>
          <w:color w:val="auto"/>
        </w:rPr>
      </w:pPr>
    </w:p>
    <w:p>
      <w:pPr>
        <w:ind w:left="660" w:right="34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 During the thirteen weeks ended March 29, 2017, the Company closed one restaurant in Arizona and one restaurant in Texas.</w:t>
      </w:r>
    </w:p>
    <w:p>
      <w:pPr>
        <w:ind w:left="660" w:right="2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weeks ended March 29, 2017, income tax receivable agreement expense consisted of the amortization of interest expense related to our total expected TRA payments.</w:t>
      </w:r>
    </w:p>
    <w:p>
      <w:pPr>
        <w:spacing w:after="0" w:line="1" w:lineRule="exact"/>
        <w:rPr>
          <w:rFonts w:ascii="Arial" w:cs="Arial" w:eastAsia="Arial" w:hAnsi="Arial"/>
          <w:sz w:val="18"/>
          <w:szCs w:val="18"/>
          <w:color w:val="auto"/>
        </w:rPr>
      </w:pPr>
    </w:p>
    <w:p>
      <w:pPr>
        <w:ind w:left="660" w:right="1000" w:hanging="652"/>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costs related to a securities class action lawsuit. See the Notes to the Condensed Consolidated Financial Statements, Note 7, Commitments and Contingencies, Legal Matters.</w:t>
      </w:r>
    </w:p>
    <w:p>
      <w:pPr>
        <w:ind w:left="660" w:right="20" w:hanging="652"/>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Comparison of Results of Operations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thirteen weeks ended March 29, 2017 and March 30, 2016, in absolute terms,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March 29, 2017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March 30, 2016</w:t>
            </w:r>
          </w:p>
        </w:tc>
        <w:tc>
          <w:tcPr>
            <w:tcW w:w="200" w:type="dxa"/>
            <w:vAlign w:val="bottom"/>
          </w:tcPr>
          <w:p>
            <w:pPr>
              <w:spacing w:after="0"/>
              <w:rPr>
                <w:sz w:val="13"/>
                <w:szCs w:val="13"/>
                <w:color w:val="auto"/>
              </w:rPr>
            </w:pPr>
          </w:p>
        </w:tc>
        <w:tc>
          <w:tcPr>
            <w:tcW w:w="1240" w:type="dxa"/>
            <w:vAlign w:val="bottom"/>
            <w:gridSpan w:val="3"/>
          </w:tcPr>
          <w:p>
            <w:pPr>
              <w:jc w:val="center"/>
              <w:ind w:left="432"/>
              <w:spacing w:after="0" w:line="153" w:lineRule="exact"/>
              <w:rPr>
                <w:sz w:val="20"/>
                <w:szCs w:val="20"/>
                <w:color w:val="auto"/>
              </w:rPr>
            </w:pPr>
            <w:r>
              <w:rPr>
                <w:rFonts w:ascii="Arial" w:cs="Arial" w:eastAsia="Arial" w:hAnsi="Arial"/>
                <w:sz w:val="14"/>
                <w:szCs w:val="14"/>
                <w:b w:val="1"/>
                <w:bCs w:val="1"/>
                <w:color w:val="auto"/>
                <w:w w:val="92"/>
              </w:rPr>
              <w:t>Increase /</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9"/>
              </w:rPr>
              <w:t>(Decrease)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3"/>
              </w:rPr>
              <w:t>,000)</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3"/>
              </w:rPr>
              <w:t>,000)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93,449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88,369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44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6,322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5,985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7"/>
              </w:rPr>
              <w:t>99,771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7"/>
              </w:rPr>
              <w:t>94,354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Cost of operations</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27,072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26,768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44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w w:val="87"/>
              </w:rPr>
              <w:t>26,833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24,507</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20,542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18,834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7"/>
              </w:rPr>
              <w:t>74,447</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79.7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70,109</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4,338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expenses</w:t>
            </w:r>
          </w:p>
        </w:tc>
        <w:tc>
          <w:tcPr>
            <w:tcW w:w="44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Loss on disposal of assets</w:t>
            </w:r>
          </w:p>
        </w:tc>
        <w:tc>
          <w:tcPr>
            <w:tcW w:w="44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Gain on recovery of insurance proceeds</w:t>
            </w:r>
          </w:p>
        </w:tc>
        <w:tc>
          <w:tcPr>
            <w:tcW w:w="44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1,077.0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7"/>
              </w:rPr>
              <w:t>90,410</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90.6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84,060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9,361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7"/>
              </w:rPr>
              <w:t>10,294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4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8,344</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9,204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4,877</w:t>
            </w:r>
          </w:p>
        </w:tc>
        <w:tc>
          <w:tcPr>
            <w:tcW w:w="12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5,443</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3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18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quarter, company-operated restaurant revenue increased $5.1 million, or 5.7%, from the comparable period in the prior year. The growth in company-operated restaurant sales was due to $5.8 million of non-comparable restaurant sales on restaurants that had not been open the fifteen months required to be included in comparable restaurant sales and $0.7 million related to a restaurant closed during the first quarter of 2016, due to fire damage, that was open for all of the first quarter of 2017. These increases were partially offset by a $0.3 million decrease resulting from a 0.4% decrease in company-operated comparable restaurant sales, the closure of two restaurants in 2016 and two restaurants in the current quarter, and the sale of one restaurant in 2016 to a franchisee. The company-operated comparable restaurant sales decrease consisted of a decrease in transactions of 2.2%, partially offset by an increase in average check size of 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the quarter, franchise revenue increased $0.3 million, or 5.6%, from the comparable period in the prior year. This increase was primarily due to seventeen new franchised restaurants opened during or after the prior year quarter, partially offset by a franchise comparable restaurant sales decline of 0.2%.</w:t>
      </w:r>
    </w:p>
    <w:p>
      <w:pPr>
        <w:sectPr>
          <w:pgSz w:w="11900" w:h="16838" w:orient="portrait"/>
          <w:cols w:equalWidth="0" w:num="1">
            <w:col w:w="11420"/>
          </w:cols>
          <w:pgMar w:left="240" w:top="90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90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the quarter, food and paper costs increased $0.3 million, or 1.1%, from the comparable period in the prior year, due to a $0.2 million increase in food costs and a $0.1 million increase in paper costs. The increases in food and paper costs, for the quarter, resulted primarily from higher restaurant revenue, partially offset by lower commodity costs related to chicken.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quarter, food and paper costs as a percentage of company-operated restaurant revenue were 29.0%, from 30.3% in the comparable period of the prior year. The percentage decrease for the quarter was due primarily to the lower commodity costs, noted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payroll and benefit expenses increased $2.3 million, or 9.5%, from the comparable period in the prior year. The quarter increase was due primarily to increased labor costs resulting from the opening of new restaurants in fiscal 2016 and the first quarter of fiscal 2017, and the impact of the minimum wage increases in California and Los Angeles during fiscal 2016 and the first quarter of fiscal 2017 and higher workers' compensation expense due to increased claims activity.</w:t>
      </w:r>
    </w:p>
    <w:p>
      <w:pPr>
        <w:spacing w:after="0" w:line="7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For the quarter, payroll and benefit expenses as a percentage of company-operated restaurant revenue were 28.7%, from 27.7% in the comparable period in the prior year. The percentage increase, for the quarter, was due primarily to higher workers compensation expense, higher minimum wages increases in California and Los Angeles, and the impact of the incremental labor required for twenty-three new restaurants opened during or after the prior year quarter.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quarter, occupancy and other operating expenses increased $1.7 million, or 9.1%, from the comparable period of the prior year. The increase for the quarter was due primarily to a $0.7 million increase in occupancy costs, due primarily to additional rent, a $0.3 million increase in advertising costs, a $0.3 million increase in utilities costs, and a $0.4 million increase in other operating expenses, resulting primarily from an increase in repair and maintenance costs, credit card fees and restaurant security expenses. These increases for the quarter resulted primarily from the new restaurants opened in fiscal 2016 and the thirteen weeks ended March 29, 2017.</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the quarter, occupancy and other operating expenses as a percentage of company-operated restaurant revenue was 22.0%, up from 21.3% in the comparable period of the prior year. This increase resulted primarily from rent expense, relative to revenue volume generated, and other incremental costs related to opening new restaurants in 2016 and the thirteen weeks ended March 29,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quarter, general and administrative expenses increased $0.5 million, or 5.4%, from the comparable period in the prior year. The increase for the quarter was due primarily to (i) a $0.8 million increase in payroll expense, due primarily to an increase in the number of corporate employees, and a higher accrual related to the Company’s annual bonus program, (ii) a $0.1 million increase in restaurant pre-opening costs, and (iii) a $0.1 million increase in stock compensation related expenses. These increases were partially offset by a $0.5 million decrease in legal expense related primarily to a decrease in securities class action litigation costs.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General and administrative expenses as a percentage of total revenue were consistent at 9.8%, for both the current quarter and comparable period of the prior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Recovery of Insurance Proceeds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2015, one of the Company’s restaurants incurred damage resulting from a fire. During the thirteen weeks ended March 30, 2016, we incurred costs directly related to the fire of less than $0.1 million, and recognized a gain of $0.3 million, related to the reimbursement of property and equipment. The Company received from the insurance company cash of $0.4 million during the thirteen weeks ended March 30, 2016, net of the insurance deductible. The restaurant was reopened for business on March 14, 2016.</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908"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the thirteen weeks ended March 29, 2017, the Company decided to close one restaurant in Texas and one restaurant in Arizona, the assets of which were previously recorded as impaired during the third quarter of 2016. The Company recorded $0.9 million of asset impairment and closed-store reserves, primarily related to the closure of the two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interest expense, net was comparable with the same period of the prior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quarters ended March 29, 2017 and March 30, 2016, we recorded income tax receivable agreement expense of $0.2 million and $0.3 million, respectively, for the amortization of interest expense related to our total expected TRA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quarter ended March 29, 2017, we recorded an income tax provision of $3.5 million, reflecting an estimated effective tax rate of 41.6%. For the quarter ended March 30, 2016, we recorded an income tax provision of $3.8 million, reflecting an estimated effective tax rate of approximately 40.9%. These rates are in line with the Company's estimated long-term federal and state tax 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1620" w:type="dxa"/>
            <w:vAlign w:val="bottom"/>
            <w:tcBorders>
              <w:bottom w:val="single" w:sz="8" w:color="auto"/>
            </w:tcBorders>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Pr>
          <w:p>
            <w:pPr>
              <w:spacing w:after="0"/>
              <w:rPr>
                <w:sz w:val="19"/>
                <w:szCs w:val="19"/>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29, 2017</w:t>
            </w:r>
          </w:p>
        </w:tc>
        <w:tc>
          <w:tcPr>
            <w:tcW w:w="660" w:type="dxa"/>
            <w:vAlign w:val="bottom"/>
          </w:tcPr>
          <w:p>
            <w:pPr>
              <w:spacing w:after="0"/>
              <w:rPr>
                <w:sz w:val="19"/>
                <w:szCs w:val="19"/>
                <w:color w:val="auto"/>
              </w:rPr>
            </w:pPr>
          </w:p>
        </w:tc>
        <w:tc>
          <w:tcPr>
            <w:tcW w:w="1620" w:type="dxa"/>
            <w:vAlign w:val="bottom"/>
          </w:tcPr>
          <w:p>
            <w:pPr>
              <w:jc w:val="right"/>
              <w:ind w:right="574"/>
              <w:spacing w:after="0"/>
              <w:rPr>
                <w:sz w:val="20"/>
                <w:szCs w:val="20"/>
                <w:color w:val="auto"/>
              </w:rPr>
            </w:pPr>
            <w:r>
              <w:rPr>
                <w:rFonts w:ascii="Arial" w:cs="Arial" w:eastAsia="Arial" w:hAnsi="Arial"/>
                <w:sz w:val="14"/>
                <w:szCs w:val="14"/>
                <w:b w:val="1"/>
                <w:bCs w:val="1"/>
                <w:color w:val="auto"/>
                <w:w w:val="94"/>
              </w:rPr>
              <w:t>March 30,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(used) by</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19,133</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11,003</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2,763</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the thirteen weeks ended March 29, 2017, net cash provided by operating activities increased by approximately $8.1 million from the comparable period of the prior year. This was due primarily to higher profitability after non-cash items and favorable working capital fluctuations.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thirteen weeks ended March 29, 2017, net cash used by investing activities increased by $5.9 million from the comparable period of the prior year. This was due primarily to opening five new company restaurants and three remodels in the thirteen weeks ended March 29, 2017 compared to three new restaurants opened and one remodel in the thirteen weeks ended March 30, 2016, as well as insurance proceeds related to fire damage received in the prior year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08" w:right="239" w:bottom="1440" w:gutter="0" w:footer="0" w:header="0"/>
        </w:sectPr>
      </w:pPr>
    </w:p>
    <w:bookmarkStart w:id="28" w:name="page29"/>
    <w:bookmarkEnd w:id="28"/>
    <w:p>
      <w:pPr>
        <w:ind w:right="40"/>
        <w:spacing w:after="0" w:line="264" w:lineRule="auto"/>
        <w:rPr>
          <w:sz w:val="20"/>
          <w:szCs w:val="20"/>
          <w:color w:val="auto"/>
        </w:rPr>
      </w:pPr>
      <w:r>
        <w:rPr>
          <w:rFonts w:ascii="Arial" w:cs="Arial" w:eastAsia="Arial" w:hAnsi="Arial"/>
          <w:sz w:val="18"/>
          <w:szCs w:val="18"/>
          <w:color w:val="auto"/>
        </w:rPr>
        <w:t>For the year ending December 27, 2017, we expect to incur capital expenditures of $40.0 million to $45.0 million, consisting of $27.0 to $32.0 million related to new restaurants, $7.0 million related to the remodeling of existing restaurants, and $6.0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thirteen weeks ended March 29, 2017, net cash used by financing activities increased by $0.5 million from the comparable period of the prior year. This was due primarily to the pre-payment of $3.0 million on the 2014 Revolver during the thirteen weeks ended March 29, 2017 compared to a pre-payment of $2.5 million for the thirteen weeks ended March 30,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March 29, 2017, $8.1 million of letters of credit were outstanding and $90.9 million was available to borrow under the revolving line of credit. The 2014 Revolver will mature on or about December 11, 2019.</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2.3% to 2.7% and 2.0% to 2.2% for the thirteen weeks ended March 29, 2017 and March 30, 2016, respectively.</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March 29, 2017.</w:t>
      </w:r>
    </w:p>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53"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contractual commitments outstanding on March 29, 2017, have not changed materially since our annual report on Form 10-K for the year ended December 28, 2016.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March 29, 2017, we were using $8.1 million of borrowing capacity on the 2014 Revolver for letters of credit in support of our insurance programs.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1.75% and 2.50%. As of March 29, 2017, we had outstanding borrowings of $101.0 million and another $8.1 million of letters of credit in support of our insurance programs. A</w:t>
      </w:r>
    </w:p>
    <w:p>
      <w:pPr>
        <w:ind w:right="300"/>
        <w:spacing w:after="0" w:line="261" w:lineRule="auto"/>
        <w:rPr>
          <w:sz w:val="20"/>
          <w:szCs w:val="20"/>
          <w:color w:val="auto"/>
        </w:rPr>
      </w:pPr>
      <w:r>
        <w:rPr>
          <w:rFonts w:ascii="Arial" w:cs="Arial" w:eastAsia="Arial" w:hAnsi="Arial"/>
          <w:sz w:val="18"/>
          <w:szCs w:val="18"/>
          <w:color w:val="auto"/>
        </w:rPr>
        <w:t>1.0% increase in the effective interest rate applied to these borrowings would result in a pre-tax interest expense increase of $1.0 million on an annualized basis.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period covered by this report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90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Remediation Efforts to Address Material Weaknesses in Internal Control over Financial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identified material weaknesses in internal control discussed in our most recent annual report on Form 10-K will not be considered fully remediated until sufficient time has elapsed to provide evidence that the new controls have been implemented and are operating effectively. We continue to work on implementing and testing these controls in order to make this final determination.</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904"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or about February 24, 2014, a former employee filed a class action in the Superior Court of the State of California, County of Orange, under the caption </w:t>
      </w:r>
      <w:r>
        <w:rPr>
          <w:rFonts w:ascii="Arial" w:cs="Arial" w:eastAsia="Arial" w:hAnsi="Arial"/>
          <w:sz w:val="18"/>
          <w:szCs w:val="18"/>
          <w:u w:val="single" w:color="auto"/>
          <w:color w:val="auto"/>
        </w:rPr>
        <w:t>Elliott Olvera, et al v. El Pollo Loco, Inc., et al</w:t>
      </w:r>
      <w:r>
        <w:rPr>
          <w:rFonts w:ascii="Arial" w:cs="Arial" w:eastAsia="Arial" w:hAnsi="Arial"/>
          <w:sz w:val="18"/>
          <w:szCs w:val="18"/>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recently refused to approve on the grounds that it did not provide sufficient compensation for the putative class members. The parties are now once again engaged in settlement discussion with the putative lead plaintiff proposing to limit the class to those hourly employees who worked as cooks at the time a corporate-owned restaurant closed. Purported class actions alleging wage and hour violations are commonly filed against California employers, and we fully expect to have to defend against similar lawsuits in the future.</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intend to continue to defend against the claims asserted and intend to file a motion to dismiss the amended complaint on or about May 17, 2017.</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color w:val="auto"/>
        </w:rPr>
        <w:t xml:space="preserve">defendants and asserts substantially the same claims on substantially the same alleged facts as does </w:t>
      </w:r>
      <w:r>
        <w:rPr>
          <w:rFonts w:ascii="Arial" w:cs="Arial" w:eastAsia="Arial" w:hAnsi="Arial"/>
          <w:sz w:val="18"/>
          <w:szCs w:val="18"/>
          <w:u w:val="single" w:color="auto"/>
          <w:color w:val="auto"/>
        </w:rPr>
        <w:t>Galustyan</w:t>
      </w:r>
      <w:r>
        <w:rPr>
          <w:rFonts w:ascii="Arial" w:cs="Arial" w:eastAsia="Arial" w:hAnsi="Arial"/>
          <w:sz w:val="18"/>
          <w:szCs w:val="18"/>
          <w:color w:val="auto"/>
        </w:rPr>
        <w:t xml:space="preserve">. Defendants moved to stay or dismiss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w:t>
      </w:r>
    </w:p>
    <w:p>
      <w:pPr>
        <w:spacing w:after="0" w:line="3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allowed the claim based on allegations that directors, officers and a large stockholder sold shares at inflated prices to proceed and also denied the defendants' motion to dismiss that claim. No trial date for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has been set.</w:t>
      </w: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28, 2016, except for (i) the addition of the two risk factors that immediately follow, and, following them, (ii) the revision of the third and forth risk factors that follow, which are revised and restated in their entirety.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process of finding a new CEO may negatively affect our business.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7, 2017, Steve Sather, our President and Chief Executive Officer, informed our board that he intends to retire on or before December 31, 2017, subject to the Company hiring his replacement. At this time, Mr. Sather retains his positions while a search for his successor is underway. As President and CEO, Mr. Sather is responsible for the general supervision of our business. Turnover in the CEO position could lead to operational or strategic uncertainty or inefficiency, affecting our operations and performance. Such uncertainty or inefficiency could occur before Mr. Sather retires, after his successor’s tenure begins, and during any gap between the two. Similarly, a new CEO may require time to become familiar with our business and during this period his or her lack of familiarity with our organization could pose an impediment to the efficient operation of our business and the development and execution of our business strategy. We are not guaranteed to be able to find a replacement with suitable skills and personality promptly and for an amount of compensation that we consider appropriate. Any successor may be less effective than Mr. Sather, or change our Company’s direction, and any such changes could be disruptive or unsuccessful.</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noncompliance with NASDAQ listing standards could lead to the delisting of our common stock.</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NASDAQ rules require a majority-independent board. On March 29, 2017, Douglas K. Ammerman resigned from our board. Because of Mr. Ammerman’s resignation, currently, only four of the Company’s eight directors qualify as independent. Therefore, the Company is relying on the NASDAQ’s cure period to regain compliance. The Company expects the cure period to run through September 25, 2017. If the Company were to fail to regain compliance by that date, the NASDAQ could move to delist the Company’s common stock. Any delisting proceedings, or delisting itself, could severely impair our stock’s price and liquidity. Future resignations of other additional independent directors could result in further breaches of NASDAQ listing standards relating to board or committee independence or number of members and could increase the time required to return to compliance.</w:t>
      </w:r>
    </w:p>
    <w:p>
      <w:pPr>
        <w:spacing w:after="0" w:line="287"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One of the key means to achieving our growth strategy is and will be through opening new restaurants and operating those restaurants on a profitable basis. We opened 18 new company-operated restaurants in fiscal 2016 and plan to open an estimated 15 to 20 in fiscal 2017. Our franchisees opened 13 new restaurants in fiscal 2016 and plan to open 8 to 12 in fiscal 2017. The ability to open new restaurants is dependent upon a number of factors, many of which are beyond our control, including our and our franchisees’ abilities to:</w:t>
      </w:r>
    </w:p>
    <w:p>
      <w:pPr>
        <w:spacing w:after="0" w:line="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3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w:t>
      </w:r>
    </w:p>
    <w:p>
      <w:pPr>
        <w:sectPr>
          <w:pgSz w:w="11900" w:h="16838" w:orient="portrait"/>
          <w:cols w:equalWidth="0" w:num="1">
            <w:col w:w="11420"/>
          </w:cols>
          <w:pgMar w:left="240" w:top="800" w:right="239" w:bottom="0" w:gutter="0" w:footer="0" w:header="0"/>
        </w:sectPr>
      </w:pPr>
    </w:p>
    <w:bookmarkStart w:id="33" w:name="page34"/>
    <w:bookmarkEnd w:id="33"/>
    <w:p>
      <w:pPr>
        <w:ind w:right="580"/>
        <w:spacing w:after="0" w:line="264" w:lineRule="auto"/>
        <w:rPr>
          <w:sz w:val="20"/>
          <w:szCs w:val="20"/>
          <w:color w:val="auto"/>
        </w:rPr>
      </w:pPr>
      <w:r>
        <w:rPr>
          <w:rFonts w:ascii="Arial" w:cs="Arial" w:eastAsia="Arial" w:hAnsi="Arial"/>
          <w:sz w:val="18"/>
          <w:szCs w:val="18"/>
          <w:color w:val="auto"/>
        </w:rPr>
        <w:t>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7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fiscal 2016, we determined that the carrying value of the assets of nine restaurants, in Arizona, California and Texas, may not be recoverable. As a result, we recorded a $8.3 million expense related to the impairment of the assets of the nine restaurants. We continue to monitor the recoverability of the carrying value of the assets of several other restaurants.</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growth depends on maintaining amicable relations with our franchisees. If our relations with existing or potential franchisees deteriorate, restaurant performance and our development pipeline could suffer. Additionally, our franchisee relationships are contractual in nature, and are comprised of mutual obligations. If contracts or contractual provisions between us and our franchisees are violated by either party, legally or practically unenforceable, or judicially voided, whether with respect to one, more than one, or all of our franchisees, restaurant performance and our development pipeline could suffer. In particular, we rely on non-compete, territorial exclusivity, and other development-related provisions to provide stability to our franchisee network.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in the future as we continue to offer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ind w:right="80"/>
        <w:spacing w:after="0" w:line="308" w:lineRule="auto"/>
        <w:rPr>
          <w:sz w:val="20"/>
          <w:szCs w:val="20"/>
          <w:color w:val="auto"/>
        </w:rPr>
      </w:pPr>
      <w:r>
        <w:rPr>
          <w:rFonts w:ascii="Arial" w:cs="Arial" w:eastAsia="Arial" w:hAnsi="Arial"/>
          <w:sz w:val="17"/>
          <w:szCs w:val="17"/>
          <w:color w:val="auto"/>
        </w:rPr>
        <w:t>franchises. To the extent that we have such disputes, the attention, time, and financial resources of our management and our franchisees will be diverted from our restaurants, which could have a material adverse effect on our business, financial condition, results of operations, and cash flows.</w:t>
      </w:r>
    </w:p>
    <w:p>
      <w:pPr>
        <w:spacing w:after="0" w:line="3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Disputes between us and our franchisees, whether in court or otherwise, could relate to either party’s violation of its contractual obligations. Unfavorable judgments or settlements relating to franchisee disputes could result in monetary or injunctive relief against us, including the voiding of non-compete, territorial exclusivity, or other development-related provisions upon which we rely. Even our success in franchisee disputes could damage our franchisees’ finances or operations, or our relationships with them.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0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44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 Sarbanes–</w:t>
            </w:r>
          </w:p>
        </w:tc>
      </w:tr>
      <w:tr>
        <w:trPr>
          <w:trHeight w:val="230"/>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Oxley Act of 2002</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300" w:type="dxa"/>
            <w:vAlign w:val="bottom"/>
          </w:tcPr>
          <w:p>
            <w:pPr>
              <w:spacing w:after="0"/>
              <w:rPr>
                <w:sz w:val="20"/>
                <w:szCs w:val="20"/>
                <w:color w:val="auto"/>
              </w:rPr>
            </w:pPr>
            <w:r>
              <w:rPr>
                <w:rFonts w:ascii="Arial" w:cs="Arial" w:eastAsia="Arial" w:hAnsi="Arial"/>
                <w:sz w:val="18"/>
                <w:szCs w:val="18"/>
                <w:color w:val="auto"/>
              </w:rPr>
              <w:t>May 5, 2017</w:t>
            </w:r>
          </w:p>
        </w:tc>
        <w:tc>
          <w:tcPr>
            <w:tcW w:w="30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Stephen J. Sather</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Stephen J. Sather</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300" w:type="dxa"/>
            <w:vAlign w:val="bottom"/>
          </w:tcPr>
          <w:p>
            <w:pPr>
              <w:spacing w:after="0"/>
              <w:rPr>
                <w:sz w:val="20"/>
                <w:szCs w:val="20"/>
                <w:color w:val="auto"/>
              </w:rPr>
            </w:pPr>
            <w:r>
              <w:rPr>
                <w:rFonts w:ascii="Arial" w:cs="Arial" w:eastAsia="Arial" w:hAnsi="Arial"/>
                <w:sz w:val="18"/>
                <w:szCs w:val="18"/>
                <w:color w:val="auto"/>
              </w:rPr>
              <w:t>May 5, 2017</w:t>
            </w:r>
          </w:p>
        </w:tc>
        <w:tc>
          <w:tcPr>
            <w:tcW w:w="306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3060" w:type="dxa"/>
            <w:vAlign w:val="bottom"/>
          </w:tcPr>
          <w:p>
            <w:pPr>
              <w:jc w:val="right"/>
              <w:ind w:right="510"/>
              <w:spacing w:after="0"/>
              <w:rPr>
                <w:sz w:val="20"/>
                <w:szCs w:val="20"/>
                <w:color w:val="auto"/>
              </w:rPr>
            </w:pPr>
            <w:r>
              <w:rPr>
                <w:rFonts w:ascii="Arial" w:cs="Arial" w:eastAsia="Arial" w:hAnsi="Arial"/>
                <w:sz w:val="18"/>
                <w:szCs w:val="18"/>
                <w:color w:val="auto"/>
              </w:rPr>
              <w:t>34</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7"/>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2019-12-29T06:12:15Z</dcterms:created>
  <dcterms:modified xsi:type="dcterms:W3CDTF">2019-12-29T06:12:15Z</dcterms:modified>
</cp:coreProperties>
</file>