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611505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218440</wp:posOffset>
            </wp:positionV>
            <wp:extent cx="1525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247015</wp:posOffset>
            </wp:positionV>
            <wp:extent cx="1525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4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25, 2020</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4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240030</wp:posOffset>
            </wp:positionV>
            <wp:extent cx="1525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227330</wp:posOffset>
            </wp:positionV>
            <wp:extent cx="1525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680" w:type="dxa"/>
            <w:vAlign w:val="bottom"/>
          </w:tcPr>
          <w:p>
            <w:pPr>
              <w:jc w:val="center"/>
              <w:ind w:right="2519"/>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jc w:val="right"/>
              <w:ind w:right="579"/>
              <w:spacing w:after="0"/>
              <w:rPr>
                <w:sz w:val="20"/>
                <w:szCs w:val="20"/>
                <w:color w:val="auto"/>
              </w:rPr>
            </w:pPr>
            <w:r>
              <w:rPr>
                <w:rFonts w:ascii="Arial" w:cs="Arial" w:eastAsia="Arial" w:hAnsi="Arial"/>
                <w:sz w:val="18"/>
                <w:szCs w:val="18"/>
                <w:b w:val="1"/>
                <w:bCs w:val="1"/>
                <w:color w:val="auto"/>
              </w:rPr>
              <w:t>20-3563182</w:t>
            </w:r>
          </w:p>
        </w:tc>
      </w:tr>
      <w:tr>
        <w:trPr>
          <w:trHeight w:val="217"/>
        </w:trPr>
        <w:tc>
          <w:tcPr>
            <w:tcW w:w="6680" w:type="dxa"/>
            <w:vAlign w:val="bottom"/>
          </w:tcPr>
          <w:p>
            <w:pPr>
              <w:jc w:val="center"/>
              <w:ind w:right="251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0"/>
        </w:trPr>
        <w:tc>
          <w:tcPr>
            <w:tcW w:w="6680" w:type="dxa"/>
            <w:vAlign w:val="bottom"/>
          </w:tcPr>
          <w:p>
            <w:pPr>
              <w:jc w:val="center"/>
              <w:ind w:right="2519"/>
              <w:spacing w:after="0"/>
              <w:rPr>
                <w:sz w:val="20"/>
                <w:szCs w:val="20"/>
                <w:color w:val="auto"/>
              </w:rPr>
            </w:pPr>
            <w:r>
              <w:rPr>
                <w:rFonts w:ascii="Arial" w:cs="Arial" w:eastAsia="Arial" w:hAnsi="Arial"/>
                <w:sz w:val="18"/>
                <w:szCs w:val="18"/>
                <w:b w:val="1"/>
                <w:bCs w:val="1"/>
                <w:color w:val="auto"/>
                <w:w w:val="91"/>
              </w:rPr>
              <w:t>3535 Harbor Blvd., Suite 100, Costa Mesa, California</w:t>
            </w:r>
          </w:p>
        </w:tc>
        <w:tc>
          <w:tcPr>
            <w:tcW w:w="2280" w:type="dxa"/>
            <w:vAlign w:val="bottom"/>
          </w:tcPr>
          <w:p>
            <w:pPr>
              <w:jc w:val="right"/>
              <w:ind w:right="779"/>
              <w:spacing w:after="0"/>
              <w:rPr>
                <w:sz w:val="20"/>
                <w:szCs w:val="20"/>
                <w:color w:val="auto"/>
              </w:rPr>
            </w:pPr>
            <w:r>
              <w:rPr>
                <w:rFonts w:ascii="Arial" w:cs="Arial" w:eastAsia="Arial" w:hAnsi="Arial"/>
                <w:sz w:val="18"/>
                <w:szCs w:val="18"/>
                <w:b w:val="1"/>
                <w:bCs w:val="1"/>
                <w:color w:val="auto"/>
              </w:rPr>
              <w:t>92626</w:t>
            </w:r>
          </w:p>
        </w:tc>
      </w:tr>
      <w:tr>
        <w:trPr>
          <w:trHeight w:val="218"/>
        </w:trPr>
        <w:tc>
          <w:tcPr>
            <w:tcW w:w="6680" w:type="dxa"/>
            <w:vAlign w:val="bottom"/>
          </w:tcPr>
          <w:p>
            <w:pPr>
              <w:jc w:val="center"/>
              <w:ind w:right="24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680" w:type="dxa"/>
            <w:vAlign w:val="bottom"/>
          </w:tcPr>
          <w:p>
            <w:pPr>
              <w:jc w:val="right"/>
              <w:ind w:right="1079"/>
              <w:spacing w:after="0"/>
              <w:rPr>
                <w:sz w:val="20"/>
                <w:szCs w:val="20"/>
                <w:color w:val="auto"/>
              </w:rPr>
            </w:pPr>
            <w:r>
              <w:rPr>
                <w:rFonts w:ascii="Arial" w:cs="Arial" w:eastAsia="Arial" w:hAnsi="Arial"/>
                <w:sz w:val="18"/>
                <w:szCs w:val="18"/>
                <w:b w:val="1"/>
                <w:bCs w:val="1"/>
                <w:color w:val="auto"/>
              </w:rPr>
              <w:t>(714) 599-5000</w:t>
            </w:r>
          </w:p>
        </w:tc>
        <w:tc>
          <w:tcPr>
            <w:tcW w:w="2280" w:type="dxa"/>
            <w:vAlign w:val="bottom"/>
          </w:tcPr>
          <w:p>
            <w:pPr>
              <w:spacing w:after="0"/>
              <w:rPr>
                <w:sz w:val="24"/>
                <w:szCs w:val="24"/>
                <w:color w:val="auto"/>
              </w:rPr>
            </w:pPr>
          </w:p>
        </w:tc>
      </w:tr>
      <w:tr>
        <w:trPr>
          <w:trHeight w:val="186"/>
        </w:trPr>
        <w:tc>
          <w:tcPr>
            <w:tcW w:w="6680" w:type="dxa"/>
            <w:vAlign w:val="bottom"/>
          </w:tcPr>
          <w:p>
            <w:pPr>
              <w:jc w:val="center"/>
              <w:ind w:left="31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80" w:type="dxa"/>
            <w:vAlign w:val="bottom"/>
          </w:tcPr>
          <w:p>
            <w:pPr>
              <w:spacing w:after="0"/>
              <w:rPr>
                <w:sz w:val="16"/>
                <w:szCs w:val="16"/>
                <w:color w:val="auto"/>
              </w:rPr>
            </w:pPr>
          </w:p>
        </w:tc>
      </w:tr>
    </w:tbl>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0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6"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237"/>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LOCO</w:t>
            </w:r>
          </w:p>
        </w:tc>
        <w:tc>
          <w:tcPr>
            <w:tcW w:w="4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222885</wp:posOffset>
            </wp:positionV>
            <wp:extent cx="1525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80" w:firstLine="49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80" w:firstLine="49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180" w:firstLine="49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016" w:right="31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45"/>
        </w:trPr>
        <w:tc>
          <w:tcPr>
            <w:tcW w:w="18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vMerge w:val="restart"/>
          </w:tcPr>
          <w:p>
            <w:pPr>
              <w:ind w:left="290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880" w:type="dxa"/>
            <w:vAlign w:val="bottom"/>
            <w:vMerge w:val="continue"/>
          </w:tcPr>
          <w:p>
            <w:pPr>
              <w:spacing w:after="0"/>
              <w:rPr>
                <w:sz w:val="18"/>
                <w:szCs w:val="18"/>
                <w:color w:val="auto"/>
              </w:rPr>
            </w:pPr>
          </w:p>
        </w:tc>
        <w:tc>
          <w:tcPr>
            <w:tcW w:w="3320" w:type="dxa"/>
            <w:vAlign w:val="bottom"/>
            <w:vMerge w:val="continue"/>
          </w:tcPr>
          <w:p>
            <w:pPr>
              <w:spacing w:after="0"/>
              <w:rPr>
                <w:sz w:val="18"/>
                <w:szCs w:val="18"/>
                <w:color w:val="auto"/>
              </w:rPr>
            </w:pPr>
          </w:p>
        </w:tc>
        <w:tc>
          <w:tcPr>
            <w:tcW w:w="51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60" w:type="dxa"/>
            <w:vAlign w:val="bottom"/>
          </w:tcPr>
          <w:p>
            <w:pPr>
              <w:ind w:left="29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firstLine="499"/>
        <w:spacing w:after="0" w:line="28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500" w:right="12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April 24, 2020, there were 35,103,583 shares of the issuer’s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163195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180340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Table of Contents</w:t>
            </w:r>
          </w:p>
        </w:tc>
        <w:tc>
          <w:tcPr>
            <w:tcW w:w="96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160" w:type="dxa"/>
            <w:vAlign w:val="bottom"/>
          </w:tcPr>
          <w:p>
            <w:pPr>
              <w:spacing w:after="0"/>
              <w:rPr>
                <w:sz w:val="14"/>
                <w:szCs w:val="14"/>
                <w:color w:val="auto"/>
              </w:rPr>
            </w:pPr>
          </w:p>
        </w:tc>
      </w:tr>
      <w:tr>
        <w:trPr>
          <w:trHeight w:val="264"/>
        </w:trPr>
        <w:tc>
          <w:tcPr>
            <w:tcW w:w="1072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I—FINANCIAL INFORMATION</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(Unaudited)</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Income (Unaudited)</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Income (Unaudited)</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Changes in Stockholders' Equity (Unaudited)</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 (Unaudited)</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 (Unaudited)</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10</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2. Management’s Discussion and Analysis of Financial Condition and Results of Operations.</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31</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3. Quantitative and Qualitative Disclosures About Market Risk.</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46</w:t>
              </w:r>
            </w:hyperlink>
          </w:p>
        </w:tc>
      </w:tr>
      <w:tr>
        <w:trPr>
          <w:trHeight w:val="270"/>
        </w:trPr>
        <w:tc>
          <w:tcPr>
            <w:tcW w:w="10720" w:type="dxa"/>
            <w:vAlign w:val="bottom"/>
            <w:gridSpan w:val="2"/>
          </w:tcPr>
          <w:p>
            <w:pPr>
              <w:spacing w:after="0"/>
              <w:rPr>
                <w:rFonts w:ascii="Arial" w:cs="Arial" w:eastAsia="Arial" w:hAnsi="Arial"/>
                <w:sz w:val="18"/>
                <w:szCs w:val="18"/>
                <w:color w:val="0000EE"/>
              </w:rPr>
            </w:pPr>
            <w:hyperlink w:anchor="page47">
              <w:r>
                <w:rPr>
                  <w:rFonts w:ascii="Arial" w:cs="Arial" w:eastAsia="Arial" w:hAnsi="Arial"/>
                  <w:sz w:val="18"/>
                  <w:szCs w:val="18"/>
                  <w:u w:val="single" w:color="auto"/>
                  <w:color w:val="0000EE"/>
                </w:rPr>
                <w:t>Item 4. Controls and Procedures</w:t>
              </w:r>
              <w:r>
                <w:rPr>
                  <w:rFonts w:ascii="Arial" w:cs="Arial" w:eastAsia="Arial" w:hAnsi="Arial"/>
                  <w:sz w:val="18"/>
                  <w:szCs w:val="18"/>
                  <w:color w:val="0000EE"/>
                </w:rPr>
                <w:t>.</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47</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PART II—OTHER INFORMATION</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48</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1. Legal Proceedings.</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48</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1A. Risk Factors.</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48</w:t>
              </w:r>
            </w:hyperlink>
          </w:p>
        </w:tc>
      </w:tr>
      <w:tr>
        <w:trPr>
          <w:trHeight w:val="270"/>
        </w:trPr>
        <w:tc>
          <w:tcPr>
            <w:tcW w:w="10720" w:type="dxa"/>
            <w:vAlign w:val="bottom"/>
            <w:gridSpan w:val="2"/>
          </w:tcPr>
          <w:p>
            <w:pPr>
              <w:spacing w:after="0"/>
              <w:rPr>
                <w:rFonts w:ascii="Arial" w:cs="Arial" w:eastAsia="Arial" w:hAnsi="Arial"/>
                <w:sz w:val="18"/>
                <w:szCs w:val="18"/>
                <w:color w:val="0000EE"/>
              </w:rPr>
            </w:pPr>
            <w:hyperlink w:anchor="page49">
              <w:r>
                <w:rPr>
                  <w:rFonts w:ascii="Arial" w:cs="Arial" w:eastAsia="Arial" w:hAnsi="Arial"/>
                  <w:sz w:val="18"/>
                  <w:szCs w:val="18"/>
                  <w:u w:val="single" w:color="auto"/>
                  <w:color w:val="0000EE"/>
                </w:rPr>
                <w:t>Item 2. Unregistered Sales of Equity Securities and Use of Proceeds</w:t>
              </w:r>
              <w:r>
                <w:rPr>
                  <w:rFonts w:ascii="Arial" w:cs="Arial" w:eastAsia="Arial" w:hAnsi="Arial"/>
                  <w:sz w:val="18"/>
                  <w:szCs w:val="18"/>
                  <w:color w:val="0000EE"/>
                </w:rPr>
                <w:t>.</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49</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3. Defaults of Senior Securities.</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49</w:t>
              </w:r>
            </w:hyperlink>
          </w:p>
        </w:tc>
      </w:tr>
      <w:tr>
        <w:trPr>
          <w:trHeight w:val="270"/>
        </w:trPr>
        <w:tc>
          <w:tcPr>
            <w:tcW w:w="10720" w:type="dxa"/>
            <w:vAlign w:val="bottom"/>
            <w:gridSpan w:val="2"/>
          </w:tcPr>
          <w:p>
            <w:pPr>
              <w:spacing w:after="0"/>
              <w:rPr>
                <w:rFonts w:ascii="Arial" w:cs="Arial" w:eastAsia="Arial" w:hAnsi="Arial"/>
                <w:sz w:val="18"/>
                <w:szCs w:val="18"/>
                <w:color w:val="0000EE"/>
              </w:rPr>
            </w:pPr>
            <w:hyperlink w:anchor="page49">
              <w:r>
                <w:rPr>
                  <w:rFonts w:ascii="Arial" w:cs="Arial" w:eastAsia="Arial" w:hAnsi="Arial"/>
                  <w:sz w:val="18"/>
                  <w:szCs w:val="18"/>
                  <w:u w:val="single" w:color="auto"/>
                  <w:color w:val="0000EE"/>
                </w:rPr>
                <w:t>Item 4. Mine Safety Disclosures</w:t>
              </w:r>
              <w:r>
                <w:rPr>
                  <w:rFonts w:ascii="Arial" w:cs="Arial" w:eastAsia="Arial" w:hAnsi="Arial"/>
                  <w:sz w:val="18"/>
                  <w:szCs w:val="18"/>
                  <w:color w:val="0000EE"/>
                </w:rPr>
                <w:t>.</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49</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5. Other Information.</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49</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6. Exhibits.</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50</w:t>
              </w:r>
            </w:hyperlink>
          </w:p>
        </w:tc>
      </w:tr>
      <w:tr>
        <w:trPr>
          <w:trHeight w:val="270"/>
        </w:trPr>
        <w:tc>
          <w:tcPr>
            <w:tcW w:w="10720" w:type="dxa"/>
            <w:vAlign w:val="bottom"/>
            <w:gridSpan w:val="2"/>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Signatures</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51</w:t>
              </w:r>
            </w:hyperlink>
          </w:p>
        </w:tc>
      </w:tr>
      <w:tr>
        <w:trPr>
          <w:trHeight w:val="675"/>
        </w:trPr>
        <w:tc>
          <w:tcPr>
            <w:tcW w:w="10720" w:type="dxa"/>
            <w:vAlign w:val="bottom"/>
            <w:gridSpan w:val="2"/>
          </w:tcPr>
          <w:p>
            <w:pPr>
              <w:ind w:left="554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180"/>
          </w:cols>
          <w:pgMar w:left="360" w:top="708" w:right="359" w:bottom="1440" w:gutter="0" w:footer="0" w:header="0"/>
        </w:sectPr>
      </w:pPr>
    </w:p>
    <w:bookmarkStart w:id="3" w:name="page4"/>
    <w:bookmarkEnd w:id="3"/>
    <w:p>
      <w:pPr>
        <w:jc w:val="right"/>
        <w:ind w:right="293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39"/>
          </w:cols>
          <w:pgMar w:left="320" w:top="553" w:right="1440"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25, 2020</w:t>
            </w:r>
          </w:p>
        </w:tc>
        <w:tc>
          <w:tcPr>
            <w:tcW w:w="14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December 25, 2019</w:t>
            </w:r>
          </w:p>
        </w:tc>
        <w:tc>
          <w:tcPr>
            <w:tcW w:w="0" w:type="dxa"/>
            <w:vAlign w:val="bottom"/>
          </w:tcPr>
          <w:p>
            <w:pPr>
              <w:spacing w:after="0"/>
              <w:rPr>
                <w:sz w:val="1"/>
                <w:szCs w:val="1"/>
                <w:color w:val="auto"/>
              </w:rPr>
            </w:pPr>
          </w:p>
        </w:tc>
      </w:tr>
      <w:tr>
        <w:trPr>
          <w:trHeight w:val="250"/>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8,070</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Accounts and other receivables, net</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12,075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8,505</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7"/>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62,516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24,678</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owned,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91,778</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Property held under operating leases, net ("ROU asset")</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187,610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192,395</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248,674</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61,888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61,888</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653,499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624,752</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Current portion of obligations under finance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obligations under 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16,406</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6,456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5,627</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and vacation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9,881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Current portion of income tax receivable agreement payable</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 and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28,597</w:t>
            </w:r>
          </w:p>
        </w:tc>
        <w:tc>
          <w:tcPr>
            <w:tcW w:w="0" w:type="dxa"/>
            <w:vAlign w:val="bottom"/>
          </w:tcPr>
          <w:p>
            <w:pPr>
              <w:spacing w:after="0"/>
              <w:rPr>
                <w:sz w:val="1"/>
                <w:szCs w:val="1"/>
                <w:color w:val="auto"/>
              </w:rPr>
            </w:pPr>
          </w:p>
        </w:tc>
      </w:tr>
      <w:tr>
        <w:trPr>
          <w:trHeight w:val="237"/>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58,858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73,959</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Revolver loan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97,000</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Obligations under finance leases, net of current portion</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under operating leases,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197,492</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payable,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404,894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379,186</w:t>
            </w:r>
          </w:p>
        </w:tc>
        <w:tc>
          <w:tcPr>
            <w:tcW w:w="0" w:type="dxa"/>
            <w:vAlign w:val="bottom"/>
          </w:tcPr>
          <w:p>
            <w:pPr>
              <w:spacing w:after="0"/>
              <w:rPr>
                <w:sz w:val="1"/>
                <w:szCs w:val="1"/>
                <w:color w:val="auto"/>
              </w:rPr>
            </w:pPr>
          </w:p>
        </w:tc>
      </w:tr>
      <w:tr>
        <w:trPr>
          <w:trHeight w:val="237"/>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40"/>
              <w:spacing w:after="0"/>
              <w:rPr>
                <w:sz w:val="20"/>
                <w:szCs w:val="20"/>
                <w:color w:val="auto"/>
              </w:rPr>
            </w:pPr>
            <w:r>
              <w:rPr>
                <w:rFonts w:ascii="Arial" w:cs="Arial" w:eastAsia="Arial" w:hAnsi="Arial"/>
                <w:sz w:val="18"/>
                <w:szCs w:val="18"/>
                <w:color w:val="auto"/>
              </w:rPr>
              <w:t>Preferred stock, $0.01 par value, 100,000,000 shares authorized; none issued or</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$0.01 par value, 200,000,000 shares authorized; 35,089,983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35,126,582 shares issued and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331,484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330,950</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(85,988)</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245,566</w:t>
            </w:r>
          </w:p>
        </w:tc>
        <w:tc>
          <w:tcPr>
            <w:tcW w:w="0" w:type="dxa"/>
            <w:vAlign w:val="bottom"/>
          </w:tcPr>
          <w:p>
            <w:pPr>
              <w:spacing w:after="0"/>
              <w:rPr>
                <w:sz w:val="1"/>
                <w:szCs w:val="1"/>
                <w:color w:val="auto"/>
              </w:rPr>
            </w:pPr>
          </w:p>
        </w:tc>
      </w:tr>
      <w:tr>
        <w:trPr>
          <w:trHeight w:val="257"/>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653,499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624,752</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180"/>
          </w:cols>
          <w:pgMar w:left="320" w:top="553" w:right="399" w:bottom="1440"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80"/>
          </w:cols>
          <w:pgMar w:left="320" w:top="553" w:right="3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25, 2020</w:t>
            </w:r>
          </w:p>
        </w:tc>
        <w:tc>
          <w:tcPr>
            <w:tcW w:w="160" w:type="dxa"/>
            <w:vAlign w:val="bottom"/>
          </w:tcPr>
          <w:p>
            <w:pPr>
              <w:spacing w:after="0"/>
              <w:rPr>
                <w:sz w:val="22"/>
                <w:szCs w:val="22"/>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March 27, 2019</w:t>
            </w:r>
          </w:p>
        </w:tc>
        <w:tc>
          <w:tcPr>
            <w:tcW w:w="0" w:type="dxa"/>
            <w:vAlign w:val="bottom"/>
          </w:tcPr>
          <w:p>
            <w:pPr>
              <w:spacing w:after="0"/>
              <w:rPr>
                <w:sz w:val="1"/>
                <w:szCs w:val="1"/>
                <w:color w:val="auto"/>
              </w:rPr>
            </w:pPr>
          </w:p>
        </w:tc>
      </w:tr>
      <w:tr>
        <w:trPr>
          <w:trHeight w:val="236"/>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Company-operated restaurant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92,634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97,150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Franchise advertising fee revenue</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108,977</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operations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paper cost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27,152</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Labor and related expenses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28,693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29,576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other operating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23,227</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Company restaurant expenses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76,364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79,955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11,348</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Franchise expenses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Loss on disposal of assets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assets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Impairment and closed-store reserves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106,685</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4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used in computing net income per share</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34,659,160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38,653,702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35,347,456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39,496,436</w:t>
            </w:r>
          </w:p>
        </w:tc>
        <w:tc>
          <w:tcPr>
            <w:tcW w:w="0" w:type="dxa"/>
            <w:vAlign w:val="bottom"/>
          </w:tcPr>
          <w:p>
            <w:pPr>
              <w:spacing w:after="0"/>
              <w:rPr>
                <w:sz w:val="1"/>
                <w:szCs w:val="1"/>
                <w:color w:val="auto"/>
              </w:rPr>
            </w:pPr>
          </w:p>
        </w:tc>
      </w:tr>
      <w:tr>
        <w:trPr>
          <w:trHeight w:val="27"/>
        </w:trPr>
        <w:tc>
          <w:tcPr>
            <w:tcW w:w="8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27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March 25, 2020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March 27, 2019</w:t>
            </w:r>
          </w:p>
        </w:tc>
        <w:tc>
          <w:tcPr>
            <w:tcW w:w="0" w:type="dxa"/>
            <w:vAlign w:val="bottom"/>
          </w:tcPr>
          <w:p>
            <w:pPr>
              <w:spacing w:after="0"/>
              <w:rPr>
                <w:sz w:val="1"/>
                <w:szCs w:val="1"/>
                <w:color w:val="auto"/>
              </w:rPr>
            </w:pPr>
          </w:p>
        </w:tc>
      </w:tr>
      <w:tr>
        <w:trPr>
          <w:trHeight w:val="249"/>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derivative instruments</w:t>
            </w:r>
          </w:p>
        </w:tc>
        <w:tc>
          <w:tcPr>
            <w:tcW w:w="2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w w:val="92"/>
              </w:rPr>
              <w:t>Unrealized net losses arising during the period from interest rate swap</w:t>
            </w:r>
          </w:p>
        </w:tc>
        <w:tc>
          <w:tcPr>
            <w:tcW w:w="2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Reclassifications of gains into net income</w:t>
            </w:r>
          </w:p>
        </w:tc>
        <w:tc>
          <w:tcPr>
            <w:tcW w:w="2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Income benefit</w:t>
            </w:r>
          </w:p>
        </w:tc>
        <w:tc>
          <w:tcPr>
            <w:tcW w:w="2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taxes</w:t>
            </w:r>
          </w:p>
        </w:tc>
        <w:tc>
          <w:tcPr>
            <w:tcW w:w="27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7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760" w:type="dxa"/>
            <w:vAlign w:val="bottom"/>
            <w:vMerge w:val="restart"/>
          </w:tcPr>
          <w:p>
            <w:pPr>
              <w:jc w:val="right"/>
              <w:ind w:right="247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54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Thirteen Weeks Ended March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740" w:type="dxa"/>
            <w:vAlign w:val="bottom"/>
            <w:gridSpan w:val="5"/>
          </w:tcPr>
          <w:p>
            <w:pPr>
              <w:ind w:left="8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3040" w:type="dxa"/>
            <w:vAlign w:val="bottom"/>
          </w:tcPr>
          <w:p>
            <w:pPr>
              <w:spacing w:after="0"/>
              <w:rPr>
                <w:sz w:val="10"/>
                <w:szCs w:val="10"/>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0"/>
                <w:szCs w:val="10"/>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0"/>
                <w:szCs w:val="10"/>
                <w:color w:val="auto"/>
              </w:rPr>
            </w:pPr>
          </w:p>
        </w:tc>
        <w:tc>
          <w:tcPr>
            <w:tcW w:w="1080" w:type="dxa"/>
            <w:vAlign w:val="bottom"/>
          </w:tcPr>
          <w:p>
            <w:pPr>
              <w:jc w:val="center"/>
              <w:ind w:right="76"/>
              <w:spacing w:after="0" w:line="126"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Paid-in Capital</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8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Balance, December 25, 2019</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35,126,582</w:t>
            </w:r>
          </w:p>
        </w:tc>
        <w:tc>
          <w:tcPr>
            <w:tcW w:w="120" w:type="dxa"/>
            <w:vAlign w:val="bottom"/>
          </w:tcPr>
          <w:p>
            <w:pPr>
              <w:spacing w:after="0"/>
              <w:rPr>
                <w:sz w:val="21"/>
                <w:szCs w:val="21"/>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330,950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(85,988)</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245,566</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w w:val="99"/>
              </w:rPr>
              <w:t>Forfeiture of common stock related to</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260" w:type="dxa"/>
            <w:vAlign w:val="bottom"/>
          </w:tcPr>
          <w:p>
            <w:pPr>
              <w:jc w:val="right"/>
              <w:spacing w:after="0"/>
              <w:rPr>
                <w:sz w:val="20"/>
                <w:szCs w:val="20"/>
                <w:color w:val="auto"/>
              </w:rPr>
            </w:pPr>
            <w:r>
              <w:rPr>
                <w:rFonts w:ascii="Arial" w:cs="Arial" w:eastAsia="Arial" w:hAnsi="Arial"/>
                <w:sz w:val="18"/>
                <w:szCs w:val="18"/>
                <w:color w:val="auto"/>
              </w:rPr>
              <w:t>(36,599)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25, 2020</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35,089,983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331,484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248,605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3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Thirteen Weeks Ended March 27, 2019</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40" w:type="dxa"/>
            <w:vAlign w:val="bottom"/>
          </w:tcPr>
          <w:p>
            <w:pPr>
              <w:spacing w:after="0"/>
              <w:rPr>
                <w:sz w:val="18"/>
                <w:szCs w:val="18"/>
                <w:color w:val="auto"/>
              </w:rPr>
            </w:pPr>
          </w:p>
        </w:tc>
        <w:tc>
          <w:tcPr>
            <w:tcW w:w="2740" w:type="dxa"/>
            <w:vAlign w:val="bottom"/>
            <w:gridSpan w:val="5"/>
          </w:tcPr>
          <w:p>
            <w:pPr>
              <w:ind w:left="8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8"/>
                <w:szCs w:val="18"/>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8"/>
                <w:szCs w:val="18"/>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8"/>
                <w:szCs w:val="18"/>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3040" w:type="dxa"/>
            <w:vAlign w:val="bottom"/>
          </w:tcPr>
          <w:p>
            <w:pPr>
              <w:spacing w:after="0"/>
              <w:rPr>
                <w:sz w:val="10"/>
                <w:szCs w:val="10"/>
                <w:color w:val="auto"/>
              </w:rPr>
            </w:pPr>
          </w:p>
        </w:tc>
        <w:tc>
          <w:tcPr>
            <w:tcW w:w="12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0"/>
                <w:szCs w:val="10"/>
                <w:color w:val="auto"/>
              </w:rPr>
            </w:pPr>
          </w:p>
        </w:tc>
        <w:tc>
          <w:tcPr>
            <w:tcW w:w="1080" w:type="dxa"/>
            <w:vAlign w:val="bottom"/>
          </w:tcPr>
          <w:p>
            <w:pPr>
              <w:jc w:val="center"/>
              <w:ind w:right="76"/>
              <w:spacing w:after="0" w:line="126"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26, 2018</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39,009,451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265,236</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related to</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w w:val="99"/>
              </w:rPr>
              <w:t>Shares repurchased for employee tax</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withholdings</w:t>
            </w:r>
          </w:p>
        </w:tc>
        <w:tc>
          <w:tcPr>
            <w:tcW w:w="1260" w:type="dxa"/>
            <w:vAlign w:val="bottom"/>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27, 2019</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38,730,204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372,825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263,238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60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51"/>
              <w:spacing w:after="0"/>
              <w:rPr>
                <w:sz w:val="20"/>
                <w:szCs w:val="20"/>
                <w:color w:val="auto"/>
              </w:rPr>
            </w:pPr>
            <w:r>
              <w:rPr>
                <w:rFonts w:ascii="Arial" w:cs="Arial" w:eastAsia="Arial" w:hAnsi="Arial"/>
                <w:sz w:val="14"/>
                <w:szCs w:val="14"/>
                <w:b w:val="1"/>
                <w:bCs w:val="1"/>
                <w:color w:val="auto"/>
                <w:w w:val="94"/>
              </w:rPr>
              <w:t>Thirteen Weeks Ended</w:t>
            </w:r>
          </w:p>
        </w:tc>
      </w:tr>
      <w:tr>
        <w:trPr>
          <w:trHeight w:val="263"/>
        </w:trPr>
        <w:tc>
          <w:tcPr>
            <w:tcW w:w="8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6"/>
              </w:rPr>
              <w:t>March 25, 2020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March 27, 2019</w:t>
            </w: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7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w:t>
            </w:r>
          </w:p>
        </w:tc>
      </w:tr>
      <w:tr>
        <w:trPr>
          <w:trHeight w:val="229"/>
        </w:trPr>
        <w:tc>
          <w:tcPr>
            <w:tcW w:w="822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flows (used in) provided by operating</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488</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Loss on held for sale assets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4,124</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Impairment of property and equipment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Amortization of favorable and unfavorable leases, net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and other 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260</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Accrued salaries and vacation</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1,347</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insurance</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accrued expenses and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Net cash flows (used in) provided by operating activities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(7,526)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9,977</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(4,183)</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revolver and swingline loan</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Borrowings on revolver and swingline loan</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obligations under finance leases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Stock buybacks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(3,029)</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provided by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(6,064)</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35,334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6,969</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43,404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6,699</w:t>
            </w:r>
          </w:p>
        </w:tc>
      </w:tr>
      <w:tr>
        <w:trPr>
          <w:trHeight w:val="20"/>
        </w:trPr>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85"/>
        </w:trPr>
        <w:tc>
          <w:tcPr>
            <w:tcW w:w="8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711"/>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Pr>
          <w:p>
            <w:pPr>
              <w:spacing w:after="0"/>
              <w:rPr>
                <w:sz w:val="22"/>
                <w:szCs w:val="22"/>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25, 2020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71"/>
              <w:spacing w:after="0"/>
              <w:rPr>
                <w:sz w:val="20"/>
                <w:szCs w:val="20"/>
                <w:color w:val="auto"/>
              </w:rPr>
            </w:pPr>
            <w:r>
              <w:rPr>
                <w:rFonts w:ascii="Arial" w:cs="Arial" w:eastAsia="Arial" w:hAnsi="Arial"/>
                <w:sz w:val="14"/>
                <w:szCs w:val="14"/>
                <w:b w:val="1"/>
                <w:bCs w:val="1"/>
                <w:color w:val="auto"/>
                <w:w w:val="94"/>
              </w:rPr>
              <w:t>March 27, 2019</w:t>
            </w:r>
          </w:p>
        </w:tc>
      </w:tr>
      <w:tr>
        <w:trPr>
          <w:trHeight w:val="263"/>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838</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Unpaid purchases of property and equipment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948</w:t>
            </w:r>
          </w:p>
        </w:tc>
      </w:tr>
      <w:tr>
        <w:trPr>
          <w:trHeight w:val="250"/>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Unpaid stock buybacks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ectPr>
          <w:pgSz w:w="11900" w:h="16838" w:orient="portrait"/>
          <w:cols w:equalWidth="0" w:num="1">
            <w:col w:w="11240"/>
          </w:cols>
          <w:pgMar w:left="320" w:top="66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661" w:right="3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66" w:lineRule="exact"/>
        <w:rPr>
          <w:sz w:val="20"/>
          <w:szCs w:val="20"/>
          <w:color w:val="auto"/>
        </w:rPr>
      </w:pPr>
    </w:p>
    <w:p>
      <w:pPr>
        <w:ind w:right="3600" w:firstLine="8"/>
        <w:spacing w:after="0" w:line="377"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spacing w:after="0" w:line="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El Pollo Loco Holdings, Inc. (“Holdings”) is a Delaware corporation headquartered in Costa Mesa, California. Holdings and its direct and indirect subsidiaries are collectively referred to herein as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March 25, 2020, the Company operated 195 and franchised 284 El Pollo Loco restaurants.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the Company’s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25, 2019.</w:t>
      </w:r>
    </w:p>
    <w:p>
      <w:pPr>
        <w:spacing w:after="0" w:line="19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2020 is a 53-week year ending on December 30, 2020, and fiscal 2019 was a 52-week year ending on December 25, 2019. Revenues, expenses, and other financial and operational figures may be elevated in a 53-week year.</w:t>
      </w:r>
    </w:p>
    <w:p>
      <w:pPr>
        <w:spacing w:after="0" w:line="15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Holdings has no material assets or operations. Holdings and Holdings’ direct subsidiary, EPL Intermediate, Inc. (“Intermediate”), guarantee EPL’s 2018 Revolver (as defined below) on a full and unconditional basis (see Note 4), and Intermediate has no subsidiaries other than EPL. EPL is a separate and distinct legal entity and has no obligation to make funds available to Intermediate. EPL and Intermediate may pay dividends to Intermediate and to Holdings, respectively, subject to the terms of the 2018 Revolver.</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stock-based compensation, income tax receivable agreement liability, contingent liabilities and income tax valuation allowances.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originating in Wuhan, China ("COVID-19") and the risks to the international community as the virus spreads globally beyond its point of origin. On March 11, 2020, the WHO classified the COVID-19 outbreak as a pandemic, based on the rapid increase in exposure globally.</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553" w:right="359" w:bottom="1440" w:gutter="0" w:footer="0" w:header="0"/>
        </w:sectPr>
      </w:pPr>
    </w:p>
    <w:bookmarkStart w:id="10" w:name="page11"/>
    <w:bookmarkEnd w:id="10"/>
    <w:p>
      <w:pPr>
        <w:ind w:right="80"/>
        <w:spacing w:after="0" w:line="254" w:lineRule="auto"/>
        <w:rPr>
          <w:sz w:val="20"/>
          <w:szCs w:val="20"/>
          <w:color w:val="auto"/>
        </w:rPr>
      </w:pPr>
      <w:r>
        <w:rPr>
          <w:rFonts w:ascii="Arial" w:cs="Arial" w:eastAsia="Arial" w:hAnsi="Arial"/>
          <w:sz w:val="18"/>
          <w:szCs w:val="18"/>
          <w:color w:val="auto"/>
        </w:rPr>
        <w:t xml:space="preserve">Following the pandemic declaration in March 2020, federal, state and local governments began to respond to the public health crisis by requiring social distancing, "stay at home" directives, and restaurant restrictions - including government-mandated dining room closures - that limited business to off-premise services only (take-out, drive-thru and delivery). Historically, approximately 20% of the Company’s sales are associated with dine-in service. As such, the COVID-19 pandemic has significantly disrupted consumer demand, as well as the Company's restaurant operations. All of the Company's restaurants are operating on a take-away, mobile pick-up and delivery basis only, as well as maintaining drive-thru operations where available, </w:t>
      </w:r>
      <w:r>
        <w:rPr>
          <w:rFonts w:ascii="Arial" w:cs="Arial" w:eastAsia="Arial" w:hAnsi="Arial"/>
          <w:sz w:val="18"/>
          <w:szCs w:val="18"/>
          <w:color w:val="212529"/>
        </w:rPr>
        <w:t>in order to</w:t>
      </w:r>
      <w:r>
        <w:rPr>
          <w:rFonts w:ascii="Arial" w:cs="Arial" w:eastAsia="Arial" w:hAnsi="Arial"/>
          <w:sz w:val="18"/>
          <w:szCs w:val="18"/>
          <w:color w:val="auto"/>
        </w:rPr>
        <w:t xml:space="preserve"> </w:t>
      </w:r>
      <w:r>
        <w:rPr>
          <w:rFonts w:ascii="Arial" w:cs="Arial" w:eastAsia="Arial" w:hAnsi="Arial"/>
          <w:sz w:val="18"/>
          <w:szCs w:val="18"/>
          <w:color w:val="212529"/>
        </w:rPr>
        <w:t xml:space="preserve">protect its employees </w:t>
      </w:r>
      <w:r>
        <w:rPr>
          <w:rFonts w:ascii="Arial" w:cs="Arial" w:eastAsia="Arial" w:hAnsi="Arial"/>
          <w:sz w:val="18"/>
          <w:szCs w:val="18"/>
          <w:color w:val="000000"/>
        </w:rPr>
        <w:t>and customers from the spread of the COVID-19 pandemic and to comply with the government mandates. As of March 25, 2020, the</w:t>
      </w:r>
      <w:r>
        <w:rPr>
          <w:rFonts w:ascii="Arial" w:cs="Arial" w:eastAsia="Arial" w:hAnsi="Arial"/>
          <w:sz w:val="18"/>
          <w:szCs w:val="18"/>
          <w:color w:val="212529"/>
        </w:rPr>
        <w:t xml:space="preserve"> </w:t>
      </w:r>
      <w:r>
        <w:rPr>
          <w:rFonts w:ascii="Arial" w:cs="Arial" w:eastAsia="Arial" w:hAnsi="Arial"/>
          <w:sz w:val="18"/>
          <w:szCs w:val="18"/>
          <w:color w:val="000000"/>
        </w:rPr>
        <w:t>Company had not closed any restaurants due to the COVID-19 pandemic. Please refer to Subsequent Events, below, for discussion of stores that have temporarily closed.</w:t>
      </w:r>
    </w:p>
    <w:p>
      <w:pPr>
        <w:spacing w:after="0" w:line="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full impact of the COVID-19 outbreak continues to evolve as of the date of this report. Management has taken precautionary actions, such as drawing on its 2018 Revolver (see Note 4), temporarily suspending all but essential capital spending and share repurchase activity, reevaluating essential support center general and administrative expenses and fine-tuning its restaurant labor model based on dining room closures and lower sales volumes. Additionally, Management has delayed making April rent payments on the majority of its leased properties and is currently negotiating rent abatement and/or deferment with its landlords for those properties. For the Company's franchisees, the Company is deferring 50% of their April royalties as well as 100% of their 2020 remodel and new restaurant build requirements until 2021. Management is continually evaluating the impact of the global crisis on its financial condition, liquidity, operations, suppliers, industry, and workforce and will take additional actions as necessary. The disruption in operations has led to the Company to consider the impact of the COVID-19 pandemic on its liquidity, debt covenant compliance, and recoverability of long-lived and ROU assets, goodwill and intangible assets, among others. If these disruptions continue, the Company expects a continued material negative impact on its consolidated financial condition, future results of operations and liquidity. The extent of such negative impact will be determined, in part, by the longevity and severity of the pandemic.</w:t>
      </w:r>
    </w:p>
    <w:p>
      <w:pPr>
        <w:spacing w:after="0" w:line="7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Due to the rapid development and fluidity of this situation, the Company cannot determine the ultimate impact that the COVID-19 pandemic will have on the Company’s consolidated financial condition, liquidity, and future results of operations, and therefore any prediction as to the ultimate material adverse impact on the Company’s consolidated financial condition, liquidity, and future results of operations is uncertain.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Due to the impact of the COVID-19 pandemic, subsequent to March 25, 2020, the Company has temporarily closed 18 restaurants, 15 of which have reopened and 3 remain closed at this time. Similarly, franchisees have temporarily closed 12 restaurants, 8 of which have reopened and 4 remain closed at this time.</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27, 2020 President Trump signed into a law a stimulus package, the Coronavirus Aid, Relief and Economic Security ("CARES") Act, which contains several tax provisions and deferral of employer Social Security taxes that are otherwise owed for wage payments. The tax provisions include a correction of previous drafting error related to quality improvement property ("QIP") and immediate refundability of all remaining alternative minimum tax ("AMT") credits. The Company is in the process of assessing the impact of these new tax provisions and will recognize the impact during its second quarter of 2020.</w:t>
      </w:r>
    </w:p>
    <w:p>
      <w:pPr>
        <w:spacing w:after="0" w:line="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March 19, 2020, the Surety from who the Company procured the appeal bond to secure the judgment against the Company in a legal matter, issued a collateral demand to the Company. On April 17, 2020, the Company issued a letter of credit in the amount of $2.7 million to satisfy the Surety’s collateral demand. Refer to Note 7 "Commitments and Contingencies" for further details. In order to provide the aforementioned letter of credit, on April 15, 2020 the Company made a $2.7 million pre-payment on the 2018 Revolver.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Additionally, subsequent to March 25, 2020 one franchised location in Texas has been permanently closed.</w:t>
      </w:r>
    </w:p>
    <w:p>
      <w:pPr>
        <w:spacing w:after="0" w:line="11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has evaluated subsequent events that have occurred after March 25, 2020, and determined that there were no other events or transactions occurring during this reporting period that require recognition or disclosure in the condensed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highly-liquid instruments with an original maturity of three months or less at the date of purchase to be cash equivalents.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57" w:right="339" w:bottom="1440" w:gutter="0" w:footer="0" w:header="0"/>
        </w:sectPr>
      </w:pPr>
    </w:p>
    <w:bookmarkStart w:id="11" w:name="page12"/>
    <w:bookmarkEnd w:id="11"/>
    <w:p>
      <w:pPr>
        <w:ind w:right="20"/>
        <w:spacing w:after="0" w:line="289" w:lineRule="auto"/>
        <w:rPr>
          <w:sz w:val="20"/>
          <w:szCs w:val="20"/>
          <w:color w:val="auto"/>
        </w:rPr>
      </w:pPr>
      <w:r>
        <w:rPr>
          <w:rFonts w:ascii="Arial" w:cs="Arial" w:eastAsia="Arial" w:hAnsi="Arial"/>
          <w:sz w:val="16"/>
          <w:szCs w:val="16"/>
          <w:color w:val="auto"/>
        </w:rPr>
        <w:t xml:space="preserve">The Company’s principal liquidity and capital requirements are new restaurants, existing restaurant capital investments (remodels and maintenance), interest payments on our debt, lease obligations and working capital and general corporate needs. At March 25, 2020, the Company’s total debt was $141.5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and available cash of $43.4 million at March 25, 2020 will be adequate to meet the Company’s liquidity needs for the next twelve months from the date of filing of these condensed consolidated financial statements. However, </w:t>
      </w:r>
      <w:r>
        <w:rPr>
          <w:rFonts w:ascii="Arial" w:cs="Arial" w:eastAsia="Arial" w:hAnsi="Arial"/>
          <w:sz w:val="16"/>
          <w:szCs w:val="16"/>
          <w:color w:val="212529"/>
        </w:rPr>
        <w:t>depending on the severity and longevity of the COVID-19 pandemic,</w:t>
      </w:r>
      <w:r>
        <w:rPr>
          <w:rFonts w:ascii="Arial" w:cs="Arial" w:eastAsia="Arial" w:hAnsi="Arial"/>
          <w:sz w:val="16"/>
          <w:szCs w:val="16"/>
          <w:color w:val="auto"/>
        </w:rPr>
        <w:t xml:space="preserve"> the Company's financial performance and liquidity could be further impacted and could impact the Company's ability to meet certain covenants required in its 2018 Credit Agreement (as defined below), specifically the lease-adjusted coverage ratio and fixed-charge coverage ratio.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During the thirteen weeks ended March 27, 2019, the Company agreed in principle to sell four restaurants within the San Francisco area to an existing franchisee. Additionally, during the thirteen weeks ended March 27, 2019, the Company agreed in principle to sell seven restaurants in the Phoenix area to another existing franchisee. Assets are classified as held for sale if they meet the criteria outlined in Accounting Standards Codification ("ASC")</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In accordance with applicable accounting guidance, the net assets were recorded at the lower of carrying value or fair value less costs to sell. The Company classified $4.5 million of assets as held for sale, consisting of leasehold improvements and other property equipment, as of March 27, 2019, and recognized a loss on held for sale assets of $4.1 million for the thirteen weeks ended March 27, 2019. These transactions were completed during the second quarter of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March 25, 2020, there were no assets held for sale.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"Reference Rate Reform (Topic 848): Facilitation of the Effects of Reference Rate Reform on Financial Reporting," which provides optional guidance, for a limited time, to ease the potential burden in accounting for or recognizing the effects of reference rate reform on financial reporting. ASU 2020-04 is effective for a limited time, from March 12, 2020, through December 31, 2022. The Company adopted this ASU on March 12, 2020. The adoption of ASU 2020-04 did not have a significant impact on the Company’s consolidated financial position or results of operations.</w:t>
      </w:r>
    </w:p>
    <w:p>
      <w:pPr>
        <w:spacing w:after="0" w:line="6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February 2018, the FASB issued ASU No. 2018-13, "Fair Value Measurement (Topic 820): Disclosure Framework—Changes to the Disclosure Requirements for Fair Value Measurement," which finalizes proposed ASU No. 2015-350, and of the same name as part of its disclosure framework project, which focuses on improving the effectiveness of disclosures in the notes to financial statements by facilitating clear communication of the information required by U.S. GAAP that is most important to users of each entity’s financial statements. The Company adopted ASU No. 2018-13 during the first quarter of 2020. The adoption of ASU 2018-13 did not have a significant impact on the Company’s consolidated financial position or results of operations.</w:t>
      </w:r>
    </w:p>
    <w:p>
      <w:pPr>
        <w:spacing w:after="0" w:line="84"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which finalizes proposed ASU No. 2012-260 "Financial Instruments—Credit Losses (Subtopic 825-15)" and adds Topic 326 "Financial Instruments—Credit Losses", to provide financial statement users with more decision-useful information about the expected credit losses on financial instruments and other commitments to extend credit held by a reporting entity at each reporting date by replacing the incurred loss impairment methodology in current GAAP with a methodology that reflects expected credit losses and requires consideration of a broader range of reasonable and supportable information to inform credit loss estimates. The Company adopted ASU No. 2016-13 during the first quarter of 2020. The adoption of ASU 2016-03 did not have a significant impact on the Company’s consolidated financial position or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modifies Topic 740 to simplify the accounting for income taxes. ASU 2019-12 is effective for financial statements issued for annual periods beginning after December 15, 2020, and for the interim periods therein. The adoption of ASU 2019-12 is not expected to have a significant impact on the Company’s consolidated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665" w:right="379" w:bottom="1440" w:gutter="0" w:footer="0" w:header="0"/>
        </w:sectPr>
      </w:pPr>
    </w:p>
    <w:bookmarkStart w:id="12" w:name="page13"/>
    <w:bookmarkEnd w:id="12"/>
    <w:p>
      <w:pPr>
        <w:ind w:right="40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these balances may exceed federally-insured limits. The Company has never experienced any losses related to these balances.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one supplier for which amounts due totaled 12.2% and 11.7% of the Company’s accounts payable at March 25, 2020 and December 25, 2019, respectively. Purchases from the Company’s largest supplier totaled 27.4% of total expenses for the thirteen weeks ended March 25, 2020, and 26.6% of total expenses for the thirteen weeks ended March 27, 2019.</w:t>
      </w:r>
    </w:p>
    <w:p>
      <w:pPr>
        <w:spacing w:after="0" w:line="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Company-operated and franchised restaurants in the greater Los Angeles area generated, in the aggregate, approximately 72.4% of total revenue for the thirteen weeks ended March 25, 2020, and 69.2% for the thirteen weeks ended March 27,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7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Upon the sale or closure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determined there was no decrement of goodwill related to the disposition of restaurants during the thirteen weeks ended March 25, 2020.</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performs an annual impairment test for goodwill during the fourth fiscal quarter of each year, or more frequently if impairment indicators arise.</w:t>
      </w:r>
    </w:p>
    <w:p>
      <w:pPr>
        <w:spacing w:after="0" w:line="6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69"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4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Due to the recent impact of the COVID-19 pandemic to the global economy, including but not limited to, the volatility of the Company's stock price as well as that of its competitors, declining sales at the Company's restaurants and the challenging environment for the restaurant industry generally, the Company determined that there were indicators of potential impairment of its goodwill and indefinite-lived intangible assets during the thirteen weeks ended March 25, 2020. As such, the Company performed an impairment assessment for both goodwill and indefinite lived intangible assets and concluded that the fair value of these assets substantially exceeded their carrying values. Accordingly, the Company did not record any impairment to its goodwill or indefinite-lived intangible assets during the thirteen weeks ended March 25, 2020. T</w:t>
      </w:r>
      <w:r>
        <w:rPr>
          <w:rFonts w:ascii="Arial" w:cs="Arial" w:eastAsia="Arial" w:hAnsi="Arial"/>
          <w:sz w:val="17"/>
          <w:szCs w:val="17"/>
          <w:color w:val="212529"/>
        </w:rPr>
        <w:t>he ultimate severity and longevity of the COVID-19 pandemic is</w:t>
      </w:r>
      <w:r>
        <w:rPr>
          <w:rFonts w:ascii="Arial" w:cs="Arial" w:eastAsia="Arial" w:hAnsi="Arial"/>
          <w:sz w:val="17"/>
          <w:szCs w:val="17"/>
          <w:color w:val="auto"/>
        </w:rPr>
        <w:t xml:space="preserve"> </w:t>
      </w:r>
      <w:r>
        <w:rPr>
          <w:rFonts w:ascii="Arial" w:cs="Arial" w:eastAsia="Arial" w:hAnsi="Arial"/>
          <w:sz w:val="17"/>
          <w:szCs w:val="17"/>
          <w:color w:val="212529"/>
        </w:rPr>
        <w:t xml:space="preserve">unknown, and therefore, </w:t>
      </w:r>
      <w:r>
        <w:rPr>
          <w:rFonts w:ascii="Arial" w:cs="Arial" w:eastAsia="Arial" w:hAnsi="Arial"/>
          <w:sz w:val="17"/>
          <w:szCs w:val="17"/>
          <w:color w:val="000000"/>
        </w:rPr>
        <w:t>it is possible that impairments could be identified in future periods, and such amounts could be material.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665" w:right="359" w:bottom="1440" w:gutter="0" w:footer="0" w:header="0"/>
        </w:sectPr>
      </w:pPr>
    </w:p>
    <w:bookmarkStart w:id="13" w:name="page14"/>
    <w:bookmarkEnd w:id="13"/>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During fiscal 2019, the Company entered into an interest rate swap, which is required to be measured at fair value on a recurring basis. The fair value was determined based on Level 2 inputs, which include valuation models, as reported by the Company's counterparty. These valuation models use a discounted cash flow analysis on the cash flows of the derivative based on the terms of the contract and the forward yield curves adjusted for the Company's credit risk. The key inputs for the valuation models are observable market prices, discount rates, and forward yield curves. See "Note 4. Long-Term Debt" for further discussion regarding our interest rate swaps. The following table presents fair value for the interest rate swap at March 25, 2020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1120" w:type="dxa"/>
            <w:vAlign w:val="bottom"/>
            <w:tcBorders>
              <w:bottom w:val="single" w:sz="8" w:color="auto"/>
            </w:tcBorders>
          </w:tcPr>
          <w:p>
            <w:pPr>
              <w:spacing w:after="0"/>
              <w:rPr>
                <w:sz w:val="16"/>
                <w:szCs w:val="16"/>
                <w:color w:val="auto"/>
              </w:rPr>
            </w:pPr>
          </w:p>
        </w:tc>
      </w:tr>
      <w:tr>
        <w:trPr>
          <w:trHeight w:val="264"/>
        </w:trPr>
        <w:tc>
          <w:tcPr>
            <w:tcW w:w="42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439"/>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Level 1</w:t>
            </w:r>
          </w:p>
        </w:tc>
        <w:tc>
          <w:tcPr>
            <w:tcW w:w="8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2"/>
              </w:rPr>
              <w:t>Level 2</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43"/>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non-current liabilities - Interest rate swap</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1,142</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1,142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fair value for the interest rate swap at December 25, 2019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1120" w:type="dxa"/>
            <w:vAlign w:val="bottom"/>
            <w:tcBorders>
              <w:bottom w:val="single" w:sz="8" w:color="auto"/>
            </w:tcBorders>
          </w:tcPr>
          <w:p>
            <w:pPr>
              <w:spacing w:after="0"/>
              <w:rPr>
                <w:sz w:val="16"/>
                <w:szCs w:val="16"/>
                <w:color w:val="auto"/>
              </w:rPr>
            </w:pPr>
          </w:p>
        </w:tc>
      </w:tr>
      <w:tr>
        <w:trPr>
          <w:trHeight w:val="263"/>
        </w:trPr>
        <w:tc>
          <w:tcPr>
            <w:tcW w:w="3720" w:type="dxa"/>
            <w:vAlign w:val="bottom"/>
            <w:tcBorders>
              <w:bottom w:val="single" w:sz="8" w:color="CCEEFF"/>
            </w:tcBorders>
          </w:tcPr>
          <w:p>
            <w:pPr>
              <w:spacing w:after="0"/>
              <w:rPr>
                <w:sz w:val="22"/>
                <w:szCs w:val="22"/>
                <w:color w:val="auto"/>
              </w:rPr>
            </w:pPr>
          </w:p>
        </w:tc>
        <w:tc>
          <w:tcPr>
            <w:tcW w:w="2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5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Level 1</w:t>
            </w:r>
          </w:p>
        </w:tc>
        <w:tc>
          <w:tcPr>
            <w:tcW w:w="8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2"/>
              </w:rPr>
              <w:t>Level 2</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43"/>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 - Interest rate swap</w:t>
            </w:r>
          </w:p>
        </w:tc>
        <w:tc>
          <w:tcPr>
            <w:tcW w:w="242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360</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360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spacing w:after="0" w:line="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weeks ended March 25, 2020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4"/>
              </w:rPr>
              <w:t>Fair Value Measurements at March 25,</w:t>
            </w:r>
          </w:p>
        </w:tc>
        <w:tc>
          <w:tcPr>
            <w:tcW w:w="160" w:type="dxa"/>
            <w:vAlign w:val="bottom"/>
          </w:tcPr>
          <w:p>
            <w:pPr>
              <w:spacing w:after="0"/>
              <w:rPr>
                <w:sz w:val="14"/>
                <w:szCs w:val="14"/>
                <w:color w:val="auto"/>
              </w:rPr>
            </w:pPr>
          </w:p>
        </w:tc>
        <w:tc>
          <w:tcPr>
            <w:tcW w:w="164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Thirteen Weeks Ended</w:t>
            </w:r>
          </w:p>
        </w:tc>
      </w:tr>
      <w:tr>
        <w:trPr>
          <w:trHeight w:val="192"/>
        </w:trPr>
        <w:tc>
          <w:tcPr>
            <w:tcW w:w="4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2020 Using</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March 25, 2020</w:t>
            </w:r>
          </w:p>
        </w:tc>
      </w:tr>
      <w:tr>
        <w:trPr>
          <w:trHeight w:val="264"/>
        </w:trPr>
        <w:tc>
          <w:tcPr>
            <w:tcW w:w="44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00" w:type="dxa"/>
            <w:vAlign w:val="bottom"/>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22"/>
                <w:szCs w:val="22"/>
                <w:color w:val="auto"/>
              </w:rPr>
            </w:pPr>
          </w:p>
        </w:tc>
        <w:tc>
          <w:tcPr>
            <w:tcW w:w="7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164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Impairment Losses</w:t>
            </w: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property and equipment owned, net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1,377</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Certain ROU assets, net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6"/>
              <w:spacing w:after="0"/>
              <w:rPr>
                <w:sz w:val="20"/>
                <w:szCs w:val="20"/>
                <w:color w:val="auto"/>
              </w:rPr>
            </w:pPr>
            <w:r>
              <w:rPr>
                <w:rFonts w:ascii="Arial" w:cs="Arial" w:eastAsia="Arial" w:hAnsi="Arial"/>
                <w:sz w:val="18"/>
                <w:szCs w:val="18"/>
                <w:color w:val="auto"/>
              </w:rPr>
              <w:t>926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21"/>
              <w:spacing w:after="0"/>
              <w:rPr>
                <w:sz w:val="20"/>
                <w:szCs w:val="20"/>
                <w:color w:val="auto"/>
              </w:rPr>
            </w:pPr>
            <w:r>
              <w:rPr>
                <w:rFonts w:ascii="Arial" w:cs="Arial" w:eastAsia="Arial" w:hAnsi="Arial"/>
                <w:sz w:val="18"/>
                <w:szCs w:val="18"/>
                <w:color w:val="auto"/>
              </w:rPr>
              <w:t>543</w:t>
            </w:r>
          </w:p>
        </w:tc>
      </w:tr>
    </w:tbl>
    <w:p>
      <w:pPr>
        <w:spacing w:after="0" w:line="200" w:lineRule="exact"/>
        <w:rPr>
          <w:sz w:val="20"/>
          <w:szCs w:val="20"/>
          <w:color w:val="auto"/>
        </w:rPr>
      </w:pPr>
    </w:p>
    <w:p>
      <w:pPr>
        <w:spacing w:after="0" w:line="24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weeks ended March 27,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4"/>
              </w:rPr>
              <w:t>Fair Value Measurements at March 27,</w:t>
            </w:r>
          </w:p>
        </w:tc>
        <w:tc>
          <w:tcPr>
            <w:tcW w:w="160" w:type="dxa"/>
            <w:vAlign w:val="bottom"/>
          </w:tcPr>
          <w:p>
            <w:pPr>
              <w:spacing w:after="0"/>
              <w:rPr>
                <w:sz w:val="14"/>
                <w:szCs w:val="14"/>
                <w:color w:val="auto"/>
              </w:rPr>
            </w:pPr>
          </w:p>
        </w:tc>
        <w:tc>
          <w:tcPr>
            <w:tcW w:w="164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Thirteen Weeks Ended</w:t>
            </w:r>
          </w:p>
        </w:tc>
      </w:tr>
      <w:tr>
        <w:trPr>
          <w:trHeight w:val="192"/>
        </w:trPr>
        <w:tc>
          <w:tcPr>
            <w:tcW w:w="4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2019 Using</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6"/>
              </w:rPr>
              <w:t>March 27, 2019</w:t>
            </w:r>
          </w:p>
        </w:tc>
      </w:tr>
      <w:tr>
        <w:trPr>
          <w:trHeight w:val="264"/>
        </w:trPr>
        <w:tc>
          <w:tcPr>
            <w:tcW w:w="45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2"/>
              </w:rPr>
              <w:t>Level 2</w:t>
            </w:r>
          </w:p>
        </w:tc>
        <w:tc>
          <w:tcPr>
            <w:tcW w:w="9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Impairment Losses</w:t>
            </w: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property and equipment - Held for sale</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4,494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  4,494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4,124</w:t>
            </w:r>
          </w:p>
        </w:tc>
      </w:tr>
      <w:tr>
        <w:trPr>
          <w:trHeight w:val="27"/>
        </w:trPr>
        <w:tc>
          <w:tcPr>
            <w:tcW w:w="45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ROU Assets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reviews its long-lived and right-of-use assets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been subleased and future estimated sublease income is less than current lease payments.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665" w:right="339" w:bottom="1440" w:gutter="0" w:footer="0" w:header="0"/>
        </w:sectPr>
      </w:pPr>
    </w:p>
    <w:bookmarkStart w:id="14" w:name="page15"/>
    <w:bookmarkEnd w:id="14"/>
    <w:p>
      <w:pPr>
        <w:ind w:right="20"/>
        <w:spacing w:after="0" w:line="259" w:lineRule="auto"/>
        <w:rPr>
          <w:sz w:val="20"/>
          <w:szCs w:val="20"/>
          <w:color w:val="auto"/>
        </w:rPr>
      </w:pPr>
      <w:r>
        <w:rPr>
          <w:rFonts w:ascii="Arial" w:cs="Arial" w:eastAsia="Arial" w:hAnsi="Arial"/>
          <w:sz w:val="18"/>
          <w:szCs w:val="18"/>
          <w:color w:val="auto"/>
        </w:rPr>
        <w:t>estimates and assumptions. If actual performance does not achieve the projections, or if the assumptions used change in the future, the Company may be required to recognize impairment charges in future periods, and such charges could be material. Based on the results of the analysis, the Company recorded a non-cash impairment charge of $1.9 million for the thirteen weeks ended March 25, 2020, primarily related to the carrying value of the ROU assets of one restaurant in Texas and the long-lived assets of three restaurants in California.</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did not recognize any impairment charges for the thirteen weeks ended March 27, 2019, other than the loss on assets held for sale, discussed above.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Closed-Store Reserves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 During the thirteen weeks ended March 25, 2020, the Company recognized $0.5 million of closed-store reserve expense related to the amortization of ROU assets, property taxes and CAM payments for its closed locations. During the thirteen weeks ended March 27, 2019, the Company closed one restaurant in California and one restaurant in Texas and recognized $0.3 million primarily related to the amortization of ROU assets for the two closed stores.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uses an interest rate swap, a derivative instrument, to hedge interest rate risk and are not used for trading purposes. The derivative contract is entered into with financial institutions.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records the derivative instrument on its condensed consolidated balance sheet at fair value. The derivative instrument qualifies as a hedging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instrument in a qualifying cash flow hedge relationship, the gain or loss on the derivative instrument is reported as a component of accumulated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comprehensive (loss) income ("AOCI") and reclassified into earnings in the same period or periods during which the hedged transaction affects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For any derivative instruments not designated as hedging instruments, the gain or loss will be recognized in earnings immediately. If a derivative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previously designated as a hedge is terminated, or no longer meets the qualifications for hedge accounting, any balances in AOCI will be reclassified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earnings immediately.</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use of an interest rate swap, the Company is exposed to risk that the counterparty will fail to meet their contractual obligations. To mitigate the counterparty credit risk, the Company will only enter into contracts with major financial institutions, based upon their credit ratings and other factors, and will continue to assess the creditworthiness of the counterparty. As of March 25, 2020, the counterparty to the Company's interest rate swap has performed in accordance with their contractual obligation.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expected to be realized.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665" w:right="359" w:bottom="1440" w:gutter="0" w:footer="0" w:header="0"/>
        </w:sectPr>
      </w:pPr>
    </w:p>
    <w:bookmarkStart w:id="15" w:name="page16"/>
    <w:bookmarkEnd w:id="15"/>
    <w:p>
      <w:pPr>
        <w:ind w:right="340"/>
        <w:spacing w:after="0" w:line="277" w:lineRule="auto"/>
        <w:rPr>
          <w:sz w:val="20"/>
          <w:szCs w:val="20"/>
          <w:color w:val="auto"/>
        </w:rPr>
      </w:pPr>
      <w:r>
        <w:rPr>
          <w:rFonts w:ascii="Arial" w:cs="Arial" w:eastAsia="Arial" w:hAnsi="Arial"/>
          <w:sz w:val="18"/>
          <w:szCs w:val="18"/>
          <w:color w:val="auto"/>
        </w:rPr>
        <w:t>judgment regarding the likelihood of the benefit being sustained. The final resolution of uncertain tax positions could result in adjustments to recorded amounts and may affect the Company’s consolidated financial position, results of operations, and cash flows.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The Company had no accrual for interest or penalties at March 25, 2020 or at December 25, 2019, and did not recognize interest or penalties during the thirteen weeks ended March 25, 2020 or March 27, 2019, since there were no material unrecognized tax benefits. Management believes no material changes to the amount of unrecognized tax benefits will occur within the next twelve months.</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thirteen weeks ended March 25, 2020 the Company received a Notice of Proposed Adjustment ("NOPA"), for the years ended December 27, 2017 and December 28, 2016, related to the Company's methodology regarding its ordering of utilization of AMT net operating losses ("NOL). This resulted in payment of $0.4 million and the audit is closed. As a result of the CARES Act, discussed above, this amount is immediately refundable upon filing of a Form 1139. See "Subsequent Event" disclosure above for further discussion of the tax impact of the CARES Act.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30, 2014, the Company entered into the income tax receivable agreement (the "TRA"), which calls for the Company to pay to its pre-IPO stockholders 85% of the savings in cash that the Company realizes in its income taxes as a result of utilizing its net operating losses and other tax attributes attributable to preceding periods. For the thirteen weeks ended March 25, 2020, the Company recorded income tax receivable agreement income of $0.1 million, and for the thirteen weeks ended March 27, 2019, the Company recorded income tax receivable agreement expense of $0.2 million, related to the amortization of interest expense related to our total expected TRA payments and changes in estimates for actual tax returns filed and future forecasted taxable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Except for the changes below, the Company has consistently applied the accounting policies to all periods presented in these condensed consolidated financial statements.</w:t>
      </w: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adopted Topic 842 with a date of initial application of December 27, 2018. As a result, the Company has changed its accounting policy for leases as detailed below.</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Company’s operations utilize property, facilities, equipment and vehicles owned by the Company or leased from others, the majority of which are operating leases. Additionally, the Company has various contracts with vendors that have been determined to contain an embedded lease in accordance with Topic 842. As of the date of adoption, the Company recognized a ROU asset and lease liability equal to the present value of these leases within its consolidated balance sheet for any leases with terms longer than 12 months. The Company also has three finance leases, subleases facilities to certain franchises and is the lessor for certain property, facilities and equipment owned by the Company. The adoption of Topic 842 did not have an impact on the Company's current accounting policies for these items. Furthermore, the adoption of this standard did not have any impact on the Company’s consolidated statement of operations or the consolidated statement of cash flows.</w:t>
      </w:r>
    </w:p>
    <w:p>
      <w:pPr>
        <w:spacing w:after="0" w:line="31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applied Topic 842 using the effective date method, which allowed the Company to apply the standard as of the adoption date, and to recognize the cumulative effect of initially applying Topic 842 as an adjustment to retained earnings at December 27, 2018, if applicable. Therefore, the comparative information has not been adjusted and continues to be reported under Topic 840. However, the Company did not have any impact to its retained earnings.</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Additionally, the Company elected to apply the package of practical expedients, which allowed for carryforwards of 1) historical lease classifications, 2) determination of whether a contract contains a lease under the new definition of a lease and 3) whether previously capitalized initial direct costs qualify for capitalization. See Note 11, "Leases," for further details.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320" w:top="773"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and equipment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25, 2020</w:t>
            </w:r>
          </w:p>
        </w:tc>
        <w:tc>
          <w:tcPr>
            <w:tcW w:w="140" w:type="dxa"/>
            <w:vAlign w:val="bottom"/>
          </w:tcPr>
          <w:p>
            <w:pPr>
              <w:spacing w:after="0"/>
              <w:rPr>
                <w:sz w:val="16"/>
                <w:szCs w:val="16"/>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December 25, 2019</w:t>
            </w:r>
          </w:p>
        </w:tc>
      </w:tr>
      <w:tr>
        <w:trPr>
          <w:trHeight w:val="249"/>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145,406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144,794</w:t>
            </w:r>
          </w:p>
        </w:tc>
      </w:tr>
      <w:tr>
        <w:trPr>
          <w:trHeight w:val="27"/>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75,234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4,213</w:t>
            </w:r>
          </w:p>
        </w:tc>
      </w:tr>
      <w:tr>
        <w:trPr>
          <w:trHeight w:val="27"/>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236,521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236,564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(144,786)</w:t>
            </w:r>
          </w:p>
        </w:tc>
      </w:tr>
      <w:tr>
        <w:trPr>
          <w:trHeight w:val="27"/>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87,902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91,778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$4.4 million and $4.8 million for the thirteen weeks ended March 25, 2020 and March 27, 2019, respectively.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the Company's review of its long-lived assets for impairment, the Company recorded non-cash impairment charges of $1.4 million for the thirteen weeks ended March 25, 2020, primarily related to the carrying value of the assets of three restaurants in California. D</w:t>
      </w:r>
      <w:r>
        <w:rPr>
          <w:rFonts w:ascii="Arial" w:cs="Arial" w:eastAsia="Arial" w:hAnsi="Arial"/>
          <w:sz w:val="18"/>
          <w:szCs w:val="18"/>
          <w:color w:val="212529"/>
        </w:rPr>
        <w:t>epending on the severity and</w:t>
      </w:r>
      <w:r>
        <w:rPr>
          <w:rFonts w:ascii="Arial" w:cs="Arial" w:eastAsia="Arial" w:hAnsi="Arial"/>
          <w:sz w:val="18"/>
          <w:szCs w:val="18"/>
          <w:color w:val="auto"/>
        </w:rPr>
        <w:t xml:space="preserve"> </w:t>
      </w:r>
      <w:r>
        <w:rPr>
          <w:rFonts w:ascii="Arial" w:cs="Arial" w:eastAsia="Arial" w:hAnsi="Arial"/>
          <w:sz w:val="18"/>
          <w:szCs w:val="18"/>
          <w:color w:val="212529"/>
        </w:rPr>
        <w:t xml:space="preserve">longevity of the COVID-19 pandemic, </w:t>
      </w:r>
      <w:r>
        <w:rPr>
          <w:rFonts w:ascii="Arial" w:cs="Arial" w:eastAsia="Arial" w:hAnsi="Arial"/>
          <w:sz w:val="18"/>
          <w:szCs w:val="18"/>
          <w:color w:val="000000"/>
        </w:rPr>
        <w:t>the Company's financial performance could be further impacted and it is possible that material impairments could be</w:t>
      </w:r>
      <w:r>
        <w:rPr>
          <w:rFonts w:ascii="Arial" w:cs="Arial" w:eastAsia="Arial" w:hAnsi="Arial"/>
          <w:sz w:val="18"/>
          <w:szCs w:val="18"/>
          <w:color w:val="212529"/>
        </w:rPr>
        <w:t xml:space="preserve"> </w:t>
      </w:r>
      <w:r>
        <w:rPr>
          <w:rFonts w:ascii="Arial" w:cs="Arial" w:eastAsia="Arial" w:hAnsi="Arial"/>
          <w:sz w:val="18"/>
          <w:szCs w:val="18"/>
          <w:color w:val="000000"/>
        </w:rPr>
        <w:t>identified in future periods.</w:t>
      </w:r>
    </w:p>
    <w:p>
      <w:pPr>
        <w:spacing w:after="0" w:line="187"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 xml:space="preserve">Assets are classified as held for sale if they meet the criteria outlined in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In accordance with applicable accounting guidance, the net assets were recorded at the lower of carrying value or fair value less costs to sell. The Company classified $4.5 million of assets as held for sale as of March 27, 2019, and recognized a loss on held for sale assets of $4.1 million for the thirteen weeks ended March 27, 2019.</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March 25, 2020, options to purchase 2,034,834 shares of common stock were outstanding, including 1,518,145 vested and 516,689 unvested. Unvested options vest over time; however, upon a change in control, the board may accelerate vesting. At March 25, 2020, 1,159,366 premium options, options granted above the stock price at date of grant, remained outstanding. A summary of stock option activity as of March 25, 2020 and changes during the thirteen weeks ended March 25, 2020 is as follows: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9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660" w:type="dxa"/>
            <w:vAlign w:val="bottom"/>
          </w:tcPr>
          <w:p>
            <w:pPr>
              <w:jc w:val="right"/>
              <w:ind w:right="31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43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25, 2019</w:t>
            </w:r>
          </w:p>
        </w:tc>
        <w:tc>
          <w:tcPr>
            <w:tcW w:w="1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2,077,570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Forfeited, cancelled or expired</w:t>
            </w:r>
          </w:p>
        </w:tc>
        <w:tc>
          <w:tcPr>
            <w:tcW w:w="1880" w:type="dxa"/>
            <w:vAlign w:val="bottom"/>
          </w:tcPr>
          <w:p>
            <w:pPr>
              <w:jc w:val="right"/>
              <w:spacing w:after="0"/>
              <w:rPr>
                <w:sz w:val="20"/>
                <w:szCs w:val="20"/>
                <w:color w:val="auto"/>
              </w:rPr>
            </w:pPr>
            <w:r>
              <w:rPr>
                <w:rFonts w:ascii="Arial" w:cs="Arial" w:eastAsia="Arial" w:hAnsi="Arial"/>
                <w:sz w:val="18"/>
                <w:szCs w:val="18"/>
                <w:color w:val="auto"/>
              </w:rPr>
              <w:t>(42,736)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March 25, 2020</w:t>
            </w: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2,034,834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March 25, 2020</w:t>
            </w: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80" w:type="dxa"/>
            <w:vAlign w:val="bottom"/>
            <w:vMerge w:val="continue"/>
          </w:tcPr>
          <w:p>
            <w:pPr>
              <w:spacing w:after="0"/>
              <w:rPr>
                <w:sz w:val="19"/>
                <w:szCs w:val="19"/>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2,026,518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67"/>
        </w:trPr>
        <w:tc>
          <w:tcPr>
            <w:tcW w:w="7280" w:type="dxa"/>
            <w:vAlign w:val="bottom"/>
            <w:tcBorders>
              <w:bottom w:val="single" w:sz="8" w:color="CCEEFF"/>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2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Exercisable at March 25, 2020</w:t>
            </w: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1,518,145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At March 25, 2020, the Company had total unrecognized compensation expense of $1.5 million related to unvested stock options, which it expects to recognize over a weighted-average period of 2.68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share activity as of March 25, 2020 and changes during the thirteen weeks ended March 25, 2020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53" w:right="339" w:bottom="1440" w:gutter="0" w:footer="0" w:header="0"/>
        </w:sectPr>
      </w:pPr>
    </w:p>
    <w:bookmarkStart w:id="17" w:name="page18"/>
    <w:bookmarkEnd w:id="17"/>
    <w:tbl>
      <w:tblPr>
        <w:tblLayout w:type="fixed"/>
        <w:tblInd w:w="4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160" w:type="dxa"/>
            <w:vAlign w:val="bottom"/>
            <w:vMerge w:val="restart"/>
          </w:tcPr>
          <w:p>
            <w:pPr>
              <w:ind w:left="740"/>
              <w:spacing w:after="0"/>
              <w:rPr>
                <w:sz w:val="20"/>
                <w:szCs w:val="20"/>
                <w:color w:val="auto"/>
              </w:rPr>
            </w:pPr>
            <w:r>
              <w:rPr>
                <w:rFonts w:ascii="Arial" w:cs="Arial" w:eastAsia="Arial" w:hAnsi="Arial"/>
                <w:sz w:val="14"/>
                <w:szCs w:val="14"/>
                <w:b w:val="1"/>
                <w:bCs w:val="1"/>
                <w:color w:val="auto"/>
                <w:w w:val="85"/>
              </w:rPr>
              <w:t>Shares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ind w:right="317"/>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2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25, 2019</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588,008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Forfeited, cancelled, or expired</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(49,010)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March 25, 2020</w:t>
            </w:r>
          </w:p>
        </w:tc>
        <w:tc>
          <w:tcPr>
            <w:tcW w:w="1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538,998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Unvested shares at March 25, 2020, included 430,823 unvested restricted shares, 36,058 unvested performance stock units and 72,117 unvested restricted units.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March 25, 2020, the Company had unrecognized compensation expense of $3.7 million related to unvested restricted shares, which it expects to recognize over a weighted-average period of 2.57 years, unrecognized compensation expense of $0.1 million related to performance stock units, which it expects to recognize over a weighted-average period of 3.12 years and unrecognized compensation expense of $0.5 million related to unvested restricted units, which it expects to recognize over a weighted-average period of 2.12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was $0.5 million for both the thirteen weeks ended March 25, 2020 and March 27,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July 13, 2018, the Company refinanced a credit agreement with Bank of America, N.A., initially entered into on December 11, 2014 (the “2014 Revolver”), pursuant to a credit agreement (the “2018 Credit Agreement”) among EPL, as borrower, and the Company and Intermediate, as guarantors, Bank of America, N.A., as administrative agent, swingline lender, and letter of credit issuer, the lenders party thereto, and the other parties thereto, which provides for a $150.0 million five-year senior secured revolving credit facility (the “2018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9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Under the 2018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w:t>
      </w:r>
    </w:p>
    <w:p>
      <w:pPr>
        <w:spacing w:after="0" w:line="2" w:lineRule="exact"/>
        <w:rPr>
          <w:sz w:val="20"/>
          <w:szCs w:val="20"/>
          <w:color w:val="auto"/>
        </w:rPr>
      </w:pPr>
    </w:p>
    <w:p>
      <w:pPr>
        <w:ind w:right="200" w:firstLine="8"/>
        <w:spacing w:after="0" w:line="323"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3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3.11% to 3.29% for the thirteen weeks ended March 25, 2020 and 3.96% to 4.01% for the thirteen weeks ended March 27, 2019.</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2018 Credit Agreement contains certain financial covenants. The Company was in compliance with the financial covenants as of March 25, 2020. However, </w:t>
      </w:r>
      <w:r>
        <w:rPr>
          <w:rFonts w:ascii="Arial" w:cs="Arial" w:eastAsia="Arial" w:hAnsi="Arial"/>
          <w:sz w:val="18"/>
          <w:szCs w:val="18"/>
          <w:color w:val="212529"/>
        </w:rPr>
        <w:t>depending on the severity and longevity of the COVID-19 pandemic,</w:t>
      </w:r>
      <w:r>
        <w:rPr>
          <w:rFonts w:ascii="Arial" w:cs="Arial" w:eastAsia="Arial" w:hAnsi="Arial"/>
          <w:sz w:val="18"/>
          <w:szCs w:val="18"/>
          <w:color w:val="auto"/>
        </w:rPr>
        <w:t xml:space="preserve"> the Company's financial performance and liquidity could be further impacted and could impact the Company's ability to comply with certain financial covenants required in the 2018 Credit Agreement, specifically the lease-adjusted coverage ratio and fixed-charge coverage ratio.</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March 25, 2020, $8.4 million of letters of credit and $141.5 million in borrowings under the 2018 Revolver were outstanding. The Company had $0.1 million amounts available under the 2018 Revolver at March 25,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698"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thirteen weeks ended March 25, 2020, the Company borrowed $44.5 million, net of pay downs of $8.0 million, on the Company’s 2018 Revolver, primarily as a precautionary measure to bolster its existing cash position, related to the uncertainty regarding the current COVID-19 pandemic, as well as to fund litigation settlement payments. See Note 1 under "Subsequent Events" for further details regarding the Company's actions related to the COVID-19 pandemic and Note 7 for further details regarding the litigation settlement payments. During the thirteen weeks ended March 27, 2019, the Company elected to pay down $3.0 million of outstanding borrowings on the Company’s 2018 Revolver. There are no required principal payments prior to maturity for the 2018 Revolver.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During the year ended December 25, 2019, the Company entered into a variable-to-fixed interest rate swap agreement with a notional amount of $40.0 million that matures in June 2023. The objective of the interest rate swap was to reduce the Company's exposure to interest rate risk for a portion of its variable-rate interest payments on its borrowings under the 2018 Revolver. Under the terms of the swap agreement, the variable LIBOR-based component of interest payments were converted to a fixed rate of 1.31%, plus applicable margin, which is currently 1.5%. The interest rate swap was designated as a cash flow hedge, as the changes in the future cash flows of the swap were expected to offset changes in expected future interest payments on the related variable-rate debt,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w:t>
      </w:r>
    </w:p>
    <w:p>
      <w:pPr>
        <w:spacing w:after="0" w:line="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changes in the fair value of the interest rate swap are not included in earnings, but are included in other comprehensive (loss) income (“OCI”). These changes in fair value are subsequently reclassified into net earnings as a component of interest expense as the hedged interest payments are made on the variable rate borrowings.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thirteen weeks ended March 25, 2020, the swap was a highly effective cash flow hedge.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25, 2020, the estimated net loss included in AOCI related to the Company's cash flow hedge that will be reclassified into earnings in the next 12 months is $0.1 million, based on current LIBOR interest rates.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shows the financial statement line item and amount of the Company's cash flow hedge accounting on the condensed consolidated balance sheet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1236"/>
              <w:spacing w:after="0"/>
              <w:rPr>
                <w:sz w:val="20"/>
                <w:szCs w:val="20"/>
                <w:color w:val="auto"/>
              </w:rPr>
            </w:pPr>
            <w:r>
              <w:rPr>
                <w:rFonts w:ascii="Arial" w:cs="Arial" w:eastAsia="Arial" w:hAnsi="Arial"/>
                <w:sz w:val="14"/>
                <w:szCs w:val="14"/>
                <w:b w:val="1"/>
                <w:bCs w:val="1"/>
                <w:color w:val="auto"/>
              </w:rPr>
              <w:t>March 25, 2020</w:t>
            </w:r>
          </w:p>
        </w:tc>
        <w:tc>
          <w:tcPr>
            <w:tcW w:w="274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4"/>
                <w:szCs w:val="14"/>
                <w:b w:val="1"/>
                <w:bCs w:val="1"/>
                <w:color w:val="auto"/>
              </w:rPr>
              <w:t>December 25, 2019</w:t>
            </w:r>
          </w:p>
        </w:tc>
      </w:tr>
      <w:tr>
        <w:trPr>
          <w:trHeight w:val="263"/>
        </w:trPr>
        <w:tc>
          <w:tcPr>
            <w:tcW w:w="5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399"/>
              <w:spacing w:after="0"/>
              <w:rPr>
                <w:sz w:val="20"/>
                <w:szCs w:val="20"/>
                <w:color w:val="auto"/>
              </w:rPr>
            </w:pPr>
            <w:r>
              <w:rPr>
                <w:rFonts w:ascii="Arial" w:cs="Arial" w:eastAsia="Arial" w:hAnsi="Arial"/>
                <w:sz w:val="14"/>
                <w:szCs w:val="14"/>
                <w:b w:val="1"/>
                <w:bCs w:val="1"/>
                <w:color w:val="auto"/>
              </w:rPr>
              <w:t>Notional</w:t>
            </w:r>
          </w:p>
        </w:tc>
        <w:tc>
          <w:tcPr>
            <w:tcW w:w="360" w:type="dxa"/>
            <w:vAlign w:val="bottom"/>
          </w:tcPr>
          <w:p>
            <w:pPr>
              <w:spacing w:after="0"/>
              <w:rPr>
                <w:sz w:val="22"/>
                <w:szCs w:val="22"/>
                <w:color w:val="auto"/>
              </w:rPr>
            </w:pPr>
          </w:p>
        </w:tc>
        <w:tc>
          <w:tcPr>
            <w:tcW w:w="1480" w:type="dxa"/>
            <w:vAlign w:val="bottom"/>
          </w:tcPr>
          <w:p>
            <w:pPr>
              <w:jc w:val="right"/>
              <w:ind w:right="616"/>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399"/>
              <w:spacing w:after="0"/>
              <w:rPr>
                <w:sz w:val="20"/>
                <w:szCs w:val="20"/>
                <w:color w:val="auto"/>
              </w:rPr>
            </w:pPr>
            <w:r>
              <w:rPr>
                <w:rFonts w:ascii="Arial" w:cs="Arial" w:eastAsia="Arial" w:hAnsi="Arial"/>
                <w:sz w:val="14"/>
                <w:szCs w:val="14"/>
                <w:b w:val="1"/>
                <w:bCs w:val="1"/>
                <w:color w:val="auto"/>
              </w:rPr>
              <w:t>Notional</w:t>
            </w:r>
          </w:p>
        </w:tc>
        <w:tc>
          <w:tcPr>
            <w:tcW w:w="360" w:type="dxa"/>
            <w:vAlign w:val="bottom"/>
          </w:tcPr>
          <w:p>
            <w:pPr>
              <w:spacing w:after="0"/>
              <w:rPr>
                <w:sz w:val="22"/>
                <w:szCs w:val="22"/>
                <w:color w:val="auto"/>
              </w:rPr>
            </w:pP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 Interest rate swap</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40,000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360</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Other liabilities - Interest rate swap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40,000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6"/>
              <w:spacing w:after="0"/>
              <w:rPr>
                <w:sz w:val="20"/>
                <w:szCs w:val="20"/>
                <w:color w:val="auto"/>
              </w:rPr>
            </w:pPr>
            <w:r>
              <w:rPr>
                <w:rFonts w:ascii="Arial" w:cs="Arial" w:eastAsia="Arial" w:hAnsi="Arial"/>
                <w:sz w:val="18"/>
                <w:szCs w:val="18"/>
                <w:color w:val="auto"/>
              </w:rPr>
              <w:t>1,142</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table summarizes the effect of the Company's cash flow hedge accounting on the condensed consolidated statements of income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77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March 25, 2020</w:t>
            </w: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March 27, 2019</w:t>
            </w: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hedged portion of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429</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Interest income on interest rate swap</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1"/>
                <w:szCs w:val="21"/>
                <w:color w:val="auto"/>
              </w:rPr>
            </w:pP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on debt and derivatives,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390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 of the Company's cash flow hedge accounting on AOCI for the thirteen weeks ended March 25,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27, 2019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Loss Recognized in OCI</w:t>
            </w:r>
          </w:p>
        </w:tc>
        <w:tc>
          <w:tcPr>
            <w:tcW w:w="220" w:type="dxa"/>
            <w:vAlign w:val="bottom"/>
          </w:tcPr>
          <w:p>
            <w:pPr>
              <w:spacing w:after="0"/>
              <w:rPr>
                <w:sz w:val="13"/>
                <w:szCs w:val="13"/>
                <w:color w:val="auto"/>
              </w:rPr>
            </w:pPr>
          </w:p>
        </w:tc>
        <w:tc>
          <w:tcPr>
            <w:tcW w:w="2000" w:type="dxa"/>
            <w:vAlign w:val="bottom"/>
            <w:gridSpan w:val="3"/>
          </w:tcPr>
          <w:p>
            <w:pPr>
              <w:jc w:val="center"/>
              <w:ind w:right="22"/>
              <w:spacing w:after="0" w:line="153" w:lineRule="exact"/>
              <w:rPr>
                <w:sz w:val="20"/>
                <w:szCs w:val="20"/>
                <w:color w:val="auto"/>
              </w:rPr>
            </w:pPr>
            <w:r>
              <w:rPr>
                <w:rFonts w:ascii="Arial" w:cs="Arial" w:eastAsia="Arial" w:hAnsi="Arial"/>
                <w:sz w:val="14"/>
                <w:szCs w:val="14"/>
                <w:b w:val="1"/>
                <w:bCs w:val="1"/>
                <w:color w:val="auto"/>
                <w:w w:val="95"/>
              </w:rPr>
              <w:t>(Gain) Reclassified from AOCI</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22"/>
              <w:spacing w:after="0"/>
              <w:rPr>
                <w:sz w:val="20"/>
                <w:szCs w:val="20"/>
                <w:color w:val="auto"/>
              </w:rPr>
            </w:pPr>
            <w:r>
              <w:rPr>
                <w:rFonts w:ascii="Arial" w:cs="Arial" w:eastAsia="Arial" w:hAnsi="Arial"/>
                <w:sz w:val="14"/>
                <w:szCs w:val="14"/>
                <w:b w:val="1"/>
                <w:bCs w:val="1"/>
                <w:color w:val="auto"/>
                <w:w w:val="89"/>
              </w:rPr>
              <w:t>into Interest expense</w:t>
            </w: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25, 2020</w:t>
            </w:r>
          </w:p>
        </w:tc>
        <w:tc>
          <w:tcPr>
            <w:tcW w:w="98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March 27,</w:t>
            </w: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March 25, 2020</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March 27,</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980" w:type="dxa"/>
            <w:vAlign w:val="bottom"/>
          </w:tcPr>
          <w:p>
            <w:pPr>
              <w:ind w:left="320"/>
              <w:spacing w:after="0"/>
              <w:rPr>
                <w:sz w:val="20"/>
                <w:szCs w:val="20"/>
                <w:color w:val="auto"/>
              </w:rPr>
            </w:pPr>
            <w:r>
              <w:rPr>
                <w:rFonts w:ascii="Arial" w:cs="Arial" w:eastAsia="Arial" w:hAnsi="Arial"/>
                <w:sz w:val="14"/>
                <w:szCs w:val="14"/>
                <w:b w:val="1"/>
                <w:bCs w:val="1"/>
                <w:color w:val="auto"/>
              </w:rPr>
              <w:t>2019</w:t>
            </w:r>
          </w:p>
        </w:tc>
        <w:tc>
          <w:tcPr>
            <w:tcW w:w="1220" w:type="dxa"/>
            <w:vAlign w:val="bottom"/>
            <w:gridSpan w:val="3"/>
            <w:vMerge w:val="continue"/>
          </w:tcPr>
          <w:p>
            <w:pPr>
              <w:spacing w:after="0"/>
              <w:rPr>
                <w:sz w:val="16"/>
                <w:szCs w:val="16"/>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2"/>
        </w:trPr>
        <w:tc>
          <w:tcPr>
            <w:tcW w:w="6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w:t>
            </w: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1,459</w:t>
            </w: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1 for the fair value of our derivative asset.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25, 2020</w:t>
            </w:r>
          </w:p>
        </w:tc>
        <w:tc>
          <w:tcPr>
            <w:tcW w:w="140" w:type="dxa"/>
            <w:vAlign w:val="bottom"/>
          </w:tcPr>
          <w:p>
            <w:pPr>
              <w:spacing w:after="0"/>
              <w:rPr>
                <w:sz w:val="16"/>
                <w:szCs w:val="16"/>
                <w:color w:val="auto"/>
              </w:rPr>
            </w:pPr>
          </w:p>
        </w:tc>
        <w:tc>
          <w:tcPr>
            <w:tcW w:w="132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December 25, 2019</w:t>
            </w:r>
          </w:p>
        </w:tc>
        <w:tc>
          <w:tcPr>
            <w:tcW w:w="0" w:type="dxa"/>
            <w:vAlign w:val="bottom"/>
          </w:tcPr>
          <w:p>
            <w:pPr>
              <w:spacing w:after="0"/>
              <w:rPr>
                <w:sz w:val="1"/>
                <w:szCs w:val="1"/>
                <w:color w:val="auto"/>
              </w:rPr>
            </w:pPr>
          </w:p>
        </w:tc>
      </w:tr>
      <w:tr>
        <w:trPr>
          <w:trHeight w:val="249"/>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and property taxes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Gift card liability</w:t>
            </w:r>
          </w:p>
        </w:tc>
        <w:tc>
          <w:tcPr>
            <w:tcW w:w="18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legal settlements and professional fees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16,901</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Deferred franchise and development fees</w:t>
            </w:r>
          </w:p>
        </w:tc>
        <w:tc>
          <w:tcPr>
            <w:tcW w:w="18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Total other accrued expenses and current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12,216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28,597</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6. OTHER NONCURRENT LIABILITIES</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20" w:type="dxa"/>
            <w:vAlign w:val="bottom"/>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25, 2020</w:t>
            </w:r>
          </w:p>
        </w:tc>
        <w:tc>
          <w:tcPr>
            <w:tcW w:w="140" w:type="dxa"/>
            <w:vAlign w:val="bottom"/>
          </w:tcPr>
          <w:p>
            <w:pPr>
              <w:spacing w:after="0"/>
              <w:rPr>
                <w:sz w:val="24"/>
                <w:szCs w:val="24"/>
                <w:color w:val="auto"/>
              </w:rPr>
            </w:pPr>
          </w:p>
        </w:tc>
        <w:tc>
          <w:tcPr>
            <w:tcW w:w="132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December 25, 2019</w:t>
            </w:r>
          </w:p>
        </w:tc>
        <w:tc>
          <w:tcPr>
            <w:tcW w:w="0" w:type="dxa"/>
            <w:vAlign w:val="bottom"/>
          </w:tcPr>
          <w:p>
            <w:pPr>
              <w:spacing w:after="0"/>
              <w:rPr>
                <w:sz w:val="1"/>
                <w:szCs w:val="1"/>
                <w:color w:val="auto"/>
              </w:rPr>
            </w:pP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franchise and development fees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Derivative liability</w:t>
            </w:r>
          </w:p>
        </w:tc>
        <w:tc>
          <w:tcPr>
            <w:tcW w:w="18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Total other noncurrent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7600" w:firstLine="8"/>
        <w:spacing w:after="0" w:line="378"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40"/>
        <w:spacing w:after="0" w:line="285" w:lineRule="auto"/>
        <w:rPr>
          <w:sz w:val="20"/>
          <w:szCs w:val="20"/>
          <w:color w:val="auto"/>
        </w:rPr>
      </w:pPr>
      <w:r>
        <w:rPr>
          <w:rFonts w:ascii="Arial" w:cs="Arial" w:eastAsia="Arial" w:hAnsi="Arial"/>
          <w:sz w:val="16"/>
          <w:szCs w:val="16"/>
          <w:color w:val="auto"/>
        </w:rPr>
        <w:t xml:space="preserve">On or about February 24, 2014, a former employee filed a class action in the Superior Court of the State of California, County of Orange, under the caption </w:t>
      </w:r>
      <w:r>
        <w:rPr>
          <w:rFonts w:ascii="Arial" w:cs="Arial" w:eastAsia="Arial" w:hAnsi="Arial"/>
          <w:sz w:val="16"/>
          <w:szCs w:val="16"/>
          <w:u w:val="single" w:color="auto"/>
          <w:color w:val="auto"/>
        </w:rPr>
        <w:t>Elliott Olvera, et al v. El Pollo Loco, Inc., et al</w:t>
      </w:r>
      <w:r>
        <w:rPr>
          <w:rFonts w:ascii="Arial" w:cs="Arial" w:eastAsia="Arial" w:hAnsi="Arial"/>
          <w:sz w:val="16"/>
          <w:szCs w:val="16"/>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court recently certified two classes of plaintiffs - one class encompasses restaurant employees who were not provided proper rest breaks because they were not allowed to leave the premises during their breaks and the other class encompasses restaurant employees who were required to wait at the restaurant after they finished working for the night until the manager set the alarm for safety purposes. The parties reached a settlement in principle on January 24, 2019 of all claims brought on behalf of the 32,000+ putative class members in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as well as all claims for failure to pay overtime compensation, failure to provide meal periods and rest breaks, and failure to provide itemized wage statements brought in the class actions captioned </w:t>
      </w:r>
      <w:r>
        <w:rPr>
          <w:rFonts w:ascii="Arial" w:cs="Arial" w:eastAsia="Arial" w:hAnsi="Arial"/>
          <w:sz w:val="16"/>
          <w:szCs w:val="16"/>
          <w:u w:val="single" w:color="auto"/>
          <w:color w:val="auto"/>
        </w:rPr>
        <w:t>Martha Perez v. El Pollo Loco, Inc.</w:t>
      </w:r>
      <w:r>
        <w:rPr>
          <w:rFonts w:ascii="Arial" w:cs="Arial" w:eastAsia="Arial" w:hAnsi="Arial"/>
          <w:sz w:val="16"/>
          <w:szCs w:val="16"/>
          <w:color w:val="auto"/>
        </w:rPr>
        <w:t xml:space="preserve"> (Los Angeles Superior Court Case No. BC624001), </w:t>
      </w:r>
      <w:r>
        <w:rPr>
          <w:rFonts w:ascii="Arial" w:cs="Arial" w:eastAsia="Arial" w:hAnsi="Arial"/>
          <w:sz w:val="16"/>
          <w:szCs w:val="16"/>
          <w:u w:val="single" w:color="auto"/>
          <w:color w:val="auto"/>
        </w:rPr>
        <w:t>Maria Vega, et al. v. El Pollo Loco, Inc.</w:t>
      </w:r>
      <w:r>
        <w:rPr>
          <w:rFonts w:ascii="Arial" w:cs="Arial" w:eastAsia="Arial" w:hAnsi="Arial"/>
          <w:sz w:val="16"/>
          <w:szCs w:val="16"/>
          <w:color w:val="auto"/>
        </w:rPr>
        <w:t xml:space="preserve"> (Los Angeles Superior Court Case No. BC649719), and </w:t>
      </w:r>
      <w:r>
        <w:rPr>
          <w:rFonts w:ascii="Arial" w:cs="Arial" w:eastAsia="Arial" w:hAnsi="Arial"/>
          <w:sz w:val="16"/>
          <w:szCs w:val="16"/>
          <w:u w:val="single" w:color="auto"/>
          <w:color w:val="auto"/>
        </w:rPr>
        <w:t>Gonzalez v. El Pollo Loco, Inc.</w:t>
      </w:r>
      <w:r>
        <w:rPr>
          <w:rFonts w:ascii="Arial" w:cs="Arial" w:eastAsia="Arial" w:hAnsi="Arial"/>
          <w:sz w:val="16"/>
          <w:szCs w:val="16"/>
          <w:color w:val="auto"/>
        </w:rPr>
        <w:t xml:space="preserve"> (Los Angeles Superior Court Case No. BC712867). The settlement reached in principle in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Perez</w:t>
      </w:r>
      <w:r>
        <w:rPr>
          <w:rFonts w:ascii="Arial" w:cs="Arial" w:eastAsia="Arial" w:hAnsi="Arial"/>
          <w:sz w:val="16"/>
          <w:szCs w:val="16"/>
          <w:color w:val="auto"/>
        </w:rPr>
        <w:t xml:space="preserve">, </w:t>
      </w:r>
      <w:r>
        <w:rPr>
          <w:rFonts w:ascii="Arial" w:cs="Arial" w:eastAsia="Arial" w:hAnsi="Arial"/>
          <w:sz w:val="16"/>
          <w:szCs w:val="16"/>
          <w:u w:val="single" w:color="auto"/>
          <w:color w:val="auto"/>
        </w:rPr>
        <w:t>Vega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Gonzalez actions</w:t>
      </w:r>
      <w:r>
        <w:rPr>
          <w:rFonts w:ascii="Arial" w:cs="Arial" w:eastAsia="Arial" w:hAnsi="Arial"/>
          <w:sz w:val="16"/>
          <w:szCs w:val="16"/>
          <w:color w:val="auto"/>
        </w:rPr>
        <w:t xml:space="preserve"> resolves all potential claims from April 12, 2010 through April 1, 2019 that El Pollo Loco restaurant employees may have against El Pollo Loco for failure to pay for all compensation owed, failure to pay overtime compensation, failure to provide meal periods and rest breaks and failure to provide itemized wage statements, among other wage and hour related claims. A $16.3 million accrual of an expected settlement amount related to this matter was recorded as of December 26, 2018, and the court formally approved the settlement on January 31, 2020. The settlement payment was made on February 28, 2020. Purported class actions alleging wage and hour violations are commonly filed against California employers. The Company fully expects to have to defend against similar lawsuits in the future.</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Daniel Turocy, et al. v. El Pollo Loco Holdings, Inc., et al.</w:t>
      </w:r>
      <w:r>
        <w:rPr>
          <w:rFonts w:ascii="Arial" w:cs="Arial" w:eastAsia="Arial" w:hAnsi="Arial"/>
          <w:sz w:val="18"/>
          <w:szCs w:val="18"/>
          <w:color w:val="auto"/>
        </w:rPr>
        <w:t xml:space="preserve"> (Case No. 8:15-cv-01343) was filed in the United States District Court for the Central District of California on August 24, 2015, and </w:t>
      </w:r>
      <w:r>
        <w:rPr>
          <w:rFonts w:ascii="Arial" w:cs="Arial" w:eastAsia="Arial" w:hAnsi="Arial"/>
          <w:sz w:val="18"/>
          <w:szCs w:val="18"/>
          <w:u w:val="single" w:color="auto"/>
          <w:color w:val="auto"/>
        </w:rPr>
        <w:t>Ron Huston, et al. v. El Pollo Loco Holdings, Inc., et al.</w:t>
      </w:r>
      <w:r>
        <w:rPr>
          <w:rFonts w:ascii="Arial" w:cs="Arial" w:eastAsia="Arial" w:hAnsi="Arial"/>
          <w:sz w:val="18"/>
          <w:szCs w:val="18"/>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769" w:right="33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7"/>
          <w:szCs w:val="17"/>
          <w:color w:val="auto"/>
        </w:rPr>
        <w:t>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7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on July 3, 2018, the Court granted Plaintiffs’ motion and certified a class as to all of Plaintiffs’ claims. Defendants filed a petition for appellate review of a portion of the Court’s July 3, 2018 class certification order. On October 19, 2018 the Ninth Circuit Court of Appeals denied the petition.</w:t>
      </w:r>
    </w:p>
    <w:p>
      <w:pPr>
        <w:spacing w:after="0" w:line="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January 23, 2019, the parties filed a Notice of Settlement and Joint Request for Order to Stay Proceedings, stating the parties have reached an agreement in principle to settle the claims and allegations in the action and are negotiating the terms of a Stipulation of Settlement. On January 24, 2019, the Court ordered that all proceedings in the action be stayed until April 3, 2019, on or before which the parties were to file and did so file a Stipulation of Settlement and a motion for preliminary approval of the settlement. The court granted preliminary approval of the settlement on May 13, 2019. Defendants maintain that the Plaintiffs' claims are without merit, and entered into the settlement with Plaintiffs to eliminate the uncertainties, burden and expense of further protracted litigation. A $20.0 million accrual of an expected settlement amount related to this matter was recorded as of December 26, 2018 and all settlement payments were made during the year ended December 25, 2019.</w:t>
      </w:r>
    </w:p>
    <w:p>
      <w:pPr>
        <w:spacing w:after="0" w:line="17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7"/>
          <w:szCs w:val="17"/>
          <w:u w:val="single" w:color="auto"/>
          <w:color w:val="auto"/>
        </w:rPr>
        <w:t>Armen Galustyan v. Sather, et al.</w:t>
      </w:r>
      <w:r>
        <w:rPr>
          <w:rFonts w:ascii="Arial" w:cs="Arial" w:eastAsia="Arial" w:hAnsi="Arial"/>
          <w:sz w:val="17"/>
          <w:szCs w:val="17"/>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7"/>
          <w:szCs w:val="17"/>
          <w:u w:val="single" w:color="auto"/>
          <w:color w:val="auto"/>
        </w:rPr>
        <w:t>Turocy v. El Pollo Loco</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Holdings, Inc</w:t>
      </w:r>
      <w:r>
        <w:rPr>
          <w:rFonts w:ascii="Arial" w:cs="Arial" w:eastAsia="Arial" w:hAnsi="Arial"/>
          <w:sz w:val="17"/>
          <w:szCs w:val="17"/>
          <w:color w:val="auto"/>
        </w:rPr>
        <w:t xml:space="preserve">., discussed above. A second purported Holdings shareholder filed a derivative complaint on or about September 23, 2016, under the caption </w:t>
      </w:r>
      <w:r>
        <w:rPr>
          <w:rFonts w:ascii="Arial" w:cs="Arial" w:eastAsia="Arial" w:hAnsi="Arial"/>
          <w:sz w:val="17"/>
          <w:szCs w:val="17"/>
          <w:u w:val="single" w:color="auto"/>
          <w:color w:val="auto"/>
        </w:rPr>
        <w:t>Diep v. Sather</w:t>
      </w:r>
      <w:r>
        <w:rPr>
          <w:rFonts w:ascii="Arial" w:cs="Arial" w:eastAsia="Arial" w:hAnsi="Arial"/>
          <w:sz w:val="17"/>
          <w:szCs w:val="17"/>
          <w:color w:val="auto"/>
        </w:rPr>
        <w:t xml:space="preserve">, CA 12760-VCL in the Delaware Court of Chancery. The </w:t>
      </w:r>
      <w:r>
        <w:rPr>
          <w:rFonts w:ascii="Arial" w:cs="Arial" w:eastAsia="Arial" w:hAnsi="Arial"/>
          <w:sz w:val="17"/>
          <w:szCs w:val="17"/>
          <w:u w:val="single" w:color="auto"/>
          <w:color w:val="auto"/>
        </w:rPr>
        <w:t>Diep</w:t>
      </w:r>
      <w:r>
        <w:rPr>
          <w:rFonts w:ascii="Arial" w:cs="Arial" w:eastAsia="Arial" w:hAnsi="Arial"/>
          <w:sz w:val="17"/>
          <w:szCs w:val="17"/>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7"/>
          <w:szCs w:val="17"/>
          <w:u w:val="single" w:color="auto"/>
          <w:color w:val="auto"/>
        </w:rPr>
        <w:t>Galustyan</w:t>
      </w:r>
      <w:r>
        <w:rPr>
          <w:rFonts w:ascii="Arial" w:cs="Arial" w:eastAsia="Arial" w:hAnsi="Arial"/>
          <w:sz w:val="17"/>
          <w:szCs w:val="17"/>
          <w:color w:val="auto"/>
        </w:rPr>
        <w:t xml:space="preserve">. Defendants moved to stay or dismiss the </w:t>
      </w:r>
      <w:r>
        <w:rPr>
          <w:rFonts w:ascii="Arial" w:cs="Arial" w:eastAsia="Arial" w:hAnsi="Arial"/>
          <w:sz w:val="17"/>
          <w:szCs w:val="17"/>
          <w:u w:val="single" w:color="auto"/>
          <w:color w:val="auto"/>
        </w:rPr>
        <w:t>Diep</w:t>
      </w:r>
      <w:r>
        <w:rPr>
          <w:rFonts w:ascii="Arial" w:cs="Arial" w:eastAsia="Arial" w:hAnsi="Arial"/>
          <w:sz w:val="17"/>
          <w:szCs w:val="17"/>
          <w:color w:val="auto"/>
        </w:rPr>
        <w:t xml:space="preserve"> action.</w:t>
      </w:r>
    </w:p>
    <w:p>
      <w:pPr>
        <w:spacing w:after="0" w:line="18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On March 17, 2017, the Delaware court granted in part, and denied in part, the motion to stay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for five months or until the completion of an investigation of the allegations in the action by a special litigation committee of the Holdings board of directors (the "SLC"). On February 13, 2019, after concluding its investigation, the SLC filed a motion to dismiss the Diep action. The SLC filed its investigative report under seal as an exhibit to the motion to dismiss. Discovery related to the SLC's motion is ongoing.</w:t>
      </w:r>
    </w:p>
    <w:p>
      <w:pPr>
        <w:spacing w:after="0" w:line="5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Janice P. Handlers-Bryman and Michael D. Bryman v. El Pollo Loco, Inc.</w:t>
      </w:r>
      <w:r>
        <w:rPr>
          <w:rFonts w:ascii="Arial" w:cs="Arial" w:eastAsia="Arial" w:hAnsi="Arial"/>
          <w:sz w:val="18"/>
          <w:szCs w:val="18"/>
          <w:color w:val="auto"/>
        </w:rPr>
        <w:t>,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665" w:right="359" w:bottom="1440" w:gutter="0" w:footer="0" w:header="0"/>
        </w:sectPr>
      </w:pPr>
    </w:p>
    <w:bookmarkStart w:id="21" w:name="page22"/>
    <w:bookmarkEnd w:id="21"/>
    <w:p>
      <w:pPr>
        <w:ind w:right="20"/>
        <w:spacing w:after="0" w:line="267" w:lineRule="auto"/>
        <w:rPr>
          <w:sz w:val="20"/>
          <w:szCs w:val="20"/>
          <w:color w:val="auto"/>
        </w:rPr>
      </w:pPr>
      <w:r>
        <w:rPr>
          <w:rFonts w:ascii="Arial" w:cs="Arial" w:eastAsia="Arial" w:hAnsi="Arial"/>
          <w:sz w:val="17"/>
          <w:szCs w:val="17"/>
          <w:color w:val="auto"/>
        </w:rPr>
        <w:t>additional restaurant locations in Lancaster, California, and that we thereafter developed company-operated El Pollo Loco restaurants in the “market area” of Plaintiffs’ existing El Pollo Loco restaurant in Lancaster. Plaintiffs asserted claims against us for, among other things, (i) 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company-operated locations to Plaintiffs or to continuously disgorge to Plaintiffs the unjust enrichment allegedly obtained by us through the operation of the company-operated restaurants in Lancaster. We denied Plaintiffs’ allegations as the franchise agreement did not grant Plaintiffs any exclusive territorial rights and, instead, expressly reserved for us the right to open and operate - and the right to grant others the right to open and operate - El Pollo Loco restaurants “in the immediate vicinity of or adjacent to” Plaintiffs’ restaurant in Lancaster.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commenced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§17200 et seq.,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company-operated El Pollo Loco restaurants in Lancaster, and (2) not offering the two new company-operated El Pollo Loco restaurants in Lancaster to Plaintiffs. Because the trial was bifurcated, the December 11, 2017 verdict did not include a determination of damages.</w:t>
      </w:r>
    </w:p>
    <w:p>
      <w:pPr>
        <w:spacing w:after="0" w:line="8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damages phase of the trial commenced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company-operated El Pollo Loco restaurants in Lancaster to Plaintiffs. On August 1, 2018, the court issued a final judgment and decision on the unfair business practices claim under California Business</w:t>
      </w:r>
    </w:p>
    <w:p>
      <w:pPr>
        <w:spacing w:after="0" w:line="1" w:lineRule="exact"/>
        <w:rPr>
          <w:sz w:val="20"/>
          <w:szCs w:val="20"/>
          <w:color w:val="auto"/>
        </w:rPr>
      </w:pPr>
    </w:p>
    <w:p>
      <w:pPr>
        <w:ind w:right="20" w:firstLine="8"/>
        <w:spacing w:after="0" w:line="288" w:lineRule="auto"/>
        <w:tabs>
          <w:tab w:leader="none" w:pos="185"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Professions Code § 17200 et seq. As part of the final judgment, the court found El Pollo Loco liable and issued injunctive relief requiring El Pollo Loco to revise its franchise disclosure document and franchise agreement. The court also awarded Plaintiffs restitution of $4,356,600 for “impact damages” arising out of our construction of the two new company-operated El Pollo Loco restaurants in Lancaster. The court, reversing its previous position, held that these damages could be awarded in addition to the "lost opportunity damages" awarded by the jury. Thus, the court entered a total monetary judgment of $8,837,806. There was no ruling on the causes of action for reformation due to mistake and declaratory relief, and on January 27, 2020, the court entered an amended judgment dismissing these claims. The trial court subsequently awarded the Plaintiffs $249,728 in costs and $1,391,703 in attorney fees. Post judgment interest is running at 10% simple interest per year on the total amount of the monetary judgment, costs, and attorney fees.</w:t>
      </w:r>
    </w:p>
    <w:p>
      <w:pPr>
        <w:spacing w:after="0" w:line="6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August 27, 2018, the Company filed a notice of appeal as to the entire judgment. As required by California law, on or about August 16, 2018, the Company obtained an appeal bond through a Surety company to secure the trial court’s judgment during the pendency of the appeal. The appeal on the merits is currently pending. Briefing on the merits has not yet occurred in the appellate court. The record was delivered by the trial court to the court of appeal on August 20, 2019. Due to the COVID-19 pandemic, the appellate court has extended the deadline for the Company' to file its opening brief until June 1, 2020. Based on the assessment by management of the numerous legal arguments that can be raised on appeal, together with independent assessments from its trial and appellate counsel, the Company believes that a loss is currently not probable or estimable under ASC 450, "Contingencies," and as of March 25, 2020, no accrual has been made with regard to the verdict.</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March 19, 2020, the Surety from who the Company procured the appeal bond to secure the judgment against the Company in the matter of Janice P. Handlers-Bryman and Michael D. Bryman v. El Pollo Loco, Inc., issued a collateral demand to the Company. On April 17, 2020, the Company provided to One Beacon a Letter of Credit in the amount of $2,651,342 to satisfy the Surety’s collateral demand.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665" w:right="35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March 25, 2020, the Company’s total estimated commitment to purchase chicken was $19.5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result of assigning the Company’s interest in obligations under real estate leases in connection with the sale of company-operated restaurants to some of the Company’s franchisees, the Company is contingently liable on four lease agreements. These leases have various terms, the latest of which expires in 2036. As of March 25, 2020, the potential amount of undiscounted payments the Company could be required to make in the event of non-payment by the primary lessee was $2.9 million. The present value of these potential payments discounted at the Company’s estimated pre-tax cost of debt at March 25, 2020 was $2.5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Due to the current uncertainty related to the COVID-19 pandemic and impact it has had on the ability of the Company's franchisees to make their lease payments, the Company has recorded a $0.1 million liability in the Company’s condensed consolidated financial statements related to these contingent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Effective March 18, 2020, Hector Munoz, the Company’s Chief Marketing Officer, left the Company to pursue other opportunities. In connection with his departure, the Company and Mr. Munoz entered into a Separation Agreement and General Release. For more information, please see Item 6, Exhibits.</w:t>
      </w:r>
    </w:p>
    <w:p>
      <w:pPr>
        <w:spacing w:after="0" w:line="1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Company has employment agreements with three of the officers of the Company. These agreements provide for minimum salary levels, possible annual adjustments for cost-of-living changes, and incentive bonuses that are payable under certain business conditions.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Basic earnings per share (“EPS”) is calculated using the weighted-average number of shares of common stock outstanding during the thirteen weeks ended March 25, 2020 and March 27, 2019. Diluted EPS is calculated using the weighted-average number of shares of common stock outstanding and potentially dilutive during the period, using the treasury stock method.</w:t>
      </w:r>
    </w:p>
    <w:p>
      <w:pPr>
        <w:spacing w:after="0" w:line="7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August 2, 2018, the Company announced that the Board of Directors had authorized a stock repurchase program. The Company entered into a stock repurchase plan on August 28, 2018 (the “2018 Stock Repurchase Plan”), which allowed for the repurchase of up to $20.0 million of the Company’s common stock. The 2018 Stock Repurchase Plan commenced on November 6, 2018 and terminated on June 26, 2019.</w:t>
      </w:r>
    </w:p>
    <w:p>
      <w:pPr>
        <w:spacing w:after="0" w:line="5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April 30, 2019, as part of the Company’s focus on stockholder returns, the Board of Directors approved a new stock repurchase program. The Company entered into a stock repurchase plan May 17, 2019 (the “2019 Stock Repurchase Plan”), which allowed for the repurchase up to $30.0 million of the Company's common stock. The 2019 Stock Repurchase Plan commenced on June 27, 2019, and was exhausted on September 26, 2019.</w:t>
      </w:r>
    </w:p>
    <w:p>
      <w:pPr>
        <w:spacing w:after="0" w:line="4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Under the 2019 Stock Repurchase Plan, the Company was permitted to repurchase its common stock from time to time, in amounts and at prices that the Company deemed appropriate, subject to market conditions and other considerations. The Company’s repurchases were executed using open market purchases, including pursuant to Rule 10b5-1 trading plans, and/or through privately negotiated transactions.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665" w:right="359" w:bottom="1440" w:gutter="0" w:footer="0" w:header="0"/>
        </w:sectPr>
      </w:pPr>
    </w:p>
    <w:bookmarkStart w:id="23" w:name="page24"/>
    <w:bookmarkEnd w:id="23"/>
    <w:p>
      <w:pPr>
        <w:ind w:right="120"/>
        <w:spacing w:after="0" w:line="263" w:lineRule="auto"/>
        <w:rPr>
          <w:sz w:val="20"/>
          <w:szCs w:val="20"/>
          <w:color w:val="auto"/>
        </w:rPr>
      </w:pPr>
      <w:r>
        <w:rPr>
          <w:rFonts w:ascii="Arial" w:cs="Arial" w:eastAsia="Arial" w:hAnsi="Arial"/>
          <w:sz w:val="18"/>
          <w:szCs w:val="18"/>
          <w:color w:val="auto"/>
        </w:rPr>
        <w:t>For the thirteen weeks ended March 27, 2019, the Company repurchased 255,554 shares of common stock under the 2018 Stock Repurchase Plan, using open market purchases, for total consideration of approximately $3.4 million. The common stock repurchased under both the 2018 Stock Repurchase Plan and the 2019 Stock Repurchase Plan was retired upon repurchase.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EPS data for the periods indicated, which are in thousands except for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59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25, 2020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27, 2019</w:t>
            </w:r>
          </w:p>
        </w:tc>
        <w:tc>
          <w:tcPr>
            <w:tcW w:w="0" w:type="dxa"/>
            <w:vAlign w:val="bottom"/>
          </w:tcPr>
          <w:p>
            <w:pPr>
              <w:spacing w:after="0"/>
              <w:rPr>
                <w:sz w:val="1"/>
                <w:szCs w:val="1"/>
                <w:color w:val="auto"/>
              </w:rPr>
            </w:pPr>
          </w:p>
        </w:tc>
      </w:tr>
      <w:tr>
        <w:trPr>
          <w:trHeight w:val="249"/>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3,600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40"/>
              <w:spacing w:after="0"/>
              <w:rPr>
                <w:sz w:val="20"/>
                <w:szCs w:val="20"/>
                <w:color w:val="auto"/>
              </w:rPr>
            </w:pPr>
            <w:r>
              <w:rPr>
                <w:rFonts w:ascii="Arial" w:cs="Arial" w:eastAsia="Arial" w:hAnsi="Arial"/>
                <w:sz w:val="18"/>
                <w:szCs w:val="18"/>
                <w:color w:val="auto"/>
              </w:rPr>
              <w:t>Weighted-average shares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outstanding—basic</w:t>
            </w:r>
          </w:p>
        </w:tc>
        <w:tc>
          <w:tcPr>
            <w:tcW w:w="16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34,659,160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38,653,702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outstanding—diluted</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35,347,456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39,496,436</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Net income per share—basic</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9"/>
        </w:trPr>
        <w:tc>
          <w:tcPr>
            <w:tcW w:w="8440" w:type="dxa"/>
            <w:vAlign w:val="bottom"/>
          </w:tcPr>
          <w:p>
            <w:pPr>
              <w:ind w:left="40"/>
              <w:spacing w:after="0"/>
              <w:rPr>
                <w:sz w:val="20"/>
                <w:szCs w:val="20"/>
                <w:color w:val="auto"/>
              </w:rPr>
            </w:pPr>
            <w:r>
              <w:rPr>
                <w:rFonts w:ascii="Arial" w:cs="Arial" w:eastAsia="Arial" w:hAnsi="Arial"/>
                <w:sz w:val="18"/>
                <w:szCs w:val="18"/>
                <w:color w:val="auto"/>
              </w:rPr>
              <w:t>Anti-dilutive securities not considered in</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diluted EPS calculation</w:t>
            </w:r>
          </w:p>
        </w:tc>
        <w:tc>
          <w:tcPr>
            <w:tcW w:w="16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474,373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56,016</w:t>
            </w:r>
          </w:p>
        </w:tc>
        <w:tc>
          <w:tcPr>
            <w:tcW w:w="0" w:type="dxa"/>
            <w:vAlign w:val="bottom"/>
          </w:tcPr>
          <w:p>
            <w:pPr>
              <w:spacing w:after="0"/>
              <w:rPr>
                <w:sz w:val="1"/>
                <w:szCs w:val="1"/>
                <w:color w:val="auto"/>
              </w:rPr>
            </w:pPr>
          </w:p>
        </w:tc>
      </w:tr>
      <w:tr>
        <w:trPr>
          <w:trHeight w:val="27"/>
        </w:trPr>
        <w:tc>
          <w:tcPr>
            <w:tcW w:w="8440" w:type="dxa"/>
            <w:vAlign w:val="bottom"/>
            <w:vMerge w:val="restart"/>
          </w:tcPr>
          <w:p>
            <w:pPr>
              <w:spacing w:after="0"/>
              <w:rPr>
                <w:sz w:val="20"/>
                <w:szCs w:val="20"/>
                <w:color w:val="auto"/>
              </w:rPr>
            </w:pPr>
            <w:r>
              <w:rPr>
                <w:rFonts w:ascii="Arial" w:cs="Arial" w:eastAsia="Arial" w:hAnsi="Arial"/>
                <w:sz w:val="18"/>
                <w:szCs w:val="18"/>
                <w:color w:val="auto"/>
              </w:rPr>
              <w:t>Below is a reconciliation of basic and diluted share counts:</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8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59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25, 2020</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March 27, 2019</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outstanding—basic</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34,659,160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38,653,702</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688,296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842,734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outstanding—diluted</w:t>
            </w: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35,347,456</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39,496,436</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Trimaran Pollo Partners, L.L.C. (“LLC”) owns approximately 47.7%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amended and restated certificate of incorporation or amended and restated by-laws, and the Company’s winding up and dissolution. The Company’s amended and restated certificate of incorporation provides that (i) so long as LLC beneficially owns, directly or indirectly, more than 40% of the Company's common stock any member of the board of directors or the entire board of directors may be removed from office at any time with or without cause by the affirmative vote of a majority of the Company’s common stock, and (ii) prior to the date the LLC ceases to beneficially own, directly or indirectly, 40% or more of the Company’s common stock, stockholders representing at least 40% of the Company's common stock may call a special meeting of the Company's stockholders.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665" w:right="339" w:bottom="1440" w:gutter="0" w:footer="0" w:header="0"/>
        </w:sectPr>
      </w:pPr>
    </w:p>
    <w:bookmarkStart w:id="24" w:name="page25"/>
    <w:bookmarkEnd w:id="24"/>
    <w:p>
      <w:pPr>
        <w:ind w:right="6560" w:firstLine="8"/>
        <w:spacing w:after="0" w:line="503" w:lineRule="auto"/>
        <w:tabs>
          <w:tab w:leader="none" w:pos="27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Recognition</w:t>
      </w: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revenue streams, company-operated restaurant revenue and franchise related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3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offers a loyalty rewards program, which awards a customer one point for every $1 spent. When 100 points are accumulated a $10 reward to be used on future purchases is earned. If a customer does not earn or use points within a one-year period, their account is deactivated and all points expire. Additionally, if a $10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$10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March 25, 2020 and December 25, 2019, the revenue allocated to loyalty points that have not been redeemed are $1.0 million and $1.1 million, respectively, which are reflected in the Company’s accompanying condensed consolidated balance sheets within other accrued expenses and current liabilities. The Company expects the loyalty points to be redeemed and recognized over a one-year period.</w:t>
      </w:r>
    </w:p>
    <w:p>
      <w:pPr>
        <w:spacing w:after="0" w:line="6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and franchise advertising revenue</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7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Franchise license - inclusive of advertising services, development agreements, training, access to plans and help desk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Discounted renewal option.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Hardware services.</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Topic 606 regarding disclosure of the aggregate amount of the transaction price allocated to the performance obligations that are unsatisfied for sales-based royalties.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553" w:right="359" w:bottom="1440" w:gutter="0" w:footer="0" w:header="0"/>
        </w:sectPr>
      </w:pPr>
    </w:p>
    <w:bookmarkStart w:id="25" w:name="page26"/>
    <w:bookmarkEnd w:id="25"/>
    <w:p>
      <w:pPr>
        <w:ind w:right="60"/>
        <w:spacing w:after="0" w:line="259" w:lineRule="auto"/>
        <w:rPr>
          <w:sz w:val="20"/>
          <w:szCs w:val="20"/>
          <w:color w:val="auto"/>
        </w:rPr>
      </w:pPr>
      <w:r>
        <w:rPr>
          <w:rFonts w:ascii="Arial" w:cs="Arial" w:eastAsia="Arial" w:hAnsi="Arial"/>
          <w:sz w:val="18"/>
          <w:szCs w:val="18"/>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March 25, 2020, there were no performance obligations related to hardware services that were unsatisfied or partially satisfied.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source and market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8"/>
              </w:rPr>
              <w:t>Thirteen Weeks Ended</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March 25,</w:t>
            </w:r>
          </w:p>
        </w:tc>
        <w:tc>
          <w:tcPr>
            <w:tcW w:w="2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27,</w:t>
            </w:r>
          </w:p>
        </w:tc>
        <w:tc>
          <w:tcPr>
            <w:tcW w:w="0" w:type="dxa"/>
            <w:vAlign w:val="bottom"/>
          </w:tcPr>
          <w:p>
            <w:pPr>
              <w:spacing w:after="0"/>
              <w:rPr>
                <w:sz w:val="1"/>
                <w:szCs w:val="1"/>
                <w:color w:val="auto"/>
              </w:rPr>
            </w:pPr>
          </w:p>
        </w:tc>
      </w:tr>
      <w:tr>
        <w:trPr>
          <w:trHeight w:val="234"/>
        </w:trPr>
        <w:tc>
          <w:tcPr>
            <w:tcW w:w="8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Core Market</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9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Company-operated restaurant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85,306</w:t>
            </w:r>
          </w:p>
        </w:tc>
        <w:tc>
          <w:tcPr>
            <w:tcW w:w="0" w:type="dxa"/>
            <w:vAlign w:val="bottom"/>
          </w:tcPr>
          <w:p>
            <w:pPr>
              <w:spacing w:after="0"/>
              <w:rPr>
                <w:sz w:val="1"/>
                <w:szCs w:val="1"/>
                <w:color w:val="auto"/>
              </w:rPr>
            </w:pP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Franchise revenue</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3,508</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Franchise advertising fee revenue</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2,642</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37"/>
        </w:trPr>
        <w:tc>
          <w:tcPr>
            <w:tcW w:w="8900" w:type="dxa"/>
            <w:vAlign w:val="bottom"/>
          </w:tcPr>
          <w:p>
            <w:pPr>
              <w:ind w:left="600"/>
              <w:spacing w:after="0"/>
              <w:rPr>
                <w:sz w:val="20"/>
                <w:szCs w:val="20"/>
                <w:color w:val="auto"/>
              </w:rPr>
            </w:pPr>
            <w:r>
              <w:rPr>
                <w:rFonts w:ascii="Arial" w:cs="Arial" w:eastAsia="Arial" w:hAnsi="Arial"/>
                <w:sz w:val="18"/>
                <w:szCs w:val="18"/>
                <w:color w:val="auto"/>
              </w:rPr>
              <w:t>Total core market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92,065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91,522</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900" w:type="dxa"/>
            <w:vAlign w:val="bottom"/>
            <w:shd w:val="clear" w:color="auto" w:fill="CCEEFF"/>
          </w:tcPr>
          <w:p>
            <w:pPr>
              <w:ind w:left="40"/>
              <w:spacing w:after="0" w:line="263" w:lineRule="exact"/>
              <w:rPr>
                <w:sz w:val="20"/>
                <w:szCs w:val="20"/>
                <w:color w:val="auto"/>
              </w:rPr>
            </w:pPr>
            <w:r>
              <w:rPr>
                <w:rFonts w:ascii="Arial" w:cs="Arial" w:eastAsia="Arial" w:hAnsi="Arial"/>
                <w:sz w:val="18"/>
                <w:szCs w:val="18"/>
                <w:b w:val="1"/>
                <w:bCs w:val="1"/>
                <w:color w:val="auto"/>
              </w:rPr>
              <w:t>Non-Core Market</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Company-operated restaurant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11,844</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Franchise revenue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3,554</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Franchise advertising fee revenue</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2,825</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non-core market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17,455</w:t>
            </w:r>
          </w:p>
        </w:tc>
        <w:tc>
          <w:tcPr>
            <w:tcW w:w="0" w:type="dxa"/>
            <w:vAlign w:val="bottom"/>
          </w:tcPr>
          <w:p>
            <w:pPr>
              <w:spacing w:after="0"/>
              <w:rPr>
                <w:sz w:val="1"/>
                <w:szCs w:val="1"/>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105,163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108,977</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Core Market includes markets with existing company-operated restaurants at the time of the Company's Initial Public Offering ("IPO") on July 28, 2014.</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Non-Core Market includes markets entered into by the Company subsequent to the IPO date.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geographic market: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25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Thirteen Weeks Ended</w:t>
            </w:r>
          </w:p>
        </w:tc>
      </w:tr>
      <w:tr>
        <w:trPr>
          <w:trHeight w:val="27"/>
        </w:trPr>
        <w:tc>
          <w:tcPr>
            <w:tcW w:w="86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86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25,</w:t>
            </w:r>
          </w:p>
        </w:tc>
        <w:tc>
          <w:tcPr>
            <w:tcW w:w="1340" w:type="dxa"/>
            <w:vAlign w:val="bottom"/>
          </w:tcPr>
          <w:p>
            <w:pPr>
              <w:spacing w:after="0"/>
              <w:rPr>
                <w:sz w:val="18"/>
                <w:szCs w:val="18"/>
                <w:color w:val="auto"/>
              </w:rPr>
            </w:pPr>
          </w:p>
        </w:tc>
      </w:tr>
      <w:tr>
        <w:trPr>
          <w:trHeight w:val="234"/>
        </w:trPr>
        <w:tc>
          <w:tcPr>
            <w:tcW w:w="86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6"/>
              </w:rPr>
              <w:t>March 27, 2019</w:t>
            </w:r>
          </w:p>
        </w:tc>
      </w:tr>
      <w:tr>
        <w:trPr>
          <w:trHeight w:val="27"/>
        </w:trPr>
        <w:tc>
          <w:tcPr>
            <w:tcW w:w="86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Los Angeles area market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Other markets</w:t>
            </w:r>
          </w:p>
        </w:tc>
        <w:tc>
          <w:tcPr>
            <w:tcW w:w="11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86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86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change in the franchise contract liability balances during the thirteen weeks ended March 25,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27, 2019 (in thousands)</w:t>
      </w:r>
      <w:r>
        <w:rPr>
          <w:rFonts w:ascii="Arial" w:cs="Arial" w:eastAsia="Arial" w:hAnsi="Arial"/>
          <w:sz w:val="18"/>
          <w:szCs w:val="18"/>
          <w:b w:val="1"/>
          <w:bCs w:val="1"/>
          <w:color w:val="auto"/>
          <w:shd w:val="clear" w:color="auto" w:fill="CCEEFF"/>
        </w:rPr>
        <w:t>:</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25, 2019</w:t>
            </w:r>
          </w:p>
        </w:tc>
        <w:tc>
          <w:tcPr>
            <w:tcW w:w="55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Revenue recognized - beginning balance</w:t>
            </w:r>
          </w:p>
        </w:tc>
        <w:tc>
          <w:tcPr>
            <w:tcW w:w="4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25, 2020</w:t>
            </w:r>
          </w:p>
        </w:tc>
        <w:tc>
          <w:tcPr>
            <w:tcW w:w="4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5,999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740" w:type="dxa"/>
            <w:vAlign w:val="bottom"/>
          </w:tcPr>
          <w:p>
            <w:pPr>
              <w:spacing w:after="0"/>
              <w:rPr>
                <w:sz w:val="10"/>
                <w:szCs w:val="10"/>
                <w:color w:val="auto"/>
              </w:rPr>
            </w:pPr>
          </w:p>
        </w:tc>
        <w:tc>
          <w:tcPr>
            <w:tcW w:w="552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26, 2018</w:t>
            </w:r>
          </w:p>
        </w:tc>
        <w:tc>
          <w:tcPr>
            <w:tcW w:w="552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Revenue recognized - beginning balance</w:t>
            </w:r>
          </w:p>
        </w:tc>
        <w:tc>
          <w:tcPr>
            <w:tcW w:w="4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contract liability</w:t>
            </w:r>
          </w:p>
        </w:tc>
        <w:tc>
          <w:tcPr>
            <w:tcW w:w="4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Revenue recognized - additional contract liability</w:t>
            </w:r>
          </w:p>
        </w:tc>
        <w:tc>
          <w:tcPr>
            <w:tcW w:w="4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27, 2019</w:t>
            </w:r>
          </w:p>
        </w:tc>
        <w:tc>
          <w:tcPr>
            <w:tcW w:w="552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5,623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jc w:val="right"/>
              <w:ind w:right="3870"/>
              <w:spacing w:after="0"/>
              <w:rPr>
                <w:sz w:val="20"/>
                <w:szCs w:val="20"/>
                <w:color w:val="auto"/>
              </w:rPr>
            </w:pPr>
            <w:r>
              <w:rPr>
                <w:rFonts w:ascii="Arial" w:cs="Arial" w:eastAsia="Arial" w:hAnsi="Arial"/>
                <w:sz w:val="18"/>
                <w:szCs w:val="18"/>
                <w:color w:val="auto"/>
              </w:rPr>
              <w:t>26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7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26" w:name="page27"/>
    <w:bookmarkEnd w:id="26"/>
    <w:p>
      <w:pPr>
        <w:ind w:right="100"/>
        <w:spacing w:after="0" w:line="296" w:lineRule="auto"/>
        <w:rPr>
          <w:sz w:val="20"/>
          <w:szCs w:val="20"/>
          <w:color w:val="auto"/>
        </w:rPr>
      </w:pPr>
      <w:r>
        <w:rPr>
          <w:rFonts w:ascii="Arial" w:cs="Arial" w:eastAsia="Arial" w:hAnsi="Arial"/>
          <w:sz w:val="16"/>
          <w:szCs w:val="16"/>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illustrates the estimated revenue to be recognized in future periods related to performance obligations under the applicable contracts that are unsatisfied as of March 25, 2020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ind w:left="40"/>
              <w:spacing w:after="0"/>
              <w:rPr>
                <w:sz w:val="20"/>
                <w:szCs w:val="20"/>
                <w:color w:val="auto"/>
              </w:rPr>
            </w:pPr>
            <w:r>
              <w:rPr>
                <w:rFonts w:ascii="Arial" w:cs="Arial" w:eastAsia="Arial" w:hAnsi="Arial"/>
                <w:sz w:val="18"/>
                <w:szCs w:val="18"/>
                <w:b w:val="1"/>
                <w:bCs w:val="1"/>
                <w:color w:val="auto"/>
              </w:rPr>
              <w:t>Franchise revenues:</w:t>
            </w:r>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9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r>
      <w:tr>
        <w:trPr>
          <w:trHeight w:val="243"/>
        </w:trPr>
        <w:tc>
          <w:tcPr>
            <w:tcW w:w="9000" w:type="dxa"/>
            <w:vAlign w:val="bottom"/>
          </w:tcPr>
          <w:p>
            <w:pPr>
              <w:ind w:left="380"/>
              <w:spacing w:after="0"/>
              <w:rPr>
                <w:sz w:val="20"/>
                <w:szCs w:val="20"/>
                <w:color w:val="auto"/>
              </w:rPr>
            </w:pPr>
            <w:r>
              <w:rPr>
                <w:rFonts w:ascii="Arial" w:cs="Arial" w:eastAsia="Arial" w:hAnsi="Arial"/>
                <w:sz w:val="18"/>
                <w:szCs w:val="18"/>
                <w:color w:val="auto"/>
              </w:rPr>
              <w:t>2021</w:t>
            </w:r>
          </w:p>
        </w:tc>
        <w:tc>
          <w:tcPr>
            <w:tcW w:w="9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491</w:t>
            </w:r>
          </w:p>
        </w:tc>
      </w:tr>
      <w:tr>
        <w:trPr>
          <w:trHeight w:val="27"/>
        </w:trPr>
        <w:tc>
          <w:tcPr>
            <w:tcW w:w="9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2022</w:t>
            </w:r>
          </w:p>
        </w:tc>
        <w:tc>
          <w:tcPr>
            <w:tcW w:w="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43"/>
        </w:trPr>
        <w:tc>
          <w:tcPr>
            <w:tcW w:w="9000" w:type="dxa"/>
            <w:vAlign w:val="bottom"/>
          </w:tcPr>
          <w:p>
            <w:pPr>
              <w:ind w:left="380"/>
              <w:spacing w:after="0"/>
              <w:rPr>
                <w:sz w:val="20"/>
                <w:szCs w:val="20"/>
                <w:color w:val="auto"/>
              </w:rPr>
            </w:pPr>
            <w:r>
              <w:rPr>
                <w:rFonts w:ascii="Arial" w:cs="Arial" w:eastAsia="Arial" w:hAnsi="Arial"/>
                <w:sz w:val="18"/>
                <w:szCs w:val="18"/>
                <w:color w:val="auto"/>
              </w:rPr>
              <w:t>2023</w:t>
            </w:r>
          </w:p>
        </w:tc>
        <w:tc>
          <w:tcPr>
            <w:tcW w:w="9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391</w:t>
            </w:r>
          </w:p>
        </w:tc>
      </w:tr>
      <w:tr>
        <w:trPr>
          <w:trHeight w:val="27"/>
        </w:trPr>
        <w:tc>
          <w:tcPr>
            <w:tcW w:w="9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2024</w:t>
            </w:r>
          </w:p>
        </w:tc>
        <w:tc>
          <w:tcPr>
            <w:tcW w:w="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r>
      <w:tr>
        <w:trPr>
          <w:trHeight w:val="243"/>
        </w:trPr>
        <w:tc>
          <w:tcPr>
            <w:tcW w:w="9000" w:type="dxa"/>
            <w:vAlign w:val="bottom"/>
          </w:tcPr>
          <w:p>
            <w:pPr>
              <w:ind w:left="380"/>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3,826</w:t>
            </w:r>
          </w:p>
        </w:tc>
      </w:tr>
      <w:tr>
        <w:trPr>
          <w:trHeight w:val="27"/>
        </w:trPr>
        <w:tc>
          <w:tcPr>
            <w:tcW w:w="90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8"/>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5,999</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currently incur costs to obtain or fulfill a contract that would be considered contract assets under Topic 606.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Topic 842 "Leases"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December 27, 2018, the Company adopted Topic 842, using the effective date method, recognizing and measuring all leases that existed as of December 27, 2018. The Company recorded a cumulative-effect adjustment as of December 27, 2018. Comparative periods are presented in accordance with ASC Topic 840 and do not include any retrospective adjustments to comparative periods to reflect the adoption of Topic 842. All leases that either (1) commenced, or (2) were modified or re-measured after December 27, 2018 are accounted for under Topic 842.</w:t>
      </w:r>
    </w:p>
    <w:p>
      <w:pPr>
        <w:spacing w:after="0" w:line="9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a result of Topic 842, the Company recognized a ROU asset of $205.2 million and a lease liability of $222.3 million on its consolidated balance sheet as of December 27, 2018. However, the adoption of Topic 842 did not result in a material impact on the Company’s consolidated statement of operations or consolidated statement of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leases</w:t>
      </w:r>
    </w:p>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25, 2020, the Company had one lease that it had entered into, but had not yet commenced. The Company does not have control of the property until lease commencement.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and facility leases</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majority of the Company’s building and facilities leases are classified as operating leases; however, the Company currently has one facility lease that is classified as a finance lease.</w:t>
      </w:r>
    </w:p>
    <w:p>
      <w:pPr>
        <w:spacing w:after="0" w:line="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for non-lease components, or items that are not considered components of a contract, such as common area maintenance,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989" w:right="339" w:bottom="1440" w:gutter="0" w:footer="0" w:header="0"/>
        </w:sectPr>
      </w:pPr>
    </w:p>
    <w:bookmarkStart w:id="27" w:name="page28"/>
    <w:bookmarkEnd w:id="27"/>
    <w:p>
      <w:pPr>
        <w:ind w:right="20"/>
        <w:spacing w:after="0" w:line="257" w:lineRule="auto"/>
        <w:rPr>
          <w:sz w:val="20"/>
          <w:szCs w:val="20"/>
          <w:color w:val="auto"/>
        </w:rPr>
      </w:pPr>
      <w:r>
        <w:rPr>
          <w:rFonts w:ascii="Arial" w:cs="Arial" w:eastAsia="Arial" w:hAnsi="Arial"/>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the thirteen weeks ended March 25, 2020, the Company reassessed the lease terms on three restaurants due to certain triggering events, such as, the addition of significant leasehold improvements, the decision to terminate a lease, or the decision to renew. As a result of the reassessment, an additional $0.3 million of ROU asset and lease liabilities for the thirteen weeks ended March 25, 2020 were recognized and will be amortized over the new lease term. The reassessment did not have any impact on the original lease classification. Additionally, as the Company adopted all practical expedients available under Topic 842, no reallocation between lease and non-lease components was necessary.</w:t>
      </w:r>
    </w:p>
    <w:p>
      <w:pPr>
        <w:spacing w:after="0" w:line="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0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During the first quarter of 2020, the Company determined that the carrying value of ROU assets at certain restaurants was not recoverable. As a result, the Company recorded a $0.5 million impairment expense for the thirteen weeks ended March 25, 2020. The impairment primarily related to one restaurant in Texas, sold to franchisees in the prior year.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4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Assumptions and Judgments</w:t>
      </w:r>
    </w:p>
    <w:p>
      <w:pPr>
        <w:spacing w:after="0" w:line="1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applying the requirements of Topic 842 the Company made significant assumptions and judgments related to determination of whether a contract contains a lease and the discount rate used for the lease.</w:t>
      </w:r>
    </w:p>
    <w:p>
      <w:pPr>
        <w:spacing w:after="0" w:line="8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total lease cost, disaggregated by underlying asset (in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5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20" w:type="dxa"/>
            <w:vAlign w:val="bottom"/>
            <w:gridSpan w:val="7"/>
          </w:tcPr>
          <w:p>
            <w:pPr>
              <w:jc w:val="center"/>
              <w:ind w:right="90"/>
              <w:spacing w:after="0"/>
              <w:rPr>
                <w:sz w:val="20"/>
                <w:szCs w:val="20"/>
                <w:color w:val="auto"/>
              </w:rPr>
            </w:pPr>
            <w:r>
              <w:rPr>
                <w:rFonts w:ascii="Arial" w:cs="Arial" w:eastAsia="Arial" w:hAnsi="Arial"/>
                <w:sz w:val="18"/>
                <w:szCs w:val="18"/>
                <w:b w:val="1"/>
                <w:bCs w:val="1"/>
                <w:color w:val="auto"/>
                <w:w w:val="91"/>
              </w:rPr>
              <w:t>Thirteen Weeks Ended March 25, 2020</w:t>
            </w:r>
          </w:p>
        </w:tc>
      </w:tr>
      <w:tr>
        <w:trPr>
          <w:trHeight w:val="27"/>
        </w:trPr>
        <w:tc>
          <w:tcPr>
            <w:tcW w:w="7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Property</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Equipment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Leases</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Leases</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6,202</w:t>
            </w:r>
          </w:p>
        </w:tc>
      </w:tr>
      <w:tr>
        <w:trPr>
          <w:trHeight w:val="20"/>
        </w:trPr>
        <w:tc>
          <w:tcPr>
            <w:tcW w:w="7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total lease cost on the condensed consolidated statement of income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100330</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5"/>
          <w:szCs w:val="15"/>
          <w:color w:val="auto"/>
        </w:rPr>
        <w:t>Lease cost – Occupancy and 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cost – General &amp;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cost – Interest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cost - Closed-store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5,879</w:t>
            </w:r>
          </w:p>
        </w:tc>
      </w:tr>
      <w:tr>
        <w:trPr>
          <w:trHeight w:val="270"/>
        </w:trPr>
        <w:tc>
          <w:tcPr>
            <w:tcW w:w="92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0"/>
        </w:trPr>
        <w:tc>
          <w:tcPr>
            <w:tcW w:w="92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92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6,202</w:t>
            </w:r>
          </w:p>
        </w:tc>
      </w:tr>
      <w:tr>
        <w:trPr>
          <w:trHeight w:val="27"/>
        </w:trPr>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823"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thirteen weeks ended March 25, 2020, the Company had the following cash and non-cash activities associated with its leases (in thousands):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823"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w w:val="95"/>
              </w:rPr>
              <w:t>Thirteen Weeks Ended March 25, 2020</w:t>
            </w:r>
          </w:p>
        </w:tc>
      </w:tr>
      <w:tr>
        <w:trPr>
          <w:trHeight w:val="27"/>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Equipment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740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Property Leases</w:t>
            </w:r>
          </w:p>
        </w:tc>
        <w:tc>
          <w:tcPr>
            <w:tcW w:w="1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Leases</w:t>
            </w:r>
          </w:p>
        </w:tc>
        <w:tc>
          <w:tcPr>
            <w:tcW w:w="28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594"/>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used for operating leases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6,569</w:t>
            </w: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Financing cash flows used for finance leases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7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ROU assets obtained in exchange for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Operating lease ROU assets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307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Derecognition of ROU assets due to terminations, impairment or modifications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324"/>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Operating lease ROU assets obtained and liabilities incurred as a result of adoption of ASC 842:</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Operating lease ROU assets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200,555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4,668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205,223</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217,615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4,668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222,283</w:t>
            </w:r>
          </w:p>
        </w:tc>
      </w:tr>
      <w:tr>
        <w:trPr>
          <w:trHeight w:val="324"/>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Weighted-average remaining lease term—finance leases</w:t>
            </w:r>
          </w:p>
        </w:tc>
        <w:tc>
          <w:tcPr>
            <w:tcW w:w="2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remaining lease term—operating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11.94</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2.97</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Weighted-average discount rate—finance leases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11.10%</w:t>
            </w:r>
          </w:p>
        </w:tc>
        <w:tc>
          <w:tcPr>
            <w:tcW w:w="18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discount rate—operating leases</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7"/>
        </w:trPr>
        <w:tc>
          <w:tcPr>
            <w:tcW w:w="7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minimum future lease obligations as of March 25, 2020 is as follows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Finance</w:t>
            </w:r>
          </w:p>
        </w:tc>
        <w:tc>
          <w:tcPr>
            <w:tcW w:w="200" w:type="dxa"/>
            <w:vAlign w:val="bottom"/>
          </w:tcPr>
          <w:p>
            <w:pPr>
              <w:spacing w:after="0"/>
              <w:rPr>
                <w:sz w:val="20"/>
                <w:szCs w:val="20"/>
                <w:color w:val="auto"/>
              </w:rPr>
            </w:pPr>
          </w:p>
        </w:tc>
        <w:tc>
          <w:tcPr>
            <w:tcW w:w="26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Minimum</w:t>
            </w:r>
          </w:p>
        </w:tc>
        <w:tc>
          <w:tcPr>
            <w:tcW w:w="2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Minimum</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Minimum</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Lease</w:t>
            </w:r>
          </w:p>
        </w:tc>
        <w:tc>
          <w:tcPr>
            <w:tcW w:w="2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Lease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Sublease</w:t>
            </w:r>
          </w:p>
        </w:tc>
        <w:tc>
          <w:tcPr>
            <w:tcW w:w="0" w:type="dxa"/>
            <w:vAlign w:val="bottom"/>
          </w:tcPr>
          <w:p>
            <w:pPr>
              <w:spacing w:after="0"/>
              <w:rPr>
                <w:sz w:val="1"/>
                <w:szCs w:val="1"/>
                <w:color w:val="auto"/>
              </w:rPr>
            </w:pPr>
          </w:p>
        </w:tc>
      </w:tr>
      <w:tr>
        <w:trPr>
          <w:trHeight w:val="234"/>
        </w:trPr>
        <w:tc>
          <w:tcPr>
            <w:tcW w:w="7200" w:type="dxa"/>
            <w:vAlign w:val="bottom"/>
          </w:tcPr>
          <w:p>
            <w:pPr>
              <w:ind w:left="40"/>
              <w:spacing w:after="0"/>
              <w:rPr>
                <w:sz w:val="20"/>
                <w:szCs w:val="20"/>
                <w:color w:val="auto"/>
              </w:rPr>
            </w:pPr>
            <w:r>
              <w:rPr>
                <w:rFonts w:ascii="Arial" w:cs="Arial" w:eastAsia="Arial" w:hAnsi="Arial"/>
                <w:sz w:val="18"/>
                <w:szCs w:val="18"/>
                <w:color w:val="auto"/>
              </w:rPr>
              <w:t>For the Years Ending</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Payments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Payments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30,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December 29, 2021</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26,702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28, 2022</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December 27, 2023</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25, 2024</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27,265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257,907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42,060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imputed interest (2.38% - 11.10%)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192,422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823"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color w:val="auto"/>
        </w:rPr>
        <w:t>Information regarding the Company’s minimum future lease obligations as of December 25, 2019 is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Finance Leases</w:t>
            </w:r>
          </w:p>
        </w:tc>
        <w:tc>
          <w:tcPr>
            <w:tcW w:w="200" w:type="dxa"/>
            <w:vAlign w:val="bottom"/>
          </w:tcPr>
          <w:p>
            <w:pPr>
              <w:spacing w:after="0"/>
              <w:rPr>
                <w:sz w:val="20"/>
                <w:szCs w:val="20"/>
                <w:color w:val="auto"/>
              </w:rPr>
            </w:pPr>
          </w:p>
        </w:tc>
        <w:tc>
          <w:tcPr>
            <w:tcW w:w="26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Minimum</w:t>
            </w:r>
          </w:p>
        </w:tc>
        <w:tc>
          <w:tcPr>
            <w:tcW w:w="2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Minimum</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Minimum</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Lease</w:t>
            </w:r>
          </w:p>
        </w:tc>
        <w:tc>
          <w:tcPr>
            <w:tcW w:w="2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Lease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Sublease</w:t>
            </w:r>
          </w:p>
        </w:tc>
        <w:tc>
          <w:tcPr>
            <w:tcW w:w="0" w:type="dxa"/>
            <w:vAlign w:val="bottom"/>
          </w:tcPr>
          <w:p>
            <w:pPr>
              <w:spacing w:after="0"/>
              <w:rPr>
                <w:sz w:val="1"/>
                <w:szCs w:val="1"/>
                <w:color w:val="auto"/>
              </w:rPr>
            </w:pPr>
          </w:p>
        </w:tc>
      </w:tr>
      <w:tr>
        <w:trPr>
          <w:trHeight w:val="234"/>
        </w:trPr>
        <w:tc>
          <w:tcPr>
            <w:tcW w:w="7100" w:type="dxa"/>
            <w:vAlign w:val="bottom"/>
          </w:tcPr>
          <w:p>
            <w:pPr>
              <w:ind w:left="40"/>
              <w:spacing w:after="0"/>
              <w:rPr>
                <w:sz w:val="20"/>
                <w:szCs w:val="20"/>
                <w:color w:val="auto"/>
              </w:rPr>
            </w:pPr>
            <w:r>
              <w:rPr>
                <w:rFonts w:ascii="Arial" w:cs="Arial" w:eastAsia="Arial" w:hAnsi="Arial"/>
                <w:sz w:val="18"/>
                <w:szCs w:val="18"/>
                <w:color w:val="auto"/>
              </w:rPr>
              <w:t>For the Years Ending</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Payments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Payments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30, 2020</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December 29, 2021</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25,978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28, 2022</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December 27, 2023</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25, 2024</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139,454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27,265</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259,171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42,711</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imputed interest (3.96% to 11.10%)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Leases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multiple short-term leases, which have terms of less than 12 months, and thus were excluded from the recognition requirements of Topic</w:t>
      </w:r>
    </w:p>
    <w:p>
      <w:pPr>
        <w:spacing w:after="0" w:line="46" w:lineRule="exact"/>
        <w:rPr>
          <w:sz w:val="20"/>
          <w:szCs w:val="20"/>
          <w:color w:val="auto"/>
        </w:rPr>
      </w:pPr>
    </w:p>
    <w:p>
      <w:pPr>
        <w:ind w:right="80" w:firstLine="8"/>
        <w:spacing w:after="0" w:line="260"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has recognized these lease payments in its consolidated statement of operations on a straight-line basis over the lease term and variable lease payments in the period in which the obligation for those payments is incurred.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w:t>
      </w:r>
    </w:p>
    <w:p>
      <w:pPr>
        <w:spacing w:after="0" w:line="36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is a lessor for certain property, facilities and equipment owned by the Company and leased to others, principally franchisees, under non-cancelable leases with initial terms ranging from three to 20 years. These lease agreements generally provide for a fixed base rent and, in some instances, contingent rent based on a percentage of gross operating profit or net revenues. All leases are considered operating leases.</w:t>
      </w:r>
    </w:p>
    <w:p>
      <w:pPr>
        <w:spacing w:after="0" w:line="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For both thirteen weeks ended March 25, 2020 and March 27, 2019, the Company received $0.1 million of lease income from company-owned locations</w:t>
      </w:r>
      <w:r>
        <w:rPr>
          <w:rFonts w:ascii="Arial" w:cs="Arial" w:eastAsia="Arial" w:hAnsi="Arial"/>
          <w:sz w:val="17"/>
          <w:szCs w:val="17"/>
          <w:color w:val="auto"/>
        </w:rPr>
        <w: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57"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p>
      <w:pPr>
        <w:spacing w:after="0" w:line="200" w:lineRule="exact"/>
        <w:rPr>
          <w:sz w:val="20"/>
          <w:szCs w:val="20"/>
          <w:color w:val="auto"/>
        </w:rPr>
      </w:pPr>
    </w:p>
    <w:p>
      <w:pPr>
        <w:spacing w:after="0" w:line="203"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impacts of the novel coronavirus (COVID-19) pandemic on our company, our employees, our customers, our partners, our industry and the economy as a whole, as well as our franchisees ability to maintain operations in their individual restaurants;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adverse impact of economic conditions on our (i) operating results and financial condition, (ii) ability to comply with the terms and covenants of our debt agreements, and (iii) ability to pay or refinance our existing debt or to obtain additional financing;</w:t>
      </w: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open new restaurants in new and existing markets, including difficulty in finding sites and in negotiating acceptable leases;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compete successfully with other quick-service and fast casual restaurants;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vulnerability to changes in consumer preferences and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vulnerability to conditions in the greater Los Angeles area;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vulnerability to natural disasters given the geographic concentration and real estate intensive nature of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effectively identify and secure appropriate new sites for restaurants;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food and supply costs, especially for chicken;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publicity, whether or not valid, and our ability to respond to and effectively manage the accelerated impact of social media;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expand our digital business, delivery orders and catering;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about food safety and quality and about food-borne illness, particularly avian flu;</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dependence on frequent and timely deliveries of food and supplies and our dependence on a single supplier to distribute substantially all of our products to our restaurants;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service our level of indebtedness;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reliance on our franchisees, who may incur financial hardships, lose access to credit, close restaurants, or declare bankruptcy, and our limited control over our franchisees and potential liability for their acts;</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any security breaches of confidential customer information in connection with our electronic process of credit and debit card transactions;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any failure of our information technology system or any breach of our network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protect our name and logo and other proprietary intellectual property; and</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other risks set forth in our filings with the SEC from time to time, including under Item 1A, Risk Factors in our annual report on Form 10-K for the year ended December 26, 2018, which such filings are available online at </w:t>
      </w:r>
      <w:r>
        <w:rPr>
          <w:rFonts w:ascii="Arial" w:cs="Arial" w:eastAsia="Arial" w:hAnsi="Arial"/>
          <w:sz w:val="18"/>
          <w:szCs w:val="18"/>
          <w:u w:val="single" w:color="auto"/>
          <w:color w:val="0563C1"/>
        </w:rPr>
        <w:t>www.sec.gov</w:t>
      </w:r>
      <w:r>
        <w:rPr>
          <w:rFonts w:ascii="Arial" w:cs="Arial" w:eastAsia="Arial" w:hAnsi="Arial"/>
          <w:sz w:val="18"/>
          <w:szCs w:val="18"/>
          <w:color w:val="auto"/>
        </w:rPr>
        <w:t xml:space="preserve">, at </w:t>
      </w:r>
      <w:r>
        <w:rPr>
          <w:rFonts w:ascii="Arial" w:cs="Arial" w:eastAsia="Arial" w:hAnsi="Arial"/>
          <w:sz w:val="18"/>
          <w:szCs w:val="18"/>
          <w:u w:val="single" w:color="auto"/>
          <w:color w:val="0563C1"/>
        </w:rPr>
        <w:t>www.elpolloloco.com</w:t>
      </w:r>
      <w:r>
        <w:rPr>
          <w:rFonts w:ascii="Arial" w:cs="Arial" w:eastAsia="Arial" w:hAnsi="Arial"/>
          <w:sz w:val="18"/>
          <w:szCs w:val="18"/>
          <w:color w:val="auto"/>
        </w:rPr>
        <w:t xml:space="preserve"> or upon request from El Pollo Loco.</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strive to offer food that integrates the culinary traditions of Mexico with the healthier lifestyle of Los Angeles, a combination that we call “LA-Mex”.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shrimp. Our entrees include favorites such as our Chicken Avocado Burrito, Under 500 Calorie entrees, chicken tostada salads, and Pollo Bowls. Our famous Creamy Cilantro dressings and salsas are prepared fresh daily, allowing our customers to create their favorite flavor profiles to enhance their culinary experience. Our distinctive menu with healthier alternatives appeals to consumers across a wide variety of socio-economic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backgrounds and drives our balanced composition of sales throughout the day (our “day-part mix”), including at lunch and dinner.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("COVID-19") originating in Wuhan, China and the risks to the international community as the virus spreads globally beyond its point of origin. On March 11, 2020, the WHO classified the COVID-19 outbreak as a pandemic, based on the rapid increase in exposure globally.</w:t>
      </w:r>
    </w:p>
    <w:p>
      <w:pPr>
        <w:spacing w:after="0" w:line="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 xml:space="preserve">The COVID-19 pandemic has disrupted our restaurant operations. All of our restaurants are operating on a take-away, mobile pick-up and delivery basis only, as well as maintaining drive-thru operations where available, </w:t>
      </w:r>
      <w:r>
        <w:rPr>
          <w:rFonts w:ascii="Arial" w:cs="Arial" w:eastAsia="Arial" w:hAnsi="Arial"/>
          <w:sz w:val="18"/>
          <w:szCs w:val="18"/>
          <w:color w:val="212529"/>
        </w:rPr>
        <w:t>in order to protect our employees</w:t>
      </w:r>
      <w:r>
        <w:rPr>
          <w:rFonts w:ascii="Arial" w:cs="Arial" w:eastAsia="Arial" w:hAnsi="Arial"/>
          <w:sz w:val="18"/>
          <w:szCs w:val="18"/>
          <w:color w:val="auto"/>
        </w:rPr>
        <w:t xml:space="preserve"> and customers from the spread of this virus, and in light of the government-mandated closures to our dining rooms.</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Below is a summary of other actions we have taken, or plan to take to enhance financial and operating flexibility for the Company and for our franchisees, and to protect our employees and customers:</w:t>
      </w:r>
    </w:p>
    <w:p>
      <w:pPr>
        <w:spacing w:after="0" w:line="170" w:lineRule="exact"/>
        <w:rPr>
          <w:sz w:val="20"/>
          <w:szCs w:val="20"/>
          <w:color w:val="auto"/>
        </w:rPr>
      </w:pPr>
    </w:p>
    <w:p>
      <w:pPr>
        <w:ind w:left="660" w:right="4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 precautionary measure, we bolstered our existing cash position by fully drawing down our $150 million 2018 Revolver, adding $34.5 million of cash to our balance sheet.</w:t>
      </w:r>
    </w:p>
    <w:p>
      <w:pPr>
        <w:spacing w:after="0" w:line="1" w:lineRule="exact"/>
        <w:rPr>
          <w:rFonts w:ascii="Arial" w:cs="Arial" w:eastAsia="Arial" w:hAnsi="Arial"/>
          <w:sz w:val="18"/>
          <w:szCs w:val="18"/>
          <w:color w:val="auto"/>
        </w:rPr>
      </w:pPr>
    </w:p>
    <w:p>
      <w:pPr>
        <w:ind w:left="660" w:right="240" w:hanging="328"/>
        <w:spacing w:after="0" w:line="26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temporarily suspended all but essential capital spending and share repurchase activity, reevaluated essential support center general and administrative expenses, and fine-tuned our restaurant labor model based on dining room closures and lower sales volumes.</w:t>
      </w:r>
    </w:p>
    <w:p>
      <w:pPr>
        <w:ind w:left="660" w:right="20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our franchisees, we are deferring 50% of their April royalties until July 1, 2020, when such royalties will begin to be repaid in even monthly installments over the remainder of fiscal 2020. In addition, we deferred 100% of our franchisees' 2020 remodel and new restaurant build requirements until 2021. We also established a support team to assist franchisees in accessing funds and benefits provided by the CARES Act legislation.</w:t>
      </w:r>
    </w:p>
    <w:p>
      <w:pPr>
        <w:spacing w:after="0" w:line="1" w:lineRule="exact"/>
        <w:rPr>
          <w:rFonts w:ascii="Arial" w:cs="Arial" w:eastAsia="Arial" w:hAnsi="Arial"/>
          <w:sz w:val="18"/>
          <w:szCs w:val="18"/>
          <w:color w:val="auto"/>
        </w:rPr>
      </w:pPr>
    </w:p>
    <w:p>
      <w:pPr>
        <w:ind w:left="660" w:right="20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our employees, we continue to implement actions to help protect them from the coronavirus while working in our restaurants. These include implementing enhanced cleaning procedures in our restaurants, providing gloves and masks to all system restaurant employees, installing plexiglass shields at company restaurant cashier stations and initiating other social distancing measures. We are providing extended sick leave benefits to employees impacted by COVID-19 and we have granted two weeks paid leave for employees who are 65 or older.</w:t>
      </w:r>
    </w:p>
    <w:p>
      <w:pPr>
        <w:spacing w:after="0" w:line="2" w:lineRule="exact"/>
        <w:rPr>
          <w:rFonts w:ascii="Arial" w:cs="Arial" w:eastAsia="Arial" w:hAnsi="Arial"/>
          <w:sz w:val="16"/>
          <w:szCs w:val="16"/>
          <w:color w:val="auto"/>
        </w:rPr>
      </w:pPr>
    </w:p>
    <w:p>
      <w:pPr>
        <w:ind w:left="660" w:right="1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shifted our marketing to highlight our free delivery program; our Family Meals as a healthier and affordable option; and our meaningful value platform.</w:t>
      </w:r>
    </w:p>
    <w:p>
      <w:pPr>
        <w:ind w:left="660" w:right="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delayed making April rent payments on the majority of our leased properties and we are currently negotiating rent abatement and/or deferment with our landlords for those properties.</w:t>
      </w:r>
    </w:p>
    <w:p>
      <w:pPr>
        <w:ind w:left="660" w:right="20" w:hanging="328"/>
        <w:spacing w:after="0" w:line="2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taken advantage of provisions available under the CARES Act. Specifically, we have deferred payment of employer Social Security taxes that are otherwise owed for wage payments.</w:t>
      </w:r>
    </w:p>
    <w:p>
      <w:pPr>
        <w:spacing w:after="0" w:line="7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full impact of the COVID-19 outbreak continues to evolve as of the date of this report. Management is continually evaluating the impact of the global crisis on its financial condition, liquidity, operations, suppliers, industry, and workforce and will take additional actions as necessary. The disruption in operations has led to us considering the impact of the COVID-19 pandemic on our liquidity, debt covenant compliance, and recoverability of long-lived and ROU assets, goodwill and intangible assets, among others. If these disruptions continue, we expect a continued material negative impact on our financial results, future operations and liquidity. The extent of such negative impact will be determined, in part, by the COVID-19 pandemics longevity and severity.</w:t>
      </w:r>
    </w:p>
    <w:p>
      <w:pPr>
        <w:spacing w:after="0" w:line="5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Due to the rapid development and fluidity of this situation, we cannot determine the ultimate impact that the COVID-19 pandemic will have on our consolidated financial condition, liquidity, and future results of operations, and therefore any prediction as to the ultimate material adverse impact on tour consolidated financial condition, liquidity, and future results of operations is uncertain. See Item 1A, Risk Factors for additional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March 25, 2020, we had 479 locations in six states. In fiscal 2019, we opened two new company-operated and two new franchised restaurants all in California. For the thirteen weeks ended March 25, 2020, no new company-operated restaurants were opened and one franchised restaurant in California was opened. As a result of the COVID-19 crisis, we have suspended company-operated new unit development until the timing of the economic recovery and our business improvement becomes more clear. In addition, we are allowing franchisees to defer their 2020 new unit development obligations until 2021. As a result, we now expect to open one company-operated and one franchised restaurant, both of which are currently in progress, during the remainder of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665" w:right="339" w:bottom="1440" w:gutter="0" w:footer="0" w:header="0"/>
        </w:sectPr>
      </w:pPr>
    </w:p>
    <w:bookmarkStart w:id="33" w:name="page34"/>
    <w:bookmarkEnd w:id="33"/>
    <w:p>
      <w:pPr>
        <w:ind w:right="40"/>
        <w:spacing w:after="0" w:line="308" w:lineRule="auto"/>
        <w:rPr>
          <w:sz w:val="20"/>
          <w:szCs w:val="20"/>
          <w:color w:val="auto"/>
        </w:rPr>
      </w:pPr>
      <w:r>
        <w:rPr>
          <w:rFonts w:ascii="Arial" w:cs="Arial" w:eastAsia="Arial" w:hAnsi="Arial"/>
          <w:sz w:val="17"/>
          <w:szCs w:val="17"/>
          <w:color w:val="auto"/>
        </w:rPr>
        <w:t>It is our intention to return to the following long-term growth strategy after the impact of the COVID-19 pandemic subsides. We plan to continue to expand our business, drive restaurant sales growth, and enhance our competitive positioning, by executing the following strategies:</w:t>
      </w:r>
    </w:p>
    <w:p>
      <w:pPr>
        <w:spacing w:after="0" w:line="146"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increase comparable restaurant sales, we plan to increase customer frequency, attract new customers, and improve per-person spend. These growth rates are not guaranteed.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System-wide, for the thirteen weeks ended March 25, 2020, comparable restaurant sales decreased by 1.5%, from the comparable period in the prior year. For company-operated restaurants, comparable restaurant sales, for the thirteen weeks ended March 25, 2020, decreased by 0.7%. For company-operated restaurants, the quarter’s change in comparable restaurant sales consisted of a 3.8% increase in average check size, and a 4.5% decline in transactions. For franchised restaurants, comparable restaurant sales decreased 2.2% for the thirteen weeks ended March 25, 2020. Refer to Comparable Restaurant Sales definition in "Key Performance Indicators" section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restaurant counts at the beginning and end of each of the last three fiscal years and the thirteen weeks ended March 25, 2020,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Thirteen Weeks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Fiscal Year Ended</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March 25, 2020</w:t>
            </w:r>
          </w:p>
        </w:tc>
        <w:tc>
          <w:tcPr>
            <w:tcW w:w="13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340" w:type="dxa"/>
            <w:vAlign w:val="bottom"/>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340" w:type="dxa"/>
            <w:vAlign w:val="bottom"/>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activity:</w:t>
            </w: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Franchised restaurant activity:</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System-wide restaurant activity:</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Closures</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Restaurants at end of period</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of March 25, 2020, together with our franchisees, we had remodeled 34 company-operated and 45 franchised restaurants using our newest Vision restaurant design. The Vision design elevates the brand image with exterior and interior features that embrace the brand’s authentic roots with warm textures, rustic elements and a focus on the signature open kitchen layout established in previous designs. As of March 25, 2020, including new builds and remodels, we had 120 restaurants open with the Vision design in our system. Remodeling is a use of cash and has implications for our net property and equipment owned and depreciation and amortization line items on our condensed consolidated balance sheets and consolidated statements of income, among others. The cost of our restaurant remodels varies depending on the scope of work required, but on average,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665" w:right="339" w:bottom="1440" w:gutter="0" w:footer="0" w:header="0"/>
        </w:sectPr>
      </w:pPr>
    </w:p>
    <w:bookmarkStart w:id="34" w:name="page35"/>
    <w:bookmarkEnd w:id="34"/>
    <w:p>
      <w:pPr>
        <w:ind w:right="40"/>
        <w:spacing w:after="0" w:line="254" w:lineRule="auto"/>
        <w:rPr>
          <w:sz w:val="20"/>
          <w:szCs w:val="20"/>
          <w:color w:val="auto"/>
        </w:rPr>
      </w:pPr>
      <w:r>
        <w:rPr>
          <w:rFonts w:ascii="Arial" w:cs="Arial" w:eastAsia="Arial" w:hAnsi="Arial"/>
          <w:sz w:val="18"/>
          <w:szCs w:val="18"/>
          <w:color w:val="auto"/>
        </w:rPr>
        <w:t xml:space="preserve">investment is $0.3 million to $0.4 million per restaurant. We believe that our remodeling program will result in higher restaurant revenue and a strengthened brand. In addition, we are currently working on a new asset design that we believe will clearly differentiate and communicate our brand, both on the exterior and interior. We believe that this new design will deliver good new unit volumes and cash on cash returns in both existing and new markets. We also believe that our remodels using this new design will result in higher restaurant revenue and a strengthened brand. This new design replaces our “Vision” design, which was implemented in 2016. However, given the uncertainty surrounding the </w:t>
      </w:r>
      <w:r>
        <w:rPr>
          <w:rFonts w:ascii="Arial" w:cs="Arial" w:eastAsia="Arial" w:hAnsi="Arial"/>
          <w:sz w:val="18"/>
          <w:szCs w:val="18"/>
          <w:color w:val="212529"/>
        </w:rPr>
        <w:t>severity and longevity of the COVID-19 pandemic, as a</w:t>
      </w:r>
      <w:r>
        <w:rPr>
          <w:rFonts w:ascii="Arial" w:cs="Arial" w:eastAsia="Arial" w:hAnsi="Arial"/>
          <w:sz w:val="18"/>
          <w:szCs w:val="18"/>
          <w:color w:val="auto"/>
        </w:rPr>
        <w:t xml:space="preserve"> </w:t>
      </w:r>
      <w:r>
        <w:rPr>
          <w:rFonts w:ascii="Arial" w:cs="Arial" w:eastAsia="Arial" w:hAnsi="Arial"/>
          <w:sz w:val="18"/>
          <w:szCs w:val="18"/>
          <w:color w:val="212529"/>
        </w:rPr>
        <w:t>precautionary measure we have suspended all but essential capital spending, which includes remodels, and we have deferred our franchisee's 2020 remodel requirement until 2021.</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Loco Rewards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second quarter of 2017, we introduced a new loyalty rewards points program in an effort to increase sales and loyalty among our customers, by offering rewards that incentivize customers to visit our restaurants more often each month. Customers earn 1 point for each $1 spent and 100 points can be redeemed for a $10 reward to be used for a future purchase. If a customer does not earn or use points within a one-year period, their account is deactivated and all points expire. Additionally, if a $10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$10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March 25, 2020 and December 25, 2019, the revenue allocated to loyalty points that have not been redeemed are $1.0 million and $1.1 million, respectively, which are reflected in the Company’s accompanying condensed consolidated balance sheets within other accrued expenses and current liabilities. The Company had almost 1.7 million loyalty program members as of March 25,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25, 2019.</w:t>
      </w:r>
    </w:p>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 other than the adoption of Topic 842, as described in Note 1 and Note 11 to Item 1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Recent accounting pronouncements are described in Note 1 to our condensed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66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to Item I above for further details regarding our revenue recognition policy.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Legal settlements include expenses such as judgments or settlements related to legal matters, legal claims and class action lawsuits.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consists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and Closed-Store Reserves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review long-lived assets such as property, equipment, and intangibles on a unit-by-unit basis for impairment when events or circumstances indicate a carrying value of the assets that may not be recoverable. We determine if there is impairment at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877" w:right="359" w:bottom="1440" w:gutter="0" w:footer="0" w:header="0"/>
        </w:sectPr>
      </w:pPr>
    </w:p>
    <w:bookmarkStart w:id="36" w:name="page37"/>
    <w:bookmarkEnd w:id="36"/>
    <w:p>
      <w:pPr>
        <w:ind w:right="20"/>
        <w:spacing w:after="0" w:line="254" w:lineRule="auto"/>
        <w:rPr>
          <w:sz w:val="20"/>
          <w:szCs w:val="20"/>
          <w:color w:val="auto"/>
        </w:rPr>
      </w:pPr>
      <w:r>
        <w:rPr>
          <w:rFonts w:ascii="Arial" w:cs="Arial" w:eastAsia="Arial" w:hAnsi="Arial"/>
          <w:sz w:val="18"/>
          <w:szCs w:val="18"/>
          <w:color w:val="auto"/>
        </w:rPr>
        <w:t>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When the Company closes a restaurant, it will evaluate the ROU asset for impairment, based on anticipated sublease recoveries. The remaining value of the ROU asset is amortized on a straight-line basis, with the expense recognized in closed-store reserve expense, in addition to property tax and common area maintenance ("CAM") charges for closed restaurants.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net, consists primarily of interest on our outstanding debt. Debt issuance costs are amortized at cost over the life of the related debt.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consists of federal and state taxes on our income.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66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Comparison of Results of Income</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operating results for the thirteen weeks ended March 25, 2020 and March 27, 2019 and expressed as percentages of total revenue, with the exception of cost of operations and company restaurant expenses, which are expressed as a percentage of company-operated restaurant revenue, are compared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3"/>
              </w:rPr>
              <w:t>Thirteen Weeks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March 25, 2020</w:t>
            </w:r>
          </w:p>
        </w:tc>
        <w:tc>
          <w:tcPr>
            <w:tcW w:w="200" w:type="dxa"/>
            <w:vAlign w:val="bottom"/>
          </w:tcPr>
          <w:p>
            <w:pPr>
              <w:spacing w:after="0"/>
              <w:rPr>
                <w:sz w:val="13"/>
                <w:szCs w:val="13"/>
                <w:color w:val="auto"/>
              </w:rPr>
            </w:pPr>
          </w:p>
        </w:tc>
        <w:tc>
          <w:tcPr>
            <w:tcW w:w="202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4"/>
              </w:rPr>
              <w:t>March 27, 2019</w:t>
            </w:r>
          </w:p>
        </w:tc>
        <w:tc>
          <w:tcPr>
            <w:tcW w:w="200" w:type="dxa"/>
            <w:vAlign w:val="bottom"/>
          </w:tcPr>
          <w:p>
            <w:pPr>
              <w:spacing w:after="0"/>
              <w:rPr>
                <w:sz w:val="13"/>
                <w:szCs w:val="13"/>
                <w:color w:val="auto"/>
              </w:rPr>
            </w:pPr>
          </w:p>
        </w:tc>
        <w:tc>
          <w:tcPr>
            <w:tcW w:w="1240" w:type="dxa"/>
            <w:vAlign w:val="bottom"/>
            <w:gridSpan w:val="3"/>
          </w:tcPr>
          <w:p>
            <w:pPr>
              <w:jc w:val="center"/>
              <w:ind w:left="432"/>
              <w:spacing w:after="0" w:line="153" w:lineRule="exact"/>
              <w:rPr>
                <w:sz w:val="20"/>
                <w:szCs w:val="20"/>
                <w:color w:val="auto"/>
              </w:rPr>
            </w:pPr>
            <w:r>
              <w:rPr>
                <w:rFonts w:ascii="Arial" w:cs="Arial" w:eastAsia="Arial" w:hAnsi="Arial"/>
                <w:sz w:val="14"/>
                <w:szCs w:val="14"/>
                <w:b w:val="1"/>
                <w:bCs w:val="1"/>
                <w:color w:val="auto"/>
                <w:w w:val="92"/>
              </w:rPr>
              <w:t>Increase /</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89"/>
              </w:rPr>
              <w:t>(Decrease)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Statements of Income Data</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Company-operated restaurant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92,634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97,150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Franchise revenue</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6,444</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Franchise advertising fee revenue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5,383</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105,163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108,977</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Food and paper costs(1)</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25,562</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27,152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Labor and related expenses(1)</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28,693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29,576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Occupancy and other operating expenses(1)</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22,109</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23,227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Company restaurant expenses(1)</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76,364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79,955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9,331</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11,348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Franchise expenses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4,761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Loss on assets held for sale</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4,124</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Impairment and closed-store reserves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expenses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99,477</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94.6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106,685</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5,686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2,292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Interest expense, net of interest income</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receivable agreement (income) expense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4,901</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1,262</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3,639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3,600</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913</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2,687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294.3</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For the quarter, company-operated restaurant revenue decreased $4.5 million, or 4.6%, from the comparable period in the prior year. The decline in company-operated restaurant sales was primarily due to a $5.0 million decrease in revenue from the closure of four restaurants and the 16 company-operated restaurants sold by the Company to franchisees during or subsequent to the first quarter of 2019. Additionally, there was a decrease in company-operated restaurant revenue of $0.6 million from a 0.7% decrease in company-operated comparable restaurant sales, which we believe was primarily related to the impact of the COVID-19 pandemic. See above under “COVID-19 Impact” for additional information related to the impact of the COVID-19 pandemic on our business. This company-operated restaurant sales decrease was partially offset by an increase of $0.8 million of non-comparable restaurant sales on restaurants that had not been open the fifteen months required to be included in comparable restaurant sales and $0.3 million related to an increase in revenue recognized from our loyalty points program. The company-operated comparable restaurant sales decrease consisted of a decline in transactions of 4.5%, partially offset by an increase in average check size of 3.8%.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877" w:right="339" w:bottom="1440" w:gutter="0" w:footer="0" w:header="0"/>
        </w:sectPr>
      </w:pPr>
    </w:p>
    <w:bookmarkStart w:id="38" w:name="page39"/>
    <w:bookmarkEnd w:id="38"/>
    <w:p>
      <w:pPr>
        <w:ind w:right="280"/>
        <w:spacing w:after="0" w:line="296" w:lineRule="auto"/>
        <w:rPr>
          <w:sz w:val="20"/>
          <w:szCs w:val="20"/>
          <w:color w:val="auto"/>
        </w:rPr>
      </w:pPr>
      <w:r>
        <w:rPr>
          <w:rFonts w:ascii="Arial" w:cs="Arial" w:eastAsia="Arial" w:hAnsi="Arial"/>
          <w:sz w:val="16"/>
          <w:szCs w:val="16"/>
          <w:color w:val="auto"/>
        </w:rPr>
        <w:t>For the quarter, franchise revenue increased $0.6 million, or 9.6%, from the comparable period in the prior year. This increase was primarily due to the opening of three new franchised restaurants and revenue generated from 16 company-operated restaurants sold by the Company to franchisees during or subsequent to the first quarter of 2019. This franchise revenue increase was partially offset by a franchise comparable restaurant sales decrease of 2.2%, which we believe was primarily due to the COVID-19 pandemic, and the closure of six franchise locations during the same period. See above under “COVID-19 Impact” for additional information related to the impact of the COVID-19 pandemic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Advertising Fee Revenue</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the quarter, franchise advertising fee revenue increased $0.1 million, or 1.6%, from the comparable period in the prior year. As advertising fee revenue is a percentage of franchisees' revenue, this increase was primarily due to an increase in the number of franchise locations, partially offset by lower comparable sales resulting, we believe from the impact of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quarter, food and paper costs decreased $1.6 million, or 5.9%, from the comparable period in the prior year, primarily due to a $1.3 million decrease in food costs and a $0.3 million decrease in paper costs. The decrease in food and paper costs, for the quarter, resulted primarily from lower company transactions, due to the COVID-19 pandemic, partially offset by higher commodity inflation.</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For the quarter, food and paper costs as a percentage of company-operated restaurant revenue were 27.6%, down from 27.9% in the comparable period of the prior year. The percentage decrease for the quarter period was due primarily to an increase in pricing, partially offset by commodity inflation.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For the quarter, labor and related expenses decreased $0.9 million, or 3.0%, from the comparable period in the prior year. The decrease for the quarter was due primarily to a reduction in labor by restaurants closed or sold to franchisees, partially offset by the impact of the minimum wage increases in California and Los Angeles during fiscal 2019 and 2020 and higher workers' compensation expense due to increased claims activity.</w:t>
      </w:r>
    </w:p>
    <w:p>
      <w:pPr>
        <w:spacing w:after="0" w:line="5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For the quarter, labor and related expenses as a percentage of company-operated restaurant revenue were 31.0%, up from 30.4% in the comparable period in the prior year. The increase for the quarter was due primarily to minimum wage increases in California and Los Angeles and higher workers’ compensation expense due to increased claims activity. Partially offsetting these increases was the positive impact from pricing increases.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quarter, occupancy and other operating expenses decreased $1.1 million, or 4.8%, from the comparable period of the prior year. The decrease was primarily due to a $0.6 million decrease in occupancy costs, primarily related to a reduction in rent expense from restaurants closed or sold to franchisees, a $0.4 million decrease in repair and maintenance costs, a $0.2 million decrease in advertising expenses, a $0.2 million decrease in utilities costs and a $0.1 million decrease in other operating expenses. These decreases were partially offset by a $0.4 million increase in customer order delivery fees due to an increase in delivery orders.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Occupancy and other operating expenses as a percentage of company-operated restaurant revenue was 23.9% for both the current quarter and comparable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quarter, general and administrative expenses decreased $2.0 million, or 17.8%, from the comparable period in the prior year. The decrease for the quarter was due primarily to a $1.7 million decrease in legal expenses related primarily due to a decrease in securities class action litigation costs and a $0.6 million decrease in labor related costs, primarily related to a decrease in management bonus expense. These were partially offset by a $0.3 million increase in other general and administrative expenses.</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quarter, general and administrative expenses as a percentage of total revenue were 8.9%, down from 10.4% in the comparable period of the prior year. The percentage decrease is primarily due to the cost decreases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held for sale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665" w:right="339" w:bottom="1440" w:gutter="0" w:footer="0" w:header="0"/>
        </w:sectPr>
      </w:pPr>
    </w:p>
    <w:bookmarkStart w:id="39" w:name="page40"/>
    <w:bookmarkEnd w:id="39"/>
    <w:p>
      <w:pPr>
        <w:ind w:right="100"/>
        <w:spacing w:after="0" w:line="259" w:lineRule="auto"/>
        <w:rPr>
          <w:sz w:val="20"/>
          <w:szCs w:val="20"/>
          <w:color w:val="auto"/>
        </w:rPr>
      </w:pPr>
      <w:r>
        <w:rPr>
          <w:rFonts w:ascii="Arial" w:cs="Arial" w:eastAsia="Arial" w:hAnsi="Arial"/>
          <w:sz w:val="18"/>
          <w:szCs w:val="18"/>
          <w:color w:val="auto"/>
        </w:rPr>
        <w:t>During the thirteen weeks ended March 27, 2019, we agreed in principle to sell four restaurants within the San Francisco area to an existing franchisee. Additionally, we agreed in principle to sell seven restaurants in the Phoenix area to another existing franchisee. The net assets were recorded to assets held for sale at the lower of carrying value or fair value less costs to sell, which resulted in a loss on held for sale assets of $4.1 million for the thirteen weeks ended March 27, 2019. These transactions were completed in the second quarter of 2019.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and Closed-Store Reserves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the thirteen weeks ended March 25, 2020, we recognized a $1.9 million non-cash impairment charge for the thirteen weeks ended March 25, 2020, primarily related to the carrying value of the ROU assets of one restaurant in Texas and the long-lived assets of three restaurants in California. The Company did not recognize any impairment charges for the thirteen weeks ended March 27, 2019.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the thirteen weeks ended March 25, 2020, we recognized $0.5 million of closed-store reserve expense related to the amortization of ROU assets, property taxes and CAM payments for our closed locations. During the thirteen weeks ended March 27, 2019, we closed one restaurant in California and one restaurant in Texas and recognized $0.3 million primarily related to the amortization of ROU assets for the two closed stores.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interest expense, net, was consistent with the prior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thirteen weeks ended March 25, 2020 we recorded income tax receivable agreement income of $0.1 million, and for the thirteen weeks ended March 27, 2019, we recorded income tax receivable agreement expense of $0.2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quarter ended March 25, 2020, we recorded an income tax provision of $1.3 million, reflecting an estimated effective tax rate of 26.5%. For the quarter ended March 27, 2019, we recorded an income tax provision of $0.3 million, reflecting an estimated effective tax rate of approximately 27.7%. The difference between the 21.0% statutory rate and the Company’s effective tax rate of 26.5% for the quarter-to-date ended March 25, 2020 is primarily a result of state taxes, a Work Opportunity Tax Credit benefit, the Company’s valuation allowance against certain state credits as a result of future forecasted income apportioned to the state jurisdiction, non-deductible executive compensation and changes to total expected TRA payments due to changes in future forecasted taxable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665" w:right="359" w:bottom="1440" w:gutter="0" w:footer="0" w:header="0"/>
        </w:sectPr>
      </w:pPr>
    </w:p>
    <w:bookmarkStart w:id="40" w:name="page41"/>
    <w:bookmarkEnd w:id="40"/>
    <w:p>
      <w:pPr>
        <w:ind w:right="120"/>
        <w:spacing w:after="0" w:line="259" w:lineRule="auto"/>
        <w:rPr>
          <w:sz w:val="20"/>
          <w:szCs w:val="20"/>
          <w:color w:val="auto"/>
        </w:rPr>
      </w:pPr>
      <w:r>
        <w:rPr>
          <w:rFonts w:ascii="Arial" w:cs="Arial" w:eastAsia="Arial" w:hAnsi="Arial"/>
          <w:sz w:val="18"/>
          <w:szCs w:val="18"/>
          <w:color w:val="auto"/>
        </w:rPr>
        <w:t>quarters. As a result of seasonality, our quarterly and annual results of operations and key performance indicators such as company-operated restaurant revenue and comparable restaurant sales may fluctuate. In addition, we expect our quarterly company-operated restaurant revenue and comparable restaurant sales to fluctuate significantly due to the current COVID-19 pandemic. See above under “COVID-19 Impact” for additional information related to the impact of the COVID-19 pandemic on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March 25, 2020 and March 27, 2019, there were 472 and 458 comparable restaurants, 191 and 200 company-operated restaurants and 281 and 258 franchised restaurants, respectively. Comparable restaurant sales indicate the performance of existing restaurants, since new restaurants are excluded.</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impairment and closed-store reserve and other costs that are considered normal operating costs and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spacing w:after="0" w:line="16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773"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260" w:type="dxa"/>
            <w:vAlign w:val="bottom"/>
          </w:tcPr>
          <w:p>
            <w:pPr>
              <w:ind w:left="40"/>
              <w:spacing w:after="0"/>
              <w:rPr>
                <w:sz w:val="20"/>
                <w:szCs w:val="20"/>
                <w:color w:val="auto"/>
              </w:rPr>
            </w:pPr>
            <w:r>
              <w:rPr>
                <w:rFonts w:ascii="Arial" w:cs="Arial" w:eastAsia="Arial" w:hAnsi="Arial"/>
                <w:sz w:val="14"/>
                <w:szCs w:val="14"/>
                <w:b w:val="1"/>
                <w:bCs w:val="1"/>
                <w:color w:val="auto"/>
              </w:rPr>
              <w:t>(Dollar amounts in thousands)</w:t>
            </w:r>
          </w:p>
        </w:tc>
        <w:tc>
          <w:tcPr>
            <w:tcW w:w="180" w:type="dxa"/>
            <w:vAlign w:val="bottom"/>
          </w:tcPr>
          <w:p>
            <w:pPr>
              <w:spacing w:after="0"/>
              <w:rPr>
                <w:sz w:val="22"/>
                <w:szCs w:val="22"/>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25, 2020</w:t>
            </w:r>
          </w:p>
        </w:tc>
        <w:tc>
          <w:tcPr>
            <w:tcW w:w="18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b w:val="1"/>
                <w:bCs w:val="1"/>
                <w:color w:val="auto"/>
              </w:rPr>
              <w:t>March 27, 2019</w:t>
            </w:r>
          </w:p>
        </w:tc>
      </w:tr>
      <w:tr>
        <w:trPr>
          <w:trHeight w:val="249"/>
        </w:trPr>
        <w:tc>
          <w:tcPr>
            <w:tcW w:w="8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5,686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2,292</w:t>
            </w: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(less):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9,331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11,348</w:t>
            </w: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6,144</w:t>
            </w: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4,761</w:t>
            </w: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r>
      <w:tr>
        <w:trPr>
          <w:trHeight w:val="243"/>
        </w:trPr>
        <w:tc>
          <w:tcPr>
            <w:tcW w:w="8260" w:type="dxa"/>
            <w:vAlign w:val="bottom"/>
          </w:tcPr>
          <w:p>
            <w:pPr>
              <w:ind w:left="180"/>
              <w:spacing w:after="0"/>
              <w:rPr>
                <w:sz w:val="20"/>
                <w:szCs w:val="20"/>
                <w:color w:val="auto"/>
              </w:rPr>
            </w:pPr>
            <w:r>
              <w:rPr>
                <w:rFonts w:ascii="Arial" w:cs="Arial" w:eastAsia="Arial" w:hAnsi="Arial"/>
                <w:sz w:val="18"/>
                <w:szCs w:val="18"/>
                <w:color w:val="auto"/>
              </w:rPr>
              <w:t>Loss on assets held for sale</w:t>
            </w:r>
          </w:p>
        </w:tc>
        <w:tc>
          <w:tcPr>
            <w:tcW w:w="18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4,124</w:t>
            </w: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revenue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(6,444)</w:t>
            </w: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Franchise advertising fee revenue</w:t>
            </w:r>
          </w:p>
        </w:tc>
        <w:tc>
          <w:tcPr>
            <w:tcW w:w="18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(5,383)</w:t>
            </w: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and closed-store reserves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309</w:t>
            </w:r>
          </w:p>
        </w:tc>
      </w:tr>
      <w:tr>
        <w:trPr>
          <w:trHeight w:val="297"/>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16,270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17,195</w:t>
            </w:r>
          </w:p>
        </w:tc>
      </w:tr>
      <w:tr>
        <w:trPr>
          <w:trHeight w:val="163"/>
        </w:trPr>
        <w:tc>
          <w:tcPr>
            <w:tcW w:w="8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105,163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108,977</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revenue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(6,444)</w:t>
            </w: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Franchise advertising fee revenue</w:t>
            </w:r>
          </w:p>
        </w:tc>
        <w:tc>
          <w:tcPr>
            <w:tcW w:w="18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(5,383)</w:t>
            </w:r>
          </w:p>
        </w:tc>
      </w:tr>
      <w:tr>
        <w:trPr>
          <w:trHeight w:val="27"/>
        </w:trPr>
        <w:tc>
          <w:tcPr>
            <w:tcW w:w="8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92,634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97,150</w:t>
            </w: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4"/>
        </w:trPr>
        <w:tc>
          <w:tcPr>
            <w:tcW w:w="8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Restaurant contribution margin (%)</w:t>
            </w: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778" w:right="339" w:bottom="1440" w:gutter="0" w:footer="0" w:header="0"/>
        </w:sectPr>
      </w:pPr>
    </w:p>
    <w:bookmarkStart w:id="42" w:name="page43"/>
    <w:bookmarkEnd w:id="42"/>
    <w:p>
      <w:pPr>
        <w:ind w:right="40"/>
        <w:spacing w:after="0" w:line="275" w:lineRule="auto"/>
        <w:rPr>
          <w:sz w:val="20"/>
          <w:szCs w:val="20"/>
          <w:color w:val="auto"/>
        </w:rPr>
      </w:pPr>
      <w:r>
        <w:rPr>
          <w:rFonts w:ascii="Arial" w:cs="Arial" w:eastAsia="Arial" w:hAnsi="Arial"/>
          <w:sz w:val="17"/>
          <w:szCs w:val="17"/>
          <w:color w:val="auto"/>
        </w:rPr>
        <w:t>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further compensate for the limitations in our use of non-GAAP financial measures by presenting comparable GAAP measures more prominently.</w:t>
      </w:r>
    </w:p>
    <w:p>
      <w:pPr>
        <w:spacing w:after="0" w:line="22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 and for compensation performance benchmarks.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60" w:type="dxa"/>
            <w:vAlign w:val="bottom"/>
          </w:tcPr>
          <w:p>
            <w:pPr>
              <w:spacing w:after="0"/>
              <w:rPr>
                <w:sz w:val="22"/>
                <w:szCs w:val="22"/>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25, 2020</w:t>
            </w:r>
          </w:p>
        </w:tc>
        <w:tc>
          <w:tcPr>
            <w:tcW w:w="160" w:type="dxa"/>
            <w:vAlign w:val="bottom"/>
          </w:tcPr>
          <w:p>
            <w:pPr>
              <w:spacing w:after="0"/>
              <w:rPr>
                <w:sz w:val="22"/>
                <w:szCs w:val="22"/>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March 27, 2019</w:t>
            </w:r>
          </w:p>
        </w:tc>
      </w:tr>
      <w:tr>
        <w:trPr>
          <w:trHeight w:val="249"/>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913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4,761</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10,175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6,882</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(a)</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Loss on disposal of assets (b)</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assets held for sale (c)</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 xml:space="preserve">Impairment and closed-store reserves </w:t>
            </w:r>
            <w:r>
              <w:rPr>
                <w:rFonts w:ascii="Arial" w:cs="Arial" w:eastAsia="Arial" w:hAnsi="Arial"/>
                <w:sz w:val="16"/>
                <w:szCs w:val="16"/>
                <w:color w:val="auto"/>
              </w:rPr>
              <w:t>(d)</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(income) expense (e)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Securities class action legal expense (f)</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2,139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settlements (g)</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Pre-opening costs (h)</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transition costs (i)</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13,410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14,194</w:t>
            </w: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23" w:lineRule="exact"/>
        <w:rPr>
          <w:rFonts w:ascii="Arial" w:cs="Arial" w:eastAsia="Arial" w:hAnsi="Arial"/>
          <w:sz w:val="18"/>
          <w:szCs w:val="18"/>
          <w:color w:val="auto"/>
        </w:rPr>
      </w:pPr>
    </w:p>
    <w:p>
      <w:pPr>
        <w:ind w:left="660" w:right="100" w:hanging="652"/>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ind w:left="660" w:right="120" w:hanging="652"/>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During the thirteen weeks ended March 27, 2019, we agreed in principle to sell four restaurants within the San Francisco area to an existing franchisee. Additionally, we agreed in principle to sell seven restaurants in the Phoenix area to another existing franchisee. The net assets were recorded to assets held for sale at the lower of carrying value or fair value less costs to sell, which resulted in a loss on held for sale assets of $4.1 million for the thirteen weeks ended March 27, 2019. These transactions were completed in the second quarter of 2019.</w:t>
      </w:r>
    </w:p>
    <w:p>
      <w:pPr>
        <w:spacing w:after="0" w:line="2" w:lineRule="exact"/>
        <w:rPr>
          <w:rFonts w:ascii="Arial" w:cs="Arial" w:eastAsia="Arial" w:hAnsi="Arial"/>
          <w:sz w:val="16"/>
          <w:szCs w:val="16"/>
          <w:color w:val="auto"/>
        </w:rPr>
      </w:pPr>
    </w:p>
    <w:p>
      <w:pPr>
        <w:jc w:val="both"/>
        <w:ind w:left="660" w:right="40" w:hanging="652"/>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costs related to impairment of long-lived assets and closing restaurants. During the thirteen weeks ended March 25, 2020, we recognized a $1.9 million non-cash impairment charge for the thirteen weeks ended March 25, 2020, primarily related to the carrying value of the ROU assets of one restaurant in Texas and the long-lived assets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773" w:right="339" w:bottom="1440" w:gutter="0" w:footer="0" w:header="0"/>
        </w:sectPr>
      </w:pPr>
    </w:p>
    <w:bookmarkStart w:id="43" w:name="page44"/>
    <w:bookmarkEnd w:id="43"/>
    <w:p>
      <w:pPr>
        <w:ind w:left="660" w:right="200"/>
        <w:spacing w:after="0" w:line="301" w:lineRule="auto"/>
        <w:rPr>
          <w:sz w:val="20"/>
          <w:szCs w:val="20"/>
          <w:color w:val="auto"/>
        </w:rPr>
      </w:pPr>
      <w:r>
        <w:rPr>
          <w:rFonts w:ascii="Arial" w:cs="Arial" w:eastAsia="Arial" w:hAnsi="Arial"/>
          <w:sz w:val="16"/>
          <w:szCs w:val="16"/>
          <w:color w:val="auto"/>
        </w:rPr>
        <w:t>three restaurants in California. The Company did not recognize any impairment charges for the thirteen weeks ended March 27, 2019. Given the difficulty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265"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the thirteen weeks ended March 25, 2020, we recognized $0.5 million of closed-store reserve expense, related to the amortization of ROU assets, property tax and common area maintenance ("CAM") payments for our closed locations. During the thirteen weeks ended March 27, 2019, we closed one restaurant in California and one restaurant in Texas and recognized $0.3 million primarily related to the amortization of ROU assets for the two closed stores.</w:t>
      </w:r>
    </w:p>
    <w:p>
      <w:pPr>
        <w:spacing w:after="0" w:line="4" w:lineRule="exact"/>
        <w:rPr>
          <w:sz w:val="20"/>
          <w:szCs w:val="20"/>
          <w:color w:val="auto"/>
        </w:rPr>
      </w:pPr>
    </w:p>
    <w:p>
      <w:pPr>
        <w:ind w:left="660" w:right="100" w:hanging="652"/>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weeks ended March 25, 2020 and March 27, 2019, income tax receivable agreement (income) expense consisted of the amortization of interest expense and changes in estimates for actual tax returns filed, related to our total expected TRA payments.</w:t>
      </w: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costs related to the defense of securities lawsuits. See "Note 7, Commitments and Contingencies, Legal Matters."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amounts incurred related to the payment of the final settlement amounts for multiple wage and hour class action suits.</w:t>
      </w:r>
    </w:p>
    <w:p>
      <w:pPr>
        <w:spacing w:after="0" w:line="9" w:lineRule="exact"/>
        <w:rPr>
          <w:rFonts w:ascii="Arial" w:cs="Arial" w:eastAsia="Arial" w:hAnsi="Arial"/>
          <w:sz w:val="18"/>
          <w:szCs w:val="18"/>
          <w:color w:val="auto"/>
        </w:rPr>
      </w:pPr>
    </w:p>
    <w:p>
      <w:pPr>
        <w:ind w:left="660" w:right="320" w:hanging="652"/>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2" w:lineRule="exact"/>
        <w:rPr>
          <w:rFonts w:ascii="Arial" w:cs="Arial" w:eastAsia="Arial" w:hAnsi="Arial"/>
          <w:sz w:val="16"/>
          <w:szCs w:val="16"/>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costs associated with the transition of our CEO, such as CEO sign-on bonus.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Our primary sources of liquidity and capital resources have been cash provided from operations, cash and cash equivalents, and the 2018 Revolver. Our primary requirements for liquidity and capital are new restaurants, existing restaurant capital investments (remodels and maintenance), interest payments on our debt, lease obligations, and working capital and general corporate needs. However, in light of the COVID-19 pandemic, we have temporarily suspended all new restaurants and capital investments.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our sources of liquidity and capital are sufficient to finance our continued operations for at least the next twelve months from the filing of the condensed consolidated financial statements. However, </w:t>
      </w:r>
      <w:r>
        <w:rPr>
          <w:rFonts w:ascii="Arial" w:cs="Arial" w:eastAsia="Arial" w:hAnsi="Arial"/>
          <w:sz w:val="17"/>
          <w:szCs w:val="17"/>
          <w:color w:val="212529"/>
        </w:rPr>
        <w:t>depending on the</w:t>
      </w:r>
      <w:r>
        <w:rPr>
          <w:rFonts w:ascii="Arial" w:cs="Arial" w:eastAsia="Arial" w:hAnsi="Arial"/>
          <w:sz w:val="17"/>
          <w:szCs w:val="17"/>
          <w:color w:val="auto"/>
        </w:rPr>
        <w:t xml:space="preserve"> </w:t>
      </w:r>
      <w:r>
        <w:rPr>
          <w:rFonts w:ascii="Arial" w:cs="Arial" w:eastAsia="Arial" w:hAnsi="Arial"/>
          <w:sz w:val="17"/>
          <w:szCs w:val="17"/>
          <w:color w:val="212529"/>
        </w:rPr>
        <w:t xml:space="preserve">severity and longevity of the COVID-19 pandemic, the efforts taken to reduce its spread (including government-mandated closures of our dining rooms) and the possibility of a resurgence of the COVID-19 outbreak, our </w:t>
      </w:r>
      <w:r>
        <w:rPr>
          <w:rFonts w:ascii="Arial" w:cs="Arial" w:eastAsia="Arial" w:hAnsi="Arial"/>
          <w:sz w:val="17"/>
          <w:szCs w:val="17"/>
          <w:color w:val="000000"/>
        </w:rPr>
        <w:t>financial performance and liquidity could be further impacted and could impact our</w:t>
      </w:r>
      <w:r>
        <w:rPr>
          <w:rFonts w:ascii="Arial" w:cs="Arial" w:eastAsia="Arial" w:hAnsi="Arial"/>
          <w:sz w:val="17"/>
          <w:szCs w:val="17"/>
          <w:color w:val="212529"/>
        </w:rPr>
        <w:t xml:space="preserve"> </w:t>
      </w:r>
      <w:r>
        <w:rPr>
          <w:rFonts w:ascii="Arial" w:cs="Arial" w:eastAsia="Arial" w:hAnsi="Arial"/>
          <w:sz w:val="17"/>
          <w:szCs w:val="17"/>
          <w:color w:val="000000"/>
        </w:rPr>
        <w:t>ability to meet certain financial covenants required in our 2018 Credit Agreement, specifically the lease-adjusted coverage ratio and fixed-charge coverage ratio.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4"/>
          </w:tcPr>
          <w:p>
            <w:pPr>
              <w:jc w:val="right"/>
              <w:ind w:right="1494"/>
              <w:spacing w:after="0"/>
              <w:rPr>
                <w:sz w:val="20"/>
                <w:szCs w:val="20"/>
                <w:color w:val="auto"/>
              </w:rPr>
            </w:pPr>
            <w:r>
              <w:rPr>
                <w:rFonts w:ascii="Arial" w:cs="Arial" w:eastAsia="Arial" w:hAnsi="Arial"/>
                <w:sz w:val="14"/>
                <w:szCs w:val="14"/>
                <w:b w:val="1"/>
                <w:bCs w:val="1"/>
                <w:color w:val="auto"/>
              </w:rPr>
              <w:t>Thirteen Weeks Ended</w:t>
            </w:r>
          </w:p>
        </w:tc>
      </w:tr>
      <w:tr>
        <w:trPr>
          <w:trHeight w:val="229"/>
        </w:trPr>
        <w:tc>
          <w:tcPr>
            <w:tcW w:w="4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Pr>
          <w:p>
            <w:pPr>
              <w:spacing w:after="0"/>
              <w:rPr>
                <w:sz w:val="19"/>
                <w:szCs w:val="19"/>
                <w:color w:val="auto"/>
              </w:rPr>
            </w:pPr>
          </w:p>
        </w:tc>
        <w:tc>
          <w:tcPr>
            <w:tcW w:w="198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25, 2020</w:t>
            </w:r>
          </w:p>
        </w:tc>
        <w:tc>
          <w:tcPr>
            <w:tcW w:w="380" w:type="dxa"/>
            <w:vAlign w:val="bottom"/>
          </w:tcPr>
          <w:p>
            <w:pPr>
              <w:spacing w:after="0"/>
              <w:rPr>
                <w:sz w:val="19"/>
                <w:szCs w:val="19"/>
                <w:color w:val="auto"/>
              </w:rPr>
            </w:pPr>
          </w:p>
        </w:tc>
        <w:tc>
          <w:tcPr>
            <w:tcW w:w="1860" w:type="dxa"/>
            <w:vAlign w:val="bottom"/>
          </w:tcPr>
          <w:p>
            <w:pPr>
              <w:jc w:val="right"/>
              <w:ind w:right="554"/>
              <w:spacing w:after="0"/>
              <w:rPr>
                <w:sz w:val="20"/>
                <w:szCs w:val="20"/>
                <w:color w:val="auto"/>
              </w:rPr>
            </w:pPr>
            <w:r>
              <w:rPr>
                <w:rFonts w:ascii="Arial" w:cs="Arial" w:eastAsia="Arial" w:hAnsi="Arial"/>
                <w:sz w:val="14"/>
                <w:szCs w:val="14"/>
                <w:b w:val="1"/>
                <w:bCs w:val="1"/>
                <w:color w:val="auto"/>
              </w:rPr>
              <w:t>March 27, 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(7,526)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9,977</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w:t>
            </w:r>
          </w:p>
        </w:tc>
      </w:tr>
      <w:tr>
        <w:trPr>
          <w:trHeight w:val="243"/>
        </w:trPr>
        <w:tc>
          <w:tcPr>
            <w:tcW w:w="40" w:type="dxa"/>
            <w:vAlign w:val="bottom"/>
          </w:tcPr>
          <w:p>
            <w:pPr>
              <w:spacing w:after="0"/>
              <w:rPr>
                <w:sz w:val="21"/>
                <w:szCs w:val="21"/>
                <w:color w:val="auto"/>
              </w:rPr>
            </w:pPr>
          </w:p>
        </w:tc>
        <w:tc>
          <w:tcPr>
            <w:tcW w:w="660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880" w:type="dxa"/>
            <w:vAlign w:val="bottom"/>
          </w:tcPr>
          <w:p>
            <w:pPr>
              <w:jc w:val="right"/>
              <w:ind w:right="36"/>
              <w:spacing w:after="0"/>
              <w:rPr>
                <w:sz w:val="20"/>
                <w:szCs w:val="20"/>
                <w:color w:val="auto"/>
              </w:rPr>
            </w:pPr>
            <w:r>
              <w:rPr>
                <w:rFonts w:ascii="Arial" w:cs="Arial" w:eastAsia="Arial" w:hAnsi="Arial"/>
                <w:sz w:val="18"/>
                <w:szCs w:val="18"/>
                <w:color w:val="auto"/>
              </w:rPr>
              <w:t>44,492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(6,064)</w:t>
            </w:r>
          </w:p>
        </w:tc>
      </w:tr>
      <w:tr>
        <w:trPr>
          <w:trHeight w:val="27"/>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35,334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557" w:right="339" w:bottom="1440" w:gutter="0" w:footer="0" w:header="0"/>
        </w:sectPr>
      </w:pPr>
    </w:p>
    <w:bookmarkStart w:id="44" w:name="page45"/>
    <w:bookmarkEnd w:id="44"/>
    <w:p>
      <w:pPr>
        <w:spacing w:after="0" w:line="263" w:lineRule="auto"/>
        <w:rPr>
          <w:sz w:val="20"/>
          <w:szCs w:val="20"/>
          <w:color w:val="auto"/>
        </w:rPr>
      </w:pPr>
      <w:r>
        <w:rPr>
          <w:rFonts w:ascii="Arial" w:cs="Arial" w:eastAsia="Arial" w:hAnsi="Arial"/>
          <w:sz w:val="18"/>
          <w:szCs w:val="18"/>
          <w:color w:val="auto"/>
        </w:rPr>
        <w:t>For the thirteen weeks ended March 25, 2020, net cash used in operating activities increased by approximately $17.5 million from the comparable period of the prior year. This was due primarily to a $16.3 million payment related to our wage and hour class action settlements (see Note 7) and unfavorable working capital fluctuations.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thirteen weeks ended March 25, 2020, net cash used in investing activities decreased by $2.6 million from the comparable period of the prior year. This was due primarily to fewer major facilities and information technology projects, as well as opening no new company restaurant and completing no remodels in the thirteen weeks ended March 25, 2020 compared to no new company restaurants and one completed remodel in the thirteen weeks ended March 27, 2019.</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Given the uncertainty surrounding the </w:t>
      </w:r>
      <w:r>
        <w:rPr>
          <w:rFonts w:ascii="Arial" w:cs="Arial" w:eastAsia="Arial" w:hAnsi="Arial"/>
          <w:sz w:val="18"/>
          <w:szCs w:val="18"/>
          <w:color w:val="212529"/>
        </w:rPr>
        <w:t>severity and longevity of the COVID-19 pandemic, as a precautionary measure we have suspended all but essential</w:t>
      </w:r>
      <w:r>
        <w:rPr>
          <w:rFonts w:ascii="Arial" w:cs="Arial" w:eastAsia="Arial" w:hAnsi="Arial"/>
          <w:sz w:val="18"/>
          <w:szCs w:val="18"/>
          <w:color w:val="auto"/>
        </w:rPr>
        <w:t xml:space="preserve"> </w:t>
      </w:r>
      <w:r>
        <w:rPr>
          <w:rFonts w:ascii="Arial" w:cs="Arial" w:eastAsia="Arial" w:hAnsi="Arial"/>
          <w:sz w:val="18"/>
          <w:szCs w:val="18"/>
          <w:color w:val="212529"/>
        </w:rPr>
        <w:t>capital spending.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For the thirteen weeks ended March 25, 2020, net cash provided by financing activities increased by $50.6 million from the comparable period of the prior year. This increase was due primarily to an increase in net borrowings of $47.5 million on the 2018 Revolver during the thirteen weeks ended March 25, 2020, primarily as a precautionary measure to bolster our existing cash position in light of the current COVID-19 pandemic, as well as to provide for the $16.3 million litigation settlement payment. Additionally, there was a $3.0 million cash outflow related to stock buybacks in thirteen weeks ended March 27, 2019. As of March 25, 2020, we have no remaining borrowing capacity under our 2018 Revolver.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July 13, 2018, the Company entered into the 2018 Credit Agreement, which provides for the 2018 Revolver to refinance the previous 2014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8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Under the 2018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w:t>
      </w:r>
    </w:p>
    <w:p>
      <w:pPr>
        <w:spacing w:after="0" w:line="2" w:lineRule="exact"/>
        <w:rPr>
          <w:sz w:val="20"/>
          <w:szCs w:val="20"/>
          <w:color w:val="auto"/>
        </w:rPr>
      </w:pPr>
    </w:p>
    <w:p>
      <w:pPr>
        <w:ind w:right="200" w:firstLine="8"/>
        <w:spacing w:after="0" w:line="323" w:lineRule="auto"/>
        <w:tabs>
          <w:tab w:leader="none" w:pos="2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3.11% to 3.29% for the thirteen weeks ended March 25, 2020, respectively, and 3.96% to 4.01% for the thirteen weeks ended March 27, 2019.</w:t>
      </w:r>
    </w:p>
    <w:p>
      <w:pPr>
        <w:spacing w:after="0" w:line="19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The 2018 Credit Agreement contains certain financial covenants. The Company was in compliance with the financial covenants as of March 25, 2020. However, </w:t>
      </w:r>
      <w:r>
        <w:rPr>
          <w:rFonts w:ascii="Arial" w:cs="Arial" w:eastAsia="Arial" w:hAnsi="Arial"/>
          <w:sz w:val="16"/>
          <w:szCs w:val="16"/>
          <w:color w:val="212529"/>
        </w:rPr>
        <w:t>depending on the severity and longevity of the COVID-19 pandemic, the efforts taken to reduce its spread and the possibility of a resurgence of</w:t>
      </w:r>
      <w:r>
        <w:rPr>
          <w:rFonts w:ascii="Arial" w:cs="Arial" w:eastAsia="Arial" w:hAnsi="Arial"/>
          <w:sz w:val="16"/>
          <w:szCs w:val="16"/>
          <w:color w:val="auto"/>
        </w:rPr>
        <w:t xml:space="preserve"> </w:t>
      </w:r>
      <w:r>
        <w:rPr>
          <w:rFonts w:ascii="Arial" w:cs="Arial" w:eastAsia="Arial" w:hAnsi="Arial"/>
          <w:sz w:val="16"/>
          <w:szCs w:val="16"/>
          <w:color w:val="212529"/>
        </w:rPr>
        <w:t xml:space="preserve">the COVID-19 outbreak, </w:t>
      </w:r>
      <w:r>
        <w:rPr>
          <w:rFonts w:ascii="Arial" w:cs="Arial" w:eastAsia="Arial" w:hAnsi="Arial"/>
          <w:sz w:val="16"/>
          <w:szCs w:val="16"/>
          <w:color w:val="000000"/>
        </w:rPr>
        <w:t>the Company's financial performance and liquidity could be further impacted and could impact the Company's ability to comply</w:t>
      </w:r>
      <w:r>
        <w:rPr>
          <w:rFonts w:ascii="Arial" w:cs="Arial" w:eastAsia="Arial" w:hAnsi="Arial"/>
          <w:sz w:val="16"/>
          <w:szCs w:val="16"/>
          <w:color w:val="212529"/>
        </w:rPr>
        <w:t xml:space="preserve"> </w:t>
      </w:r>
      <w:r>
        <w:rPr>
          <w:rFonts w:ascii="Arial" w:cs="Arial" w:eastAsia="Arial" w:hAnsi="Arial"/>
          <w:sz w:val="16"/>
          <w:szCs w:val="16"/>
          <w:color w:val="000000"/>
        </w:rPr>
        <w:t>with certain financial covenants required in our 2018 Credit Agreement, specifically the lease-adjusted coverage ratio and fixed-charge coverage ratio.</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665" w:right="359" w:bottom="1440" w:gutter="0" w:footer="0" w:header="0"/>
        </w:sectPr>
      </w:pPr>
    </w:p>
    <w:bookmarkStart w:id="45" w:name="page46"/>
    <w:bookmarkEnd w:id="45"/>
    <w:p>
      <w:pPr>
        <w:ind w:right="120"/>
        <w:spacing w:after="0" w:line="277" w:lineRule="auto"/>
        <w:rPr>
          <w:sz w:val="20"/>
          <w:szCs w:val="20"/>
          <w:color w:val="auto"/>
        </w:rPr>
      </w:pPr>
      <w:r>
        <w:rPr>
          <w:rFonts w:ascii="Arial" w:cs="Arial" w:eastAsia="Arial" w:hAnsi="Arial"/>
          <w:sz w:val="18"/>
          <w:szCs w:val="18"/>
          <w:color w:val="auto"/>
        </w:rPr>
        <w:t>At March 25, 2020, $8.4 million of letters of credit and $141.5 million of borrowings were outstanding under the 2018 Revolver. There were $0.1 million remaining borrowings available under the 2018 Revolver at March 25, 2020.</w:t>
      </w:r>
    </w:p>
    <w:p>
      <w:pPr>
        <w:spacing w:after="0" w:line="62"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During the year ended December 25, 2019,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1.31%, plus the applicable margin spread, which is currently 1.5%. The interest rate swap matures in June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Our contractual commitments outstanding on March 25, 2020 have not changed materially since our annual report on Form 10-K for the year ended December 25, 2019 other than an increase in net borrowings of $47.5 million on the 2018 Revolver during the thirteen weeks ended March 25, 2020 and the impact of our delay in making April rent payments on the majority of our leased properties, refer to COVID-19 impact in "Overview" section above. These relate to future (i) debt payments, including expected interest expense, calculated based on current interest rates, (ii) restaurant operating lease payments, (iii) income tax receivable agreement payments, and (iv) purchasing commitments for chicken.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25, 2020 and December 25, 2019, we were using $8.4 million of borrowing capacity on the 2018 Revolver for letters of credit in support of our insurance programs.</w:t>
      </w:r>
    </w:p>
    <w:p>
      <w:pPr>
        <w:spacing w:after="0" w:line="2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Additionally, subsequent to March 25, 2020, the Company issued a $2.7 million letter of credit to support its Surety demand related to an appeal bond used to secure a judgment against the Company. See additional information presented in "Note 13 Commitments and Contingencies—Legal Matters" in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exposed to market risk from changes in the interest rate on our debt, which bears interest, at our option, at rates based on LIBOR or a base rate, plus, for each rate, a margin determined in accordance with the terms of the 2018 Credit Agreement. For LIBOR loans, the margin is in the range of 1.25% and 2.25%. As of March 25, 2020, we had outstanding borrowings of $141.5 million under our 2018 Revolver, $8.4 million of letters of credit in support of our insurance programs, and the applicable margin on outstanding borrowings under 2018 Revolver was 1.5%. In addition, there is currently uncertainty around whether LIBOR will continue to exist after 2021. If LIBOR ceases to exist, we may need to enter into an amendment to the 2018 Credit Agreement and we cannot predict what alternative index would be negotiated with our lenders. If our lenders have increased costs due to changes in LIBOR, we may experience potential increases in interest rates on our variable rate debt, which could adversely impact our interest expense, results of operations and cash flows. After giving effect to the $40.0 million of interest rate swaps, we effectively had $101.5 million of long-term debt subject to variations in interest rates and a one percent increase in the variable rate of interest would increase annual interest expense by $1.0 million.</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 To balance our portfolio,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2.81%. The interest rate swap matures in June 2023.</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665"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maintain disclosure controls and procedures (as such term is defined in Rules 13a-15(e) of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87" w:lineRule="exact"/>
        <w:rPr>
          <w:sz w:val="20"/>
          <w:szCs w:val="20"/>
          <w:color w:val="auto"/>
        </w:rPr>
      </w:pPr>
    </w:p>
    <w:p>
      <w:pPr>
        <w:jc w:val="both"/>
        <w:ind w:right="500"/>
        <w:spacing w:after="0" w:line="311" w:lineRule="auto"/>
        <w:rPr>
          <w:sz w:val="20"/>
          <w:szCs w:val="20"/>
          <w:color w:val="auto"/>
        </w:rPr>
      </w:pPr>
      <w:r>
        <w:rPr>
          <w:rFonts w:ascii="Arial" w:cs="Arial" w:eastAsia="Arial" w:hAnsi="Arial"/>
          <w:sz w:val="16"/>
          <w:szCs w:val="16"/>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at the reasonable assurance level, as of March 25,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No changes in our internal control over financial reporting occurred during the quarter ended March 25, 2020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877"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information regarding legal proceedings, see "Note 7. Commitments and Contingencies—Legal Matters" in the accompanying "Notes to Condensed Consolidated Financial Statements" in this Quarterly Report, which information is incorporated by reference into this Item 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25, 2019 filed with the SEC on March 6, 2020, except for the addition of the risk factors that immediately follow.</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12529"/>
        </w:rPr>
        <w:t>The recent outbreak of COVID-19 and measures intended to prevent its spread may have a significant negative impact on our business, sales, results of operations and financial condition.</w:t>
      </w:r>
    </w:p>
    <w:p>
      <w:pPr>
        <w:spacing w:after="0" w:line="8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212529"/>
        </w:rPr>
        <w:t>The global pandemic resulting from the outbreak of the novel coronavirus (“COVID-19”) has disrupted El Pollo Loco’s restaurant operations beginning in March 2020. In response to federal, state and local mandates (subject to exceptions for certain state and local mandates) aimed at limiting the spread of COVID-19, all of our dining rooms have closed. All of our restaurants are operating drive-thru (where available), delivery &amp; take-away services only, with some restaurants operating with limited hours</w:t>
      </w:r>
      <w:r>
        <w:rPr>
          <w:rFonts w:ascii="Arial" w:cs="Arial" w:eastAsia="Arial" w:hAnsi="Arial"/>
          <w:sz w:val="16"/>
          <w:szCs w:val="16"/>
          <w:b w:val="1"/>
          <w:bCs w:val="1"/>
          <w:color w:val="212529"/>
        </w:rPr>
        <w:t>.</w:t>
      </w:r>
      <w:r>
        <w:rPr>
          <w:rFonts w:ascii="Arial" w:cs="Arial" w:eastAsia="Arial" w:hAnsi="Arial"/>
          <w:sz w:val="16"/>
          <w:szCs w:val="16"/>
          <w:color w:val="212529"/>
        </w:rPr>
        <w:t xml:space="preserve"> Additionally, as of the date of this report, </w:t>
      </w:r>
      <w:r>
        <w:rPr>
          <w:rFonts w:ascii="Arial" w:cs="Arial" w:eastAsia="Arial" w:hAnsi="Arial"/>
          <w:sz w:val="16"/>
          <w:szCs w:val="16"/>
          <w:color w:val="000000"/>
        </w:rPr>
        <w:t>we have temporarily closed 18 restaurants, 15 of which have</w:t>
      </w:r>
      <w:r>
        <w:rPr>
          <w:rFonts w:ascii="Arial" w:cs="Arial" w:eastAsia="Arial" w:hAnsi="Arial"/>
          <w:sz w:val="16"/>
          <w:szCs w:val="16"/>
          <w:color w:val="212529"/>
        </w:rPr>
        <w:t xml:space="preserve"> </w:t>
      </w:r>
      <w:r>
        <w:rPr>
          <w:rFonts w:ascii="Arial" w:cs="Arial" w:eastAsia="Arial" w:hAnsi="Arial"/>
          <w:sz w:val="16"/>
          <w:szCs w:val="16"/>
          <w:color w:val="000000"/>
        </w:rPr>
        <w:t xml:space="preserve">reopened and 3 remain closed at this time. Similarly, franchisees have temporarily closed 12 restaurants, 8 of which have reopened and 4 remain closed at this time. </w:t>
      </w:r>
      <w:r>
        <w:rPr>
          <w:rFonts w:ascii="Arial" w:cs="Arial" w:eastAsia="Arial" w:hAnsi="Arial"/>
          <w:sz w:val="16"/>
          <w:szCs w:val="16"/>
          <w:color w:val="212529"/>
        </w:rPr>
        <w:t>Furthermore, the decrease in discretionary consumer spending as a result of the COVID-19 outbreak has materially decreased demand for our</w:t>
      </w:r>
      <w:r>
        <w:rPr>
          <w:rFonts w:ascii="Arial" w:cs="Arial" w:eastAsia="Arial" w:hAnsi="Arial"/>
          <w:sz w:val="16"/>
          <w:szCs w:val="16"/>
          <w:color w:val="000000"/>
        </w:rPr>
        <w:t xml:space="preserve"> </w:t>
      </w:r>
      <w:r>
        <w:rPr>
          <w:rFonts w:ascii="Arial" w:cs="Arial" w:eastAsia="Arial" w:hAnsi="Arial"/>
          <w:sz w:val="16"/>
          <w:szCs w:val="16"/>
          <w:color w:val="212529"/>
        </w:rPr>
        <w:t>products. This decrease in demand, as well as the actions described above, have resulted in declines in revenue and has led to us delaying April rent payments on the majority of our leased properties and we are currently negotiating rent abatement and/or deferment with our landlords for those properties.</w:t>
      </w:r>
    </w:p>
    <w:p>
      <w:pPr>
        <w:spacing w:after="0" w:line="84" w:lineRule="exact"/>
        <w:rPr>
          <w:sz w:val="20"/>
          <w:szCs w:val="20"/>
          <w:color w:val="auto"/>
        </w:rPr>
      </w:pPr>
    </w:p>
    <w:p>
      <w:pPr>
        <w:spacing w:after="0" w:line="287" w:lineRule="auto"/>
        <w:rPr>
          <w:sz w:val="20"/>
          <w:szCs w:val="20"/>
          <w:color w:val="auto"/>
        </w:rPr>
      </w:pPr>
      <w:r>
        <w:rPr>
          <w:rFonts w:ascii="Arial" w:cs="Arial" w:eastAsia="Arial" w:hAnsi="Arial"/>
          <w:sz w:val="16"/>
          <w:szCs w:val="16"/>
          <w:color w:val="212529"/>
        </w:rPr>
        <w:t xml:space="preserve">While we are not currently experiencing any supply chain or labor force shortages, our ability to maintain our supply chain and labor force may become challenging as a result of the COVID-19 pandemic. For example, if there are mandatory shutdowns in locations where our suppliers are located or if our suppliers are otherwise unable to supply us with the products we need to operate our business, we could see significant disruptions to our supply chain and our business would be negatively impacted. In addition, if we experience an outbreak of COVID-19 at a significant number of our locations that requires us to temporarily close those location for disinfection or if a large number of our employees become ill with COVID-19 and are unable to work, it may materially adversely affect our business or results of operations, and may impact our financial condition. COVID-19 may also adversely affect our ability to implement our growth plans, including delays in the opening or construction of new restaurants. As this situation is ongoing and the duration and severity of the COVID-19 pandemic is uncertain at this time, it is difficult to forecast any long-term impacts on our future operating results or predict when our operations will return to full service. However, we expect the COVID-19 pandemic to negatively impact our financial results and, depending on the severity and longevity of the COVID-19 pandemic, the efforts taken to reduce its spread and the possibility of a resurgence of the COVID-19 outbreak, such impact could </w:t>
      </w:r>
      <w:r>
        <w:rPr>
          <w:rFonts w:ascii="Arial" w:cs="Arial" w:eastAsia="Arial" w:hAnsi="Arial"/>
          <w:sz w:val="16"/>
          <w:szCs w:val="16"/>
          <w:color w:val="424242"/>
        </w:rPr>
        <w:t>impact our asset values, including goodwill, derivative instruments and long-lived assets, as well as our ability to meet certain covenant</w:t>
      </w:r>
      <w:r>
        <w:rPr>
          <w:rFonts w:ascii="Arial" w:cs="Arial" w:eastAsia="Arial" w:hAnsi="Arial"/>
          <w:sz w:val="16"/>
          <w:szCs w:val="16"/>
          <w:color w:val="212529"/>
        </w:rPr>
        <w:t xml:space="preserve"> </w:t>
      </w:r>
      <w:r>
        <w:rPr>
          <w:rFonts w:ascii="Arial" w:cs="Arial" w:eastAsia="Arial" w:hAnsi="Arial"/>
          <w:sz w:val="16"/>
          <w:szCs w:val="16"/>
          <w:color w:val="424242"/>
        </w:rPr>
        <w:t xml:space="preserve">provisions in our debt arrangements in future periods </w:t>
      </w:r>
      <w:r>
        <w:rPr>
          <w:rFonts w:ascii="Arial" w:cs="Arial" w:eastAsia="Arial" w:hAnsi="Arial"/>
          <w:sz w:val="16"/>
          <w:szCs w:val="16"/>
          <w:color w:val="212529"/>
        </w:rPr>
        <w:t>and have a material adverse effect on our financial results, future operations and liquidity.</w:t>
      </w:r>
    </w:p>
    <w:p>
      <w:pPr>
        <w:spacing w:after="0" w:line="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12529"/>
        </w:rPr>
        <w:t>Even after the COVID-19 pandemic has subsided, we may continue to experience negative impacts to our financial results due to COVID-19’s global economic impact, including the availability of credit generally, adverse impacts on our liquidity, and/or decreases in consumer discretionary spending that depress demand for our products. The global effects of the pandemic may also contribute to an economic slowdown or recession now or in the near-term future. Risks related to the impact of an economic downturn are described in our risk factors titled, “</w:t>
      </w:r>
      <w:r>
        <w:rPr>
          <w:rFonts w:ascii="Arial" w:cs="Arial" w:eastAsia="Arial" w:hAnsi="Arial"/>
          <w:sz w:val="16"/>
          <w:szCs w:val="16"/>
          <w:b w:val="1"/>
          <w:bCs w:val="1"/>
          <w:i w:val="1"/>
          <w:iCs w:val="1"/>
          <w:color w:val="212529"/>
        </w:rPr>
        <w:t>A prolonged economic downturn could materially</w:t>
      </w:r>
      <w:r>
        <w:rPr>
          <w:rFonts w:ascii="Arial" w:cs="Arial" w:eastAsia="Arial" w:hAnsi="Arial"/>
          <w:sz w:val="16"/>
          <w:szCs w:val="16"/>
          <w:color w:val="212529"/>
        </w:rPr>
        <w:t xml:space="preserve"> </w:t>
      </w:r>
      <w:r>
        <w:rPr>
          <w:rFonts w:ascii="Arial" w:cs="Arial" w:eastAsia="Arial" w:hAnsi="Arial"/>
          <w:sz w:val="16"/>
          <w:szCs w:val="16"/>
          <w:b w:val="1"/>
          <w:bCs w:val="1"/>
          <w:i w:val="1"/>
          <w:iCs w:val="1"/>
          <w:color w:val="212529"/>
        </w:rPr>
        <w:t>affect us in the future</w:t>
      </w:r>
      <w:r>
        <w:rPr>
          <w:rFonts w:ascii="Arial" w:cs="Arial" w:eastAsia="Arial" w:hAnsi="Arial"/>
          <w:sz w:val="16"/>
          <w:szCs w:val="16"/>
          <w:color w:val="212529"/>
        </w:rPr>
        <w:t>” and “</w:t>
      </w:r>
      <w:r>
        <w:rPr>
          <w:rFonts w:ascii="Arial" w:cs="Arial" w:eastAsia="Arial" w:hAnsi="Arial"/>
          <w:sz w:val="16"/>
          <w:szCs w:val="16"/>
          <w:b w:val="1"/>
          <w:bCs w:val="1"/>
          <w:i w:val="1"/>
          <w:iCs w:val="1"/>
          <w:color w:val="212529"/>
        </w:rPr>
        <w:t>We are vulnerable to changes in consumer preferences and economic conditions that could harm our business, financial condition, results of operations, and cash flow</w:t>
      </w:r>
      <w:r>
        <w:rPr>
          <w:rFonts w:ascii="Arial" w:cs="Arial" w:eastAsia="Arial" w:hAnsi="Arial"/>
          <w:sz w:val="16"/>
          <w:szCs w:val="16"/>
          <w:color w:val="212529"/>
        </w:rPr>
        <w:t>” under “Risk Factors - Risks Related to our Business and Industry” in our Annual Report on Form 10-K for</w:t>
      </w:r>
      <w:r>
        <w:rPr>
          <w:rFonts w:ascii="Arial" w:cs="Arial" w:eastAsia="Arial" w:hAnsi="Arial"/>
          <w:sz w:val="16"/>
          <w:szCs w:val="16"/>
          <w:b w:val="1"/>
          <w:bCs w:val="1"/>
          <w:i w:val="1"/>
          <w:iCs w:val="1"/>
          <w:color w:val="212529"/>
        </w:rPr>
        <w:t xml:space="preserve"> </w:t>
      </w:r>
      <w:r>
        <w:rPr>
          <w:rFonts w:ascii="Arial" w:cs="Arial" w:eastAsia="Arial" w:hAnsi="Arial"/>
          <w:sz w:val="16"/>
          <w:szCs w:val="16"/>
          <w:color w:val="212529"/>
        </w:rPr>
        <w:t xml:space="preserve">the year ended December 25, 2019. </w:t>
      </w:r>
      <w:r>
        <w:rPr>
          <w:rFonts w:ascii="Arial" w:cs="Arial" w:eastAsia="Arial" w:hAnsi="Arial"/>
          <w:sz w:val="16"/>
          <w:szCs w:val="16"/>
          <w:color w:val="000000"/>
        </w:rPr>
        <w:t>In addition, even after the COVID-19 pandemic has subsided, the perceived risk of infection or concern of a resurgence</w:t>
      </w:r>
      <w:r>
        <w:rPr>
          <w:rFonts w:ascii="Arial" w:cs="Arial" w:eastAsia="Arial" w:hAnsi="Arial"/>
          <w:sz w:val="16"/>
          <w:szCs w:val="16"/>
          <w:color w:val="212529"/>
        </w:rPr>
        <w:t xml:space="preserve"> </w:t>
      </w:r>
      <w:r>
        <w:rPr>
          <w:rFonts w:ascii="Arial" w:cs="Arial" w:eastAsia="Arial" w:hAnsi="Arial"/>
          <w:sz w:val="16"/>
          <w:szCs w:val="16"/>
          <w:color w:val="000000"/>
        </w:rPr>
        <w:t>of the COVID-19 outbreak may continue to adversely affect traffic to our restaurants and, in turn, may have a material adverse effect on our business, liquidity, financial condition and results of operations, particularly if there is an actual recurrence of the COVID-19 virus.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resale of shares of common stock currently held by Trimaran Pollo Partners, L.L.C. could adversely affect the market price of our common stock.</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553" w:right="339" w:bottom="1440" w:gutter="0" w:footer="0" w:header="0"/>
        </w:sectPr>
      </w:pPr>
    </w:p>
    <w:bookmarkStart w:id="48" w:name="page49"/>
    <w:bookmarkEnd w:id="48"/>
    <w:p>
      <w:pPr>
        <w:spacing w:after="0" w:line="273" w:lineRule="auto"/>
        <w:rPr>
          <w:sz w:val="20"/>
          <w:szCs w:val="20"/>
          <w:color w:val="auto"/>
        </w:rPr>
      </w:pPr>
      <w:r>
        <w:rPr>
          <w:rFonts w:ascii="Arial" w:cs="Arial" w:eastAsia="Arial" w:hAnsi="Arial"/>
          <w:sz w:val="17"/>
          <w:szCs w:val="17"/>
          <w:color w:val="auto"/>
        </w:rPr>
        <w:t>Our largest stockholder, Trimaran Pollo Partners, L.L.C. (the “LLC”), holds 16,746,544 shares, or approximately 47.7%, of our outstanding common stock as of the date of this report. Members of the LLC include affiliates of Trimaran and Freeman Spogli. Pursuant to the terms of the LLC’s limited liability company operating agreement (the “LLC Agreement”), the LLC agreement can terminate, in which case the LLC will begin the process of dissolving and winding up its affairs, at the earlier of (i) the election of the managing member, or (ii) six years following the completion of our initial public offering, or July 27, 2020. We expect the dissolution and winding up of the LLC to begin on July 27, 2020. If all or a substantial portion of these shares are resold into the public markets, or if it is perceived that they will be resold, the trading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of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60"/>
          </w:cols>
          <w:pgMar w:left="320" w:top="557" w:right="4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gridSpan w:val="2"/>
            <w:vMerge w:val="restart"/>
          </w:tcPr>
          <w:p>
            <w:pPr>
              <w:spacing w:after="0"/>
              <w:rPr>
                <w:sz w:val="20"/>
                <w:szCs w:val="20"/>
                <w:color w:val="auto"/>
              </w:rPr>
            </w:pPr>
            <w:r>
              <w:rPr>
                <w:rFonts w:ascii="Arial" w:cs="Arial" w:eastAsia="Arial" w:hAnsi="Arial"/>
                <w:sz w:val="14"/>
                <w:szCs w:val="14"/>
                <w:color w:val="auto"/>
              </w:rPr>
              <w:t>Number</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60" w:type="dxa"/>
            <w:vAlign w:val="bottom"/>
            <w:gridSpan w:val="12"/>
            <w:vMerge w:val="restart"/>
          </w:tcPr>
          <w:p>
            <w:pPr>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tcPr>
          <w:p>
            <w:pPr>
              <w:jc w:val="center"/>
              <w:ind w:right="220"/>
              <w:spacing w:after="0"/>
              <w:rPr>
                <w:sz w:val="20"/>
                <w:szCs w:val="20"/>
                <w:color w:val="auto"/>
              </w:rPr>
            </w:pPr>
            <w:r>
              <w:rPr>
                <w:rFonts w:ascii="Arial" w:cs="Arial" w:eastAsia="Arial" w:hAnsi="Arial"/>
                <w:sz w:val="14"/>
                <w:szCs w:val="14"/>
                <w:color w:val="auto"/>
                <w:w w:val="98"/>
              </w:rPr>
              <w:t>Filed</w:t>
            </w:r>
          </w:p>
        </w:tc>
        <w:tc>
          <w:tcPr>
            <w:tcW w:w="600" w:type="dxa"/>
            <w:vAlign w:val="bottom"/>
            <w:gridSpan w:val="3"/>
            <w:vMerge w:val="restart"/>
          </w:tcPr>
          <w:p>
            <w:pPr>
              <w:ind w:left="200"/>
              <w:spacing w:after="0"/>
              <w:rPr>
                <w:sz w:val="20"/>
                <w:szCs w:val="20"/>
                <w:color w:val="auto"/>
              </w:rPr>
            </w:pPr>
            <w:r>
              <w:rPr>
                <w:rFonts w:ascii="Arial" w:cs="Arial" w:eastAsia="Arial" w:hAnsi="Arial"/>
                <w:sz w:val="14"/>
                <w:szCs w:val="14"/>
                <w:color w:val="auto"/>
              </w:rPr>
              <w:t>Form</w:t>
            </w:r>
          </w:p>
        </w:tc>
        <w:tc>
          <w:tcPr>
            <w:tcW w:w="1100" w:type="dxa"/>
            <w:vAlign w:val="bottom"/>
            <w:gridSpan w:val="3"/>
            <w:vMerge w:val="restart"/>
          </w:tcPr>
          <w:p>
            <w:pPr>
              <w:ind w:left="220"/>
              <w:spacing w:after="0"/>
              <w:rPr>
                <w:sz w:val="20"/>
                <w:szCs w:val="20"/>
                <w:color w:val="auto"/>
              </w:rPr>
            </w:pPr>
            <w:r>
              <w:rPr>
                <w:rFonts w:ascii="Arial" w:cs="Arial" w:eastAsia="Arial" w:hAnsi="Arial"/>
                <w:sz w:val="14"/>
                <w:szCs w:val="14"/>
                <w:color w:val="auto"/>
              </w:rPr>
              <w:t>Period Ended</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Exhibit</w:t>
            </w:r>
          </w:p>
        </w:tc>
        <w:tc>
          <w:tcPr>
            <w:tcW w:w="960" w:type="dxa"/>
            <w:vAlign w:val="bottom"/>
            <w:gridSpan w:val="3"/>
            <w:vMerge w:val="restart"/>
          </w:tcPr>
          <w:p>
            <w:pPr>
              <w:ind w:left="240"/>
              <w:spacing w:after="0"/>
              <w:rPr>
                <w:sz w:val="20"/>
                <w:szCs w:val="20"/>
                <w:color w:val="auto"/>
              </w:rPr>
            </w:pPr>
            <w:r>
              <w:rPr>
                <w:rFonts w:ascii="Arial" w:cs="Arial" w:eastAsia="Arial" w:hAnsi="Arial"/>
                <w:sz w:val="14"/>
                <w:szCs w:val="14"/>
                <w:color w:val="auto"/>
              </w:rPr>
              <w:t>Filing Date</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color w:val="auto"/>
              </w:rPr>
              <w:t>SEC File Number</w:t>
            </w:r>
          </w:p>
        </w:tc>
        <w:tc>
          <w:tcPr>
            <w:tcW w:w="0" w:type="dxa"/>
            <w:vAlign w:val="bottom"/>
          </w:tcPr>
          <w:p>
            <w:pPr>
              <w:spacing w:after="0"/>
              <w:rPr>
                <w:sz w:val="1"/>
                <w:szCs w:val="1"/>
                <w:color w:val="auto"/>
              </w:rPr>
            </w:pPr>
          </w:p>
        </w:tc>
      </w:tr>
      <w:tr>
        <w:trPr>
          <w:trHeight w:val="128"/>
        </w:trPr>
        <w:tc>
          <w:tcPr>
            <w:tcW w:w="9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760" w:type="dxa"/>
            <w:vAlign w:val="bottom"/>
            <w:gridSpan w:val="1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5"/>
              </w:rPr>
              <w:t>Herewith</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4520" w:type="dxa"/>
            <w:vAlign w:val="bottom"/>
            <w:tcBorders>
              <w:bottom w:val="single" w:sz="8" w:color="0000FF"/>
            </w:tcBorders>
            <w:gridSpan w:val="11"/>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Amended and Restated Certificate of Incorporation of El Pollo</w:t>
              </w:r>
            </w:hyperlink>
          </w:p>
        </w:tc>
        <w:tc>
          <w:tcPr>
            <w:tcW w:w="24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Loco Holdings, Inc.</w:t>
              </w:r>
            </w:hyperlink>
          </w:p>
        </w:tc>
        <w:tc>
          <w:tcPr>
            <w:tcW w:w="332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10-Q</w:t>
            </w:r>
          </w:p>
        </w:tc>
        <w:tc>
          <w:tcPr>
            <w:tcW w:w="10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7"/>
              </w:rPr>
              <w:t>6/25/2014</w:t>
            </w:r>
          </w:p>
        </w:tc>
        <w:tc>
          <w:tcPr>
            <w:tcW w:w="100" w:type="dxa"/>
            <w:vAlign w:val="bottom"/>
          </w:tcPr>
          <w:p>
            <w:pPr>
              <w:spacing w:after="0"/>
              <w:rPr>
                <w:sz w:val="17"/>
                <w:szCs w:val="17"/>
                <w:color w:val="auto"/>
              </w:rPr>
            </w:pPr>
          </w:p>
        </w:tc>
        <w:tc>
          <w:tcPr>
            <w:tcW w:w="6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3.1</w:t>
            </w:r>
          </w:p>
        </w:tc>
        <w:tc>
          <w:tcPr>
            <w:tcW w:w="8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9/5/2014</w:t>
            </w:r>
          </w:p>
        </w:tc>
        <w:tc>
          <w:tcPr>
            <w:tcW w:w="80" w:type="dxa"/>
            <w:vAlign w:val="bottom"/>
          </w:tcPr>
          <w:p>
            <w:pPr>
              <w:spacing w:after="0"/>
              <w:rPr>
                <w:sz w:val="17"/>
                <w:szCs w:val="17"/>
                <w:color w:val="auto"/>
              </w:rPr>
            </w:pPr>
          </w:p>
        </w:tc>
        <w:tc>
          <w:tcPr>
            <w:tcW w:w="12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w w:val="95"/>
              </w:rPr>
              <w:t>001-36556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4760" w:type="dxa"/>
            <w:vAlign w:val="bottom"/>
            <w:gridSpan w:val="15"/>
          </w:tcPr>
          <w:p>
            <w:pPr>
              <w:spacing w:after="0"/>
              <w:rPr>
                <w:rFonts w:ascii="Arial" w:cs="Arial" w:eastAsia="Arial" w:hAnsi="Arial"/>
                <w:sz w:val="18"/>
                <w:szCs w:val="18"/>
                <w:color w:val="0000FF"/>
              </w:rPr>
            </w:pPr>
            <w:hyperlink r:id="rId24">
              <w:r>
                <w:rPr>
                  <w:rFonts w:ascii="Arial" w:cs="Arial" w:eastAsia="Arial" w:hAnsi="Arial"/>
                  <w:sz w:val="18"/>
                  <w:szCs w:val="18"/>
                  <w:color w:val="0000FF"/>
                </w:rPr>
                <w:t>Amended and Restated By-Laws of El Pollo Loco Holdings,</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24">
              <w:r>
                <w:rPr>
                  <w:rFonts w:ascii="Arial" w:cs="Arial" w:eastAsia="Arial" w:hAnsi="Arial"/>
                  <w:sz w:val="18"/>
                  <w:szCs w:val="18"/>
                  <w:color w:val="0000FF"/>
                  <w:w w:val="89"/>
                </w:rPr>
                <w:t>Inc.</w:t>
              </w:r>
            </w:hyperlink>
          </w:p>
        </w:tc>
        <w:tc>
          <w:tcPr>
            <w:tcW w:w="4080" w:type="dxa"/>
            <w:vAlign w:val="bottom"/>
            <w:tcBorders>
              <w:top w:val="single" w:sz="8" w:color="0000FF"/>
            </w:tcBorders>
            <w:gridSpan w:val="9"/>
          </w:tcPr>
          <w:p>
            <w:pPr>
              <w:spacing w:after="0"/>
              <w:rPr>
                <w:sz w:val="17"/>
                <w:szCs w:val="17"/>
                <w:color w:val="auto"/>
              </w:rPr>
            </w:pPr>
          </w:p>
        </w:tc>
        <w:tc>
          <w:tcPr>
            <w:tcW w:w="40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10-Q</w:t>
            </w:r>
          </w:p>
        </w:tc>
        <w:tc>
          <w:tcPr>
            <w:tcW w:w="10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7"/>
              </w:rPr>
              <w:t>6/25/2014</w:t>
            </w:r>
          </w:p>
        </w:tc>
        <w:tc>
          <w:tcPr>
            <w:tcW w:w="100" w:type="dxa"/>
            <w:vAlign w:val="bottom"/>
          </w:tcPr>
          <w:p>
            <w:pPr>
              <w:spacing w:after="0"/>
              <w:rPr>
                <w:sz w:val="17"/>
                <w:szCs w:val="17"/>
                <w:color w:val="auto"/>
              </w:rPr>
            </w:pPr>
          </w:p>
        </w:tc>
        <w:tc>
          <w:tcPr>
            <w:tcW w:w="6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3.2</w:t>
            </w:r>
          </w:p>
        </w:tc>
        <w:tc>
          <w:tcPr>
            <w:tcW w:w="8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9/5/2014</w:t>
            </w:r>
          </w:p>
        </w:tc>
        <w:tc>
          <w:tcPr>
            <w:tcW w:w="80" w:type="dxa"/>
            <w:vAlign w:val="bottom"/>
          </w:tcPr>
          <w:p>
            <w:pPr>
              <w:spacing w:after="0"/>
              <w:rPr>
                <w:sz w:val="17"/>
                <w:szCs w:val="17"/>
                <w:color w:val="auto"/>
              </w:rPr>
            </w:pPr>
          </w:p>
        </w:tc>
        <w:tc>
          <w:tcPr>
            <w:tcW w:w="12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w w:val="95"/>
              </w:rPr>
              <w:t>001-36556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4760" w:type="dxa"/>
            <w:vAlign w:val="bottom"/>
            <w:gridSpan w:val="15"/>
          </w:tcPr>
          <w:p>
            <w:pPr>
              <w:spacing w:after="0"/>
              <w:rPr>
                <w:rFonts w:ascii="Arial" w:cs="Arial" w:eastAsia="Arial" w:hAnsi="Arial"/>
                <w:sz w:val="18"/>
                <w:szCs w:val="18"/>
                <w:color w:val="0000FF"/>
                <w:w w:val="97"/>
              </w:rPr>
            </w:pPr>
            <w:hyperlink w:anchor="page52">
              <w:r>
                <w:rPr>
                  <w:rFonts w:ascii="Arial" w:cs="Arial" w:eastAsia="Arial" w:hAnsi="Arial"/>
                  <w:sz w:val="18"/>
                  <w:szCs w:val="18"/>
                  <w:color w:val="0000FF"/>
                  <w:w w:val="97"/>
                </w:rPr>
                <w:t>Severance Agreement and General Release between Hector</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52">
              <w:r>
                <w:rPr>
                  <w:rFonts w:ascii="Arial" w:cs="Arial" w:eastAsia="Arial" w:hAnsi="Arial"/>
                  <w:sz w:val="18"/>
                  <w:szCs w:val="18"/>
                  <w:color w:val="0000FF"/>
                </w:rPr>
                <w:t>Muñoz and El Pollo Loco, Inc.</w:t>
              </w:r>
            </w:hyperlink>
          </w:p>
        </w:tc>
        <w:tc>
          <w:tcPr>
            <w:tcW w:w="48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center"/>
              <w:ind w:right="220"/>
              <w:spacing w:after="0" w:line="196" w:lineRule="exact"/>
              <w:rPr>
                <w:sz w:val="20"/>
                <w:szCs w:val="20"/>
                <w:color w:val="auto"/>
              </w:rPr>
            </w:pPr>
            <w:r>
              <w:rPr>
                <w:rFonts w:ascii="Arial" w:cs="Arial" w:eastAsia="Arial" w:hAnsi="Arial"/>
                <w:sz w:val="18"/>
                <w:szCs w:val="18"/>
                <w:color w:val="auto"/>
              </w:rPr>
              <w:t>X</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4660" w:type="dxa"/>
            <w:vAlign w:val="bottom"/>
            <w:tcBorders>
              <w:bottom w:val="single" w:sz="8" w:color="0000FF"/>
            </w:tcBorders>
            <w:gridSpan w:val="14"/>
          </w:tcPr>
          <w:p>
            <w:pPr>
              <w:spacing w:after="0"/>
              <w:rPr>
                <w:rFonts w:ascii="Arial" w:cs="Arial" w:eastAsia="Arial" w:hAnsi="Arial"/>
                <w:sz w:val="18"/>
                <w:szCs w:val="18"/>
                <w:color w:val="0000FF"/>
                <w:w w:val="93"/>
              </w:rPr>
            </w:pPr>
            <w:hyperlink w:anchor="page60">
              <w:r>
                <w:rPr>
                  <w:rFonts w:ascii="Arial" w:cs="Arial" w:eastAsia="Arial" w:hAnsi="Arial"/>
                  <w:sz w:val="18"/>
                  <w:szCs w:val="18"/>
                  <w:color w:val="0000FF"/>
                  <w:w w:val="93"/>
                </w:rPr>
                <w:t>Certification of Principal Executive Officer under section 302 of</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w:anchor="page60">
              <w:r>
                <w:rPr>
                  <w:rFonts w:ascii="Arial" w:cs="Arial" w:eastAsia="Arial" w:hAnsi="Arial"/>
                  <w:sz w:val="18"/>
                  <w:szCs w:val="18"/>
                  <w:color w:val="0000FF"/>
                  <w:w w:val="90"/>
                </w:rPr>
                <w:t>the Sarbanes–Oxley Act of 2002</w:t>
              </w:r>
            </w:hyperlink>
          </w:p>
        </w:tc>
        <w:tc>
          <w:tcPr>
            <w:tcW w:w="240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center"/>
              <w:ind w:right="220"/>
              <w:spacing w:after="0" w:line="196" w:lineRule="exact"/>
              <w:rPr>
                <w:sz w:val="20"/>
                <w:szCs w:val="20"/>
                <w:color w:val="auto"/>
              </w:rPr>
            </w:pPr>
            <w:r>
              <w:rPr>
                <w:rFonts w:ascii="Arial" w:cs="Arial" w:eastAsia="Arial" w:hAnsi="Arial"/>
                <w:sz w:val="18"/>
                <w:szCs w:val="18"/>
                <w:color w:val="auto"/>
              </w:rPr>
              <w:t>X</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4600" w:type="dxa"/>
            <w:vAlign w:val="bottom"/>
            <w:tcBorders>
              <w:bottom w:val="single" w:sz="8" w:color="0000FF"/>
            </w:tcBorders>
            <w:gridSpan w:val="12"/>
          </w:tcPr>
          <w:p>
            <w:pPr>
              <w:spacing w:after="0"/>
              <w:rPr>
                <w:rFonts w:ascii="Arial" w:cs="Arial" w:eastAsia="Arial" w:hAnsi="Arial"/>
                <w:sz w:val="18"/>
                <w:szCs w:val="18"/>
                <w:color w:val="0000FF"/>
                <w:w w:val="93"/>
              </w:rPr>
            </w:pPr>
            <w:hyperlink w:anchor="page61">
              <w:r>
                <w:rPr>
                  <w:rFonts w:ascii="Arial" w:cs="Arial" w:eastAsia="Arial" w:hAnsi="Arial"/>
                  <w:sz w:val="18"/>
                  <w:szCs w:val="18"/>
                  <w:color w:val="0000FF"/>
                  <w:w w:val="93"/>
                </w:rPr>
                <w:t>Certification of Principal Financial Officer under section 302 of</w:t>
              </w:r>
            </w:hyperlink>
          </w:p>
        </w:tc>
        <w:tc>
          <w:tcPr>
            <w:tcW w:w="1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center"/>
              <w:ind w:right="220"/>
              <w:spacing w:after="0"/>
              <w:rPr>
                <w:sz w:val="20"/>
                <w:szCs w:val="20"/>
                <w:color w:val="auto"/>
              </w:rPr>
            </w:pPr>
            <w:r>
              <w:rPr>
                <w:rFonts w:ascii="Arial" w:cs="Arial" w:eastAsia="Arial" w:hAnsi="Arial"/>
                <w:sz w:val="18"/>
                <w:szCs w:val="18"/>
                <w:color w:val="auto"/>
              </w:rPr>
              <w:t>X</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60" w:type="dxa"/>
            <w:vAlign w:val="bottom"/>
            <w:gridSpan w:val="15"/>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the Sarbanes–Oxley Act of 2002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434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62">
              <w:r>
                <w:rPr>
                  <w:rFonts w:ascii="Arial" w:cs="Arial" w:eastAsia="Arial" w:hAnsi="Arial"/>
                  <w:sz w:val="18"/>
                  <w:szCs w:val="18"/>
                  <w:color w:val="0000FF"/>
                  <w:w w:val="93"/>
                </w:rPr>
                <w:t>Certification of Chief Executive Officer and Chief Financial</w:t>
              </w:r>
            </w:hyperlink>
          </w:p>
        </w:tc>
        <w:tc>
          <w:tcPr>
            <w:tcW w:w="420" w:type="dxa"/>
            <w:vAlign w:val="bottom"/>
            <w:gridSpan w:val="6"/>
          </w:tcPr>
          <w:p>
            <w:pPr>
              <w:spacing w:after="0"/>
              <w:rPr>
                <w:sz w:val="24"/>
                <w:szCs w:val="24"/>
                <w:color w:val="auto"/>
              </w:rPr>
            </w:pPr>
          </w:p>
        </w:tc>
        <w:tc>
          <w:tcPr>
            <w:tcW w:w="540" w:type="dxa"/>
            <w:vAlign w:val="bottom"/>
            <w:gridSpan w:val="3"/>
          </w:tcPr>
          <w:p>
            <w:pPr>
              <w:jc w:val="center"/>
              <w:ind w:lef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w:anchor="page62">
              <w:r>
                <w:rPr>
                  <w:rFonts w:ascii="Arial" w:cs="Arial" w:eastAsia="Arial" w:hAnsi="Arial"/>
                  <w:sz w:val="18"/>
                  <w:szCs w:val="18"/>
                  <w:color w:val="0000FF"/>
                  <w:w w:val="90"/>
                </w:rPr>
                <w:t>Officer under 18 U.S.C. section 1350, adopted by section 906 of</w:t>
              </w:r>
            </w:hyperlink>
          </w:p>
        </w:tc>
        <w:tc>
          <w:tcPr>
            <w:tcW w:w="1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60" w:type="dxa"/>
            <w:vAlign w:val="bottom"/>
            <w:gridSpan w:val="15"/>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the Sarbanes–Oxley Act of 2002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3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242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center"/>
              <w:ind w:right="220"/>
              <w:spacing w:after="0"/>
              <w:rPr>
                <w:sz w:val="20"/>
                <w:szCs w:val="20"/>
                <w:color w:val="auto"/>
              </w:rPr>
            </w:pPr>
            <w:r>
              <w:rPr>
                <w:rFonts w:ascii="Arial" w:cs="Arial" w:eastAsia="Arial" w:hAnsi="Arial"/>
                <w:sz w:val="18"/>
                <w:szCs w:val="18"/>
                <w:color w:val="auto"/>
              </w:rPr>
              <w:t>X</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76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center"/>
              <w:ind w:right="220"/>
              <w:spacing w:after="0"/>
              <w:rPr>
                <w:sz w:val="20"/>
                <w:szCs w:val="20"/>
                <w:color w:val="auto"/>
              </w:rPr>
            </w:pPr>
            <w:r>
              <w:rPr>
                <w:rFonts w:ascii="Arial" w:cs="Arial" w:eastAsia="Arial" w:hAnsi="Arial"/>
                <w:sz w:val="18"/>
                <w:szCs w:val="18"/>
                <w:color w:val="auto"/>
              </w:rPr>
              <w:t>X</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760" w:type="dxa"/>
            <w:vAlign w:val="bottom"/>
            <w:gridSpan w:val="15"/>
          </w:tcPr>
          <w:p>
            <w:pPr>
              <w:spacing w:after="0"/>
              <w:rPr>
                <w:sz w:val="20"/>
                <w:szCs w:val="20"/>
                <w:color w:val="auto"/>
              </w:rPr>
            </w:pPr>
            <w:r>
              <w:rPr>
                <w:rFonts w:ascii="Arial" w:cs="Arial" w:eastAsia="Arial" w:hAnsi="Arial"/>
                <w:sz w:val="18"/>
                <w:szCs w:val="18"/>
                <w:color w:val="auto"/>
                <w:w w:val="99"/>
              </w:rPr>
              <w:t>XBRL Taxonomy Extension Calculation Linkbase Document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center"/>
              <w:ind w:right="220"/>
              <w:spacing w:after="0"/>
              <w:rPr>
                <w:sz w:val="20"/>
                <w:szCs w:val="20"/>
                <w:color w:val="auto"/>
              </w:rPr>
            </w:pPr>
            <w:r>
              <w:rPr>
                <w:rFonts w:ascii="Arial" w:cs="Arial" w:eastAsia="Arial" w:hAnsi="Arial"/>
                <w:sz w:val="18"/>
                <w:szCs w:val="18"/>
                <w:color w:val="auto"/>
              </w:rPr>
              <w:t>X</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76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center"/>
              <w:ind w:right="220"/>
              <w:spacing w:after="0"/>
              <w:rPr>
                <w:sz w:val="20"/>
                <w:szCs w:val="20"/>
                <w:color w:val="auto"/>
              </w:rPr>
            </w:pPr>
            <w:r>
              <w:rPr>
                <w:rFonts w:ascii="Arial" w:cs="Arial" w:eastAsia="Arial" w:hAnsi="Arial"/>
                <w:sz w:val="18"/>
                <w:szCs w:val="18"/>
                <w:color w:val="auto"/>
              </w:rPr>
              <w:t>X</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76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center"/>
              <w:ind w:right="220"/>
              <w:spacing w:after="0"/>
              <w:rPr>
                <w:sz w:val="20"/>
                <w:szCs w:val="20"/>
                <w:color w:val="auto"/>
              </w:rPr>
            </w:pPr>
            <w:r>
              <w:rPr>
                <w:rFonts w:ascii="Arial" w:cs="Arial" w:eastAsia="Arial" w:hAnsi="Arial"/>
                <w:sz w:val="18"/>
                <w:szCs w:val="18"/>
                <w:color w:val="auto"/>
              </w:rPr>
              <w:t>X</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760" w:type="dxa"/>
            <w:vAlign w:val="bottom"/>
            <w:gridSpan w:val="15"/>
          </w:tcPr>
          <w:p>
            <w:pPr>
              <w:spacing w:after="0"/>
              <w:rPr>
                <w:sz w:val="20"/>
                <w:szCs w:val="20"/>
                <w:color w:val="auto"/>
              </w:rPr>
            </w:pPr>
            <w:r>
              <w:rPr>
                <w:rFonts w:ascii="Arial" w:cs="Arial" w:eastAsia="Arial" w:hAnsi="Arial"/>
                <w:sz w:val="18"/>
                <w:szCs w:val="18"/>
                <w:color w:val="auto"/>
                <w:w w:val="96"/>
              </w:rPr>
              <w:t>XBRL Taxonomy Extension Presentation Linkbase Document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center"/>
              <w:ind w:right="220"/>
              <w:spacing w:after="0"/>
              <w:rPr>
                <w:sz w:val="20"/>
                <w:szCs w:val="20"/>
                <w:color w:val="auto"/>
              </w:rPr>
            </w:pPr>
            <w:r>
              <w:rPr>
                <w:rFonts w:ascii="Arial" w:cs="Arial" w:eastAsia="Arial" w:hAnsi="Arial"/>
                <w:sz w:val="18"/>
                <w:szCs w:val="18"/>
                <w:color w:val="auto"/>
              </w:rPr>
              <w:t>X</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652"/>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877"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El Pollo Loco Holdings, Inc.</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67"/>
        </w:trPr>
        <w:tc>
          <w:tcPr>
            <w:tcW w:w="3260" w:type="dxa"/>
            <w:vAlign w:val="bottom"/>
          </w:tcPr>
          <w:p>
            <w:pPr>
              <w:spacing w:after="0"/>
              <w:rPr>
                <w:sz w:val="20"/>
                <w:szCs w:val="20"/>
                <w:color w:val="auto"/>
              </w:rPr>
            </w:pPr>
            <w:r>
              <w:rPr>
                <w:rFonts w:ascii="Arial" w:cs="Arial" w:eastAsia="Arial" w:hAnsi="Arial"/>
                <w:sz w:val="18"/>
                <w:szCs w:val="18"/>
                <w:color w:val="auto"/>
              </w:rPr>
              <w:t>May 1, 2020</w:t>
            </w:r>
          </w:p>
        </w:tc>
        <w:tc>
          <w:tcPr>
            <w:tcW w:w="300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/s/ Bernard Acoca</w:t>
            </w:r>
          </w:p>
        </w:tc>
        <w:tc>
          <w:tcPr>
            <w:tcW w:w="0" w:type="dxa"/>
            <w:vAlign w:val="bottom"/>
          </w:tcPr>
          <w:p>
            <w:pPr>
              <w:spacing w:after="0"/>
              <w:rPr>
                <w:sz w:val="1"/>
                <w:szCs w:val="1"/>
                <w:color w:val="auto"/>
              </w:rPr>
            </w:pPr>
          </w:p>
        </w:tc>
      </w:tr>
      <w:tr>
        <w:trPr>
          <w:trHeight w:val="27"/>
        </w:trPr>
        <w:tc>
          <w:tcPr>
            <w:tcW w:w="326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300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60" w:type="dxa"/>
            <w:vAlign w:val="bottom"/>
            <w:vMerge w:val="continue"/>
          </w:tcPr>
          <w:p>
            <w:pPr>
              <w:spacing w:after="0"/>
              <w:rPr>
                <w:sz w:val="20"/>
                <w:szCs w:val="20"/>
                <w:color w:val="auto"/>
              </w:rPr>
            </w:pPr>
          </w:p>
        </w:tc>
        <w:tc>
          <w:tcPr>
            <w:tcW w:w="30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Bernard Acoca</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940" w:type="dxa"/>
            <w:vAlign w:val="bottom"/>
          </w:tcPr>
          <w:p>
            <w:pPr>
              <w:ind w:left="80"/>
              <w:spacing w:after="0"/>
              <w:rPr>
                <w:sz w:val="20"/>
                <w:szCs w:val="20"/>
                <w:color w:val="auto"/>
              </w:rPr>
            </w:pPr>
            <w:r>
              <w:rPr>
                <w:rFonts w:ascii="Arial" w:cs="Arial" w:eastAsia="Arial" w:hAnsi="Arial"/>
                <w:sz w:val="18"/>
                <w:szCs w:val="18"/>
                <w:i w:val="1"/>
                <w:iCs w:val="1"/>
                <w:color w:val="auto"/>
              </w:rPr>
              <w:t>(duly authorized officer)</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May 1, 2020</w:t>
            </w:r>
          </w:p>
        </w:tc>
        <w:tc>
          <w:tcPr>
            <w:tcW w:w="300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/s/ Laurance Roberts</w:t>
            </w:r>
          </w:p>
        </w:tc>
        <w:tc>
          <w:tcPr>
            <w:tcW w:w="0" w:type="dxa"/>
            <w:vAlign w:val="bottom"/>
          </w:tcPr>
          <w:p>
            <w:pPr>
              <w:spacing w:after="0"/>
              <w:rPr>
                <w:sz w:val="1"/>
                <w:szCs w:val="1"/>
                <w:color w:val="auto"/>
              </w:rPr>
            </w:pPr>
          </w:p>
        </w:tc>
      </w:tr>
      <w:tr>
        <w:trPr>
          <w:trHeight w:val="27"/>
        </w:trPr>
        <w:tc>
          <w:tcPr>
            <w:tcW w:w="326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300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60" w:type="dxa"/>
            <w:vAlign w:val="bottom"/>
            <w:vMerge w:val="continue"/>
          </w:tcPr>
          <w:p>
            <w:pPr>
              <w:spacing w:after="0"/>
              <w:rPr>
                <w:sz w:val="20"/>
                <w:szCs w:val="20"/>
                <w:color w:val="auto"/>
              </w:rPr>
            </w:pPr>
          </w:p>
        </w:tc>
        <w:tc>
          <w:tcPr>
            <w:tcW w:w="30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Laurance Roberts</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94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r>
        <w:trPr>
          <w:trHeight w:val="459"/>
        </w:trPr>
        <w:tc>
          <w:tcPr>
            <w:tcW w:w="3260" w:type="dxa"/>
            <w:vAlign w:val="bottom"/>
          </w:tcPr>
          <w:p>
            <w:pPr>
              <w:spacing w:after="0"/>
              <w:rPr>
                <w:sz w:val="24"/>
                <w:szCs w:val="24"/>
                <w:color w:val="auto"/>
              </w:rPr>
            </w:pPr>
          </w:p>
        </w:tc>
        <w:tc>
          <w:tcPr>
            <w:tcW w:w="3000" w:type="dxa"/>
            <w:vAlign w:val="bottom"/>
          </w:tcPr>
          <w:p>
            <w:pPr>
              <w:jc w:val="right"/>
              <w:ind w:right="490"/>
              <w:spacing w:after="0"/>
              <w:rPr>
                <w:sz w:val="20"/>
                <w:szCs w:val="20"/>
                <w:color w:val="auto"/>
              </w:rPr>
            </w:pPr>
            <w:r>
              <w:rPr>
                <w:rFonts w:ascii="Arial" w:cs="Arial" w:eastAsia="Arial" w:hAnsi="Arial"/>
                <w:sz w:val="18"/>
                <w:szCs w:val="18"/>
                <w:color w:val="auto"/>
              </w:rPr>
              <w:t>51</w:t>
            </w: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51" w:name="page52"/>
    <w:bookmarkEnd w:id="51"/>
    <w:p>
      <w:pPr>
        <w:ind w:left="10320"/>
        <w:spacing w:after="0"/>
        <w:rPr>
          <w:sz w:val="20"/>
          <w:szCs w:val="20"/>
          <w:color w:val="auto"/>
        </w:rPr>
      </w:pPr>
      <w:r>
        <w:rPr>
          <w:rFonts w:ascii="Arial" w:cs="Arial" w:eastAsia="Arial" w:hAnsi="Arial"/>
          <w:sz w:val="16"/>
          <w:szCs w:val="16"/>
          <w:b w:val="1"/>
          <w:bCs w:val="1"/>
          <w:color w:val="auto"/>
        </w:rPr>
        <w:t>Exhibit 10.1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SEVERANCE AGREEMENT AND GENERAL RELEASE</w:t>
      </w:r>
    </w:p>
    <w:p>
      <w:pPr>
        <w:spacing w:after="0" w:line="2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Severance Agreement and General Release (“Agreement”) is made and entered into between Hector Munoz (“Employee”) on behalf of Employee’s agents, heirs, executors, successors, agents, and assigns, and El Pollo Loco (“Employer”) on behalf of itself and its past and present officers, board, agents, past and present employees, assigns, insurers, representatives, attorneys, and all other persons acting by, through, under or in concert with it. This Agreement may also refer to Employee and Employer as “the Parties.” The Parties agree that:</w:t>
      </w:r>
    </w:p>
    <w:p>
      <w:pPr>
        <w:spacing w:after="0" w:line="226" w:lineRule="exact"/>
        <w:rPr>
          <w:sz w:val="20"/>
          <w:szCs w:val="20"/>
          <w:color w:val="auto"/>
        </w:rPr>
      </w:pPr>
    </w:p>
    <w:p>
      <w:pPr>
        <w:jc w:val="both"/>
        <w:ind w:firstLine="656"/>
        <w:spacing w:after="0" w:line="248" w:lineRule="auto"/>
        <w:tabs>
          <w:tab w:leader="none" w:pos="1120"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Last Day of Employment; Termination of Employment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last day of employment with</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is February 13, 2020 (“Separation Date”). At the time of termination Employee will receive all wages due as of that date, including any accrued and unused vacation and/or paid time off hours, whether or not Employee signs this Agreement. Employee and Employer agree that upon execution of this Agreement, that Employment Agreement entered into on or about October 29, 2018, between Employee and Employer (the “Employment Agreement”) shall terminate and be rendered null, void, and without effect.</w:t>
      </w:r>
    </w:p>
    <w:p>
      <w:pPr>
        <w:spacing w:after="0" w:line="227" w:lineRule="exact"/>
        <w:rPr>
          <w:rFonts w:ascii="Arial" w:cs="Arial" w:eastAsia="Arial" w:hAnsi="Arial"/>
          <w:sz w:val="22"/>
          <w:szCs w:val="22"/>
          <w:color w:val="auto"/>
        </w:rPr>
      </w:pPr>
    </w:p>
    <w:p>
      <w:pPr>
        <w:jc w:val="both"/>
        <w:ind w:firstLine="656"/>
        <w:spacing w:after="0" w:line="286" w:lineRule="auto"/>
        <w:tabs>
          <w:tab w:leader="none" w:pos="1080" w:val="left"/>
        </w:tabs>
        <w:numPr>
          <w:ilvl w:val="0"/>
          <w:numId w:val="21"/>
        </w:numPr>
        <w:rPr>
          <w:rFonts w:ascii="Arial" w:cs="Arial" w:eastAsia="Arial" w:hAnsi="Arial"/>
          <w:sz w:val="19"/>
          <w:szCs w:val="19"/>
          <w:color w:val="auto"/>
        </w:rPr>
      </w:pPr>
      <w:r>
        <w:rPr>
          <w:rFonts w:ascii="Arial" w:cs="Arial" w:eastAsia="Arial" w:hAnsi="Arial"/>
          <w:sz w:val="19"/>
          <w:szCs w:val="19"/>
          <w:b w:val="1"/>
          <w:bCs w:val="1"/>
          <w:u w:val="single" w:color="auto"/>
          <w:color w:val="auto"/>
        </w:rPr>
        <w:t>Consideration</w:t>
      </w:r>
      <w:r>
        <w:rPr>
          <w:rFonts w:ascii="Arial" w:cs="Arial" w:eastAsia="Arial" w:hAnsi="Arial"/>
          <w:sz w:val="19"/>
          <w:szCs w:val="19"/>
          <w:b w:val="1"/>
          <w:bCs w:val="1"/>
          <w:color w:val="auto"/>
        </w:rPr>
        <w:t xml:space="preserve">. </w:t>
      </w:r>
      <w:r>
        <w:rPr>
          <w:rFonts w:ascii="Arial" w:cs="Arial" w:eastAsia="Arial" w:hAnsi="Arial"/>
          <w:sz w:val="19"/>
          <w:szCs w:val="19"/>
          <w:color w:val="auto"/>
        </w:rPr>
        <w:t>If Employee signs and returns this Agreement after Employee’s Separation Date and before March</w:t>
      </w:r>
      <w:r>
        <w:rPr>
          <w:rFonts w:ascii="Arial" w:cs="Arial" w:eastAsia="Arial" w:hAnsi="Arial"/>
          <w:sz w:val="19"/>
          <w:szCs w:val="19"/>
          <w:b w:val="1"/>
          <w:bCs w:val="1"/>
          <w:color w:val="auto"/>
        </w:rPr>
        <w:t xml:space="preserve"> </w:t>
      </w:r>
      <w:r>
        <w:rPr>
          <w:rFonts w:ascii="Arial" w:cs="Arial" w:eastAsia="Arial" w:hAnsi="Arial"/>
          <w:sz w:val="19"/>
          <w:szCs w:val="19"/>
          <w:color w:val="auto"/>
        </w:rPr>
        <w:t>12, 2020, and complies with its terms, Employer agrees to (a) pay Employee the total sum of One Hundred Eleven Thousand Fifty-Seven Dollars and Seventy-Two Cents ($111,057.72), less any statutory deductions, representing a severance payment equal to employee’s base salary for the time period from the Separation Date to June 1, 2020 (“Severance Payment”); (b) provide to Employee by certified overnight mail, no later than March 31, 2020, a check in the amount of One Hundred Forty-Six Thousand Four Hundred Seventy-Five Dollars and Three Cents ($146,475.03), representing the 2019 Support Center Incentive Plan (“ICP Plan”) payment for Fiscal 2019 calculated on or about March 6, 2020 pursuant to the terms and conditions of the ICP Plan, less applicable state and federal withholdings “(Bonus Payment”); (c) pay Employee the total sum of Nine Thousand One Hundred Thirty-Two Dollars and Eighty-Eight Cents ($9,132,88), representing the amount of COBRA premiums should Employee elect COBRA coverage (including coverage for dependents, if applicable) during the period from the Separation Date through June 30, 2020 (the “COBRA Payment”); and (d) forego any right or claim to recover any portion of the relocation bonus (in the amount of $150,000) provided to Employee pursuant to section 4(c) of the Employment Agreement. The Severance Payment and the COBRA Payment will be made in one lump sum payment 14 days following execution of this Agreement by the Parties and coinciding with the Employer’s customary payroll practices, provided Employee has not revoked this Agreement within the time allowed to revoke under Paragraph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1 of 8</w:t>
      </w:r>
    </w:p>
    <w:p>
      <w:pPr>
        <w:sectPr>
          <w:pgSz w:w="11900" w:h="16838" w:orient="portrait"/>
          <w:cols w:equalWidth="0" w:num="1">
            <w:col w:w="11240"/>
          </w:cols>
          <w:pgMar w:left="320" w:top="337" w:right="339" w:bottom="1440" w:gutter="0" w:footer="0" w:header="0"/>
        </w:sectPr>
      </w:pPr>
    </w:p>
    <w:bookmarkStart w:id="52" w:name="page53"/>
    <w:bookmarkEnd w:id="52"/>
    <w:p>
      <w:pPr>
        <w:jc w:val="both"/>
        <w:ind w:firstLine="656"/>
        <w:spacing w:after="0" w:line="256" w:lineRule="auto"/>
        <w:tabs>
          <w:tab w:leader="none" w:pos="108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No Consideration Absent Execution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understands and agrees that Employer has no</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to provide Employee the consideration described in paragraph “2” above unless Employee signs this Agreement and complies with its promises and terms and does not revoke this Agreement.</w:t>
      </w:r>
    </w:p>
    <w:p>
      <w:pPr>
        <w:spacing w:after="0" w:line="216" w:lineRule="exact"/>
        <w:rPr>
          <w:rFonts w:ascii="Arial" w:cs="Arial" w:eastAsia="Arial" w:hAnsi="Arial"/>
          <w:sz w:val="22"/>
          <w:szCs w:val="22"/>
          <w:color w:val="auto"/>
        </w:rPr>
      </w:pPr>
    </w:p>
    <w:p>
      <w:pPr>
        <w:ind w:left="1040" w:hanging="384"/>
        <w:spacing w:after="0"/>
        <w:tabs>
          <w:tab w:leader="none" w:pos="104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Release, Claims Not Released and Related Provisions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296"/>
        <w:spacing w:after="0" w:line="213" w:lineRule="auto"/>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b w:val="1"/>
          <w:bCs w:val="1"/>
          <w:u w:val="single" w:color="auto"/>
          <w:color w:val="auto"/>
        </w:rPr>
        <w:t>General Release of All Claims</w:t>
      </w:r>
      <w:r>
        <w:rPr>
          <w:rFonts w:ascii="Arial" w:cs="Arial" w:eastAsia="Arial" w:hAnsi="Arial"/>
          <w:sz w:val="22"/>
          <w:szCs w:val="22"/>
          <w:color w:val="auto"/>
        </w:rPr>
        <w:t>. Employee knowingly and voluntarily releases and forever discharges Employer, its affiliates, subsidiaries, divisions, predecessors, insurers, successors and assigns, and their current and former employees, attorneys, officers, directors and agents thereof, both individually and in their business capacities, and their employee benefit plans and programs and their administrators and fiduciaries (collectively referred to throughout the remainder of this Agreement as “Releasees”), of and from any and all claims, known and unknown, asserted or unasserted, which the Employee has or may have against Releasees as of the date of execution of this Agreement, including, but not limited to, any alleged violation of:</w:t>
      </w:r>
    </w:p>
    <w:p>
      <w:pPr>
        <w:spacing w:after="0" w:line="23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Title VII of the Civil Rights Act of 1964;</w:t>
      </w:r>
    </w:p>
    <w:p>
      <w:pPr>
        <w:spacing w:after="0" w:line="21" w:lineRule="exact"/>
        <w:rPr>
          <w:rFonts w:ascii="Arial" w:cs="Arial" w:eastAsia="Arial" w:hAnsi="Arial"/>
          <w:sz w:val="22"/>
          <w:szCs w:val="22"/>
          <w:b w:val="1"/>
          <w:bCs w:val="1"/>
          <w:color w:val="auto"/>
        </w:rPr>
      </w:pPr>
    </w:p>
    <w:p>
      <w:pPr>
        <w:ind w:left="980" w:hanging="324"/>
        <w:spacing w:after="0"/>
        <w:tabs>
          <w:tab w:leader="none" w:pos="98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Sections 1981 through 1988 of Title 42 of the United States Code;</w:t>
      </w:r>
    </w:p>
    <w:p>
      <w:pPr>
        <w:spacing w:after="0" w:line="3" w:lineRule="exact"/>
        <w:rPr>
          <w:rFonts w:ascii="Arial" w:cs="Arial" w:eastAsia="Arial" w:hAnsi="Arial"/>
          <w:sz w:val="22"/>
          <w:szCs w:val="22"/>
          <w:b w:val="1"/>
          <w:bCs w:val="1"/>
          <w:color w:val="auto"/>
        </w:rPr>
      </w:pPr>
    </w:p>
    <w:p>
      <w:pPr>
        <w:ind w:left="980" w:right="480" w:hanging="324"/>
        <w:spacing w:after="0" w:line="243" w:lineRule="auto"/>
        <w:tabs>
          <w:tab w:leader="none" w:pos="98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The Employee Retirement Income Security Act of 1974 ("ERISA") (except for any vested benefits under any tax qualified benefit plan);</w:t>
      </w:r>
    </w:p>
    <w:p>
      <w:pPr>
        <w:ind w:left="980" w:hanging="324"/>
        <w:spacing w:after="0"/>
        <w:tabs>
          <w:tab w:leader="none" w:pos="98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The Immigration Reform and Control Act;</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The Americans with Disabilities Act of 1990;</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Age Discrimination in Employment Act of 1967 (“ADEA”);</w:t>
      </w:r>
    </w:p>
    <w:p>
      <w:pPr>
        <w:spacing w:after="0" w:line="3" w:lineRule="exact"/>
        <w:rPr>
          <w:rFonts w:ascii="Arial" w:cs="Arial" w:eastAsia="Arial" w:hAnsi="Arial"/>
          <w:sz w:val="22"/>
          <w:szCs w:val="22"/>
          <w:color w:val="auto"/>
        </w:rPr>
      </w:pPr>
    </w:p>
    <w:p>
      <w:pPr>
        <w:ind w:left="980" w:hanging="324"/>
        <w:spacing w:after="0"/>
        <w:tabs>
          <w:tab w:leader="none" w:pos="98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The Workers Adjustment and Retraining Notification Act;</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The Fair Credit Reporting Act;</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The Family and Medical Leave Act;</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The Equal Pay Act;</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The Sarbanes-Oxley Act of 2002;</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The Genetic Information Nondiscrimination Act of 2008;</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Occupational Safety and Health Act;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California Occupational Safety and Health Act;</w:t>
      </w:r>
    </w:p>
    <w:p>
      <w:pPr>
        <w:spacing w:after="0" w:line="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22"/>
          <w:szCs w:val="22"/>
          <w:b w:val="1"/>
          <w:bCs w:val="1"/>
          <w:color w:val="auto"/>
        </w:rPr>
      </w:pPr>
      <w:r>
        <w:rPr>
          <w:rFonts w:ascii="Arial" w:cs="Arial" w:eastAsia="Arial" w:hAnsi="Arial"/>
          <w:sz w:val="22"/>
          <w:szCs w:val="22"/>
          <w:color w:val="auto"/>
        </w:rPr>
        <w:t>The California Fair Employment and Housing Act, as amended;</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4"/>
        </w:numPr>
        <w:rPr>
          <w:rFonts w:ascii="Arial" w:cs="Arial" w:eastAsia="Arial" w:hAnsi="Arial"/>
          <w:sz w:val="22"/>
          <w:szCs w:val="22"/>
          <w:b w:val="1"/>
          <w:bCs w:val="1"/>
          <w:color w:val="auto"/>
        </w:rPr>
      </w:pPr>
      <w:r>
        <w:rPr>
          <w:rFonts w:ascii="Arial" w:cs="Arial" w:eastAsia="Arial" w:hAnsi="Arial"/>
          <w:sz w:val="22"/>
          <w:szCs w:val="22"/>
          <w:color w:val="auto"/>
        </w:rPr>
        <w:t>The California Unruh Civil Rights Act;</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4"/>
        </w:numPr>
        <w:rPr>
          <w:rFonts w:ascii="Arial" w:cs="Arial" w:eastAsia="Arial" w:hAnsi="Arial"/>
          <w:sz w:val="22"/>
          <w:szCs w:val="22"/>
          <w:b w:val="1"/>
          <w:bCs w:val="1"/>
          <w:color w:val="auto"/>
        </w:rPr>
      </w:pPr>
      <w:r>
        <w:rPr>
          <w:rFonts w:ascii="Arial" w:cs="Arial" w:eastAsia="Arial" w:hAnsi="Arial"/>
          <w:sz w:val="22"/>
          <w:szCs w:val="22"/>
          <w:color w:val="auto"/>
        </w:rPr>
        <w:t>The California Confidentiality of Medical Information Act;</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4"/>
        </w:numPr>
        <w:rPr>
          <w:rFonts w:ascii="Arial" w:cs="Arial" w:eastAsia="Arial" w:hAnsi="Arial"/>
          <w:sz w:val="22"/>
          <w:szCs w:val="22"/>
          <w:b w:val="1"/>
          <w:bCs w:val="1"/>
          <w:color w:val="auto"/>
        </w:rPr>
      </w:pPr>
      <w:r>
        <w:rPr>
          <w:rFonts w:ascii="Arial" w:cs="Arial" w:eastAsia="Arial" w:hAnsi="Arial"/>
          <w:sz w:val="22"/>
          <w:szCs w:val="22"/>
          <w:color w:val="auto"/>
        </w:rPr>
        <w:t>The California Family Rights Act;</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4"/>
        </w:numPr>
        <w:rPr>
          <w:rFonts w:ascii="Arial" w:cs="Arial" w:eastAsia="Arial" w:hAnsi="Arial"/>
          <w:sz w:val="22"/>
          <w:szCs w:val="22"/>
          <w:b w:val="1"/>
          <w:bCs w:val="1"/>
          <w:color w:val="auto"/>
        </w:rPr>
      </w:pPr>
      <w:r>
        <w:rPr>
          <w:rFonts w:ascii="Arial" w:cs="Arial" w:eastAsia="Arial" w:hAnsi="Arial"/>
          <w:sz w:val="22"/>
          <w:szCs w:val="22"/>
          <w:color w:val="auto"/>
        </w:rPr>
        <w:t>The California Fair Pay Law;</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4"/>
        </w:numPr>
        <w:rPr>
          <w:rFonts w:ascii="Arial" w:cs="Arial" w:eastAsia="Arial" w:hAnsi="Arial"/>
          <w:sz w:val="22"/>
          <w:szCs w:val="22"/>
          <w:b w:val="1"/>
          <w:bCs w:val="1"/>
          <w:color w:val="auto"/>
        </w:rPr>
      </w:pPr>
      <w:r>
        <w:rPr>
          <w:rFonts w:ascii="Arial" w:cs="Arial" w:eastAsia="Arial" w:hAnsi="Arial"/>
          <w:sz w:val="22"/>
          <w:szCs w:val="22"/>
          <w:color w:val="auto"/>
        </w:rPr>
        <w:t>The California WARN Act;</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4"/>
        </w:numPr>
        <w:rPr>
          <w:rFonts w:ascii="Arial" w:cs="Arial" w:eastAsia="Arial" w:hAnsi="Arial"/>
          <w:sz w:val="22"/>
          <w:szCs w:val="22"/>
          <w:b w:val="1"/>
          <w:bCs w:val="1"/>
          <w:color w:val="auto"/>
        </w:rPr>
      </w:pPr>
      <w:r>
        <w:rPr>
          <w:rFonts w:ascii="Arial" w:cs="Arial" w:eastAsia="Arial" w:hAnsi="Arial"/>
          <w:sz w:val="22"/>
          <w:szCs w:val="22"/>
          <w:color w:val="auto"/>
        </w:rPr>
        <w:t>The California Whistleblower Protection Law;</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California Consumer Credit Reporting Agencies Act;</w:t>
      </w:r>
    </w:p>
    <w:p>
      <w:pPr>
        <w:spacing w:after="0" w:line="3" w:lineRule="exact"/>
        <w:rPr>
          <w:rFonts w:ascii="Arial" w:cs="Arial" w:eastAsia="Arial" w:hAnsi="Arial"/>
          <w:sz w:val="22"/>
          <w:szCs w:val="22"/>
          <w:color w:val="auto"/>
        </w:rPr>
      </w:pPr>
    </w:p>
    <w:p>
      <w:pPr>
        <w:ind w:left="980" w:hanging="324"/>
        <w:spacing w:after="0"/>
        <w:tabs>
          <w:tab w:leader="none" w:pos="9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California Investigative Consumer Reporting Agencies Act;</w:t>
      </w:r>
    </w:p>
    <w:p>
      <w:pPr>
        <w:spacing w:after="0" w:line="3" w:lineRule="exact"/>
        <w:rPr>
          <w:rFonts w:ascii="Arial" w:cs="Arial" w:eastAsia="Arial" w:hAnsi="Arial"/>
          <w:sz w:val="22"/>
          <w:szCs w:val="22"/>
          <w:color w:val="auto"/>
        </w:rPr>
      </w:pPr>
    </w:p>
    <w:p>
      <w:pPr>
        <w:ind w:left="980" w:hanging="324"/>
        <w:spacing w:after="0"/>
        <w:tabs>
          <w:tab w:leader="none" w:pos="980"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California Business and Professions Code § 17200 or any other provisions of the California unfair trade or business</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practices laws;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right under the California Constitution;</w:t>
      </w:r>
    </w:p>
    <w:p>
      <w:pPr>
        <w:spacing w:after="0" w:line="4"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22"/>
          <w:szCs w:val="22"/>
          <w:b w:val="1"/>
          <w:bCs w:val="1"/>
          <w:color w:val="auto"/>
        </w:rPr>
      </w:pPr>
      <w:r>
        <w:rPr>
          <w:rFonts w:ascii="Arial" w:cs="Arial" w:eastAsia="Arial" w:hAnsi="Arial"/>
          <w:sz w:val="22"/>
          <w:szCs w:val="22"/>
          <w:color w:val="auto"/>
        </w:rPr>
        <w:t>Any other federal, state or local law, rule, regulation, or ordinance;</w:t>
      </w:r>
    </w:p>
    <w:p>
      <w:pPr>
        <w:spacing w:after="0" w:line="3" w:lineRule="exact"/>
        <w:rPr>
          <w:rFonts w:ascii="Arial" w:cs="Arial" w:eastAsia="Arial" w:hAnsi="Arial"/>
          <w:sz w:val="22"/>
          <w:szCs w:val="22"/>
          <w:b w:val="1"/>
          <w:bCs w:val="1"/>
          <w:color w:val="auto"/>
        </w:rPr>
      </w:pPr>
    </w:p>
    <w:p>
      <w:pPr>
        <w:ind w:left="980" w:hanging="324"/>
        <w:spacing w:after="0"/>
        <w:tabs>
          <w:tab w:leader="none" w:pos="980" w:val="left"/>
        </w:tabs>
        <w:numPr>
          <w:ilvl w:val="0"/>
          <w:numId w:val="25"/>
        </w:numPr>
        <w:rPr>
          <w:rFonts w:ascii="Arial" w:cs="Arial" w:eastAsia="Arial" w:hAnsi="Arial"/>
          <w:sz w:val="22"/>
          <w:szCs w:val="22"/>
          <w:b w:val="1"/>
          <w:bCs w:val="1"/>
          <w:color w:val="auto"/>
        </w:rPr>
      </w:pPr>
      <w:r>
        <w:rPr>
          <w:rFonts w:ascii="Arial" w:cs="Arial" w:eastAsia="Arial" w:hAnsi="Arial"/>
          <w:sz w:val="22"/>
          <w:szCs w:val="22"/>
          <w:color w:val="auto"/>
        </w:rPr>
        <w:t>Any public policy, contract, tort, or common law; or</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8</w:t>
      </w:r>
    </w:p>
    <w:p>
      <w:pPr>
        <w:sectPr>
          <w:pgSz w:w="11900" w:h="16838" w:orient="portrait"/>
          <w:cols w:equalWidth="0" w:num="1">
            <w:col w:w="11240"/>
          </w:cols>
          <w:pgMar w:left="320" w:top="342" w:right="339" w:bottom="1440" w:gutter="0" w:footer="0" w:header="0"/>
        </w:sectPr>
      </w:pPr>
    </w:p>
    <w:bookmarkStart w:id="53" w:name="page54"/>
    <w:bookmarkEnd w:id="53"/>
    <w:p>
      <w:pPr>
        <w:ind w:left="980" w:hanging="324"/>
        <w:spacing w:after="0"/>
        <w:tabs>
          <w:tab w:leader="none" w:pos="980" w:val="left"/>
        </w:tabs>
        <w:numPr>
          <w:ilvl w:val="0"/>
          <w:numId w:val="26"/>
        </w:numPr>
        <w:rPr>
          <w:rFonts w:ascii="Arial" w:cs="Arial" w:eastAsia="Arial" w:hAnsi="Arial"/>
          <w:sz w:val="22"/>
          <w:szCs w:val="22"/>
          <w:b w:val="1"/>
          <w:bCs w:val="1"/>
          <w:color w:val="auto"/>
        </w:rPr>
      </w:pPr>
      <w:r>
        <w:rPr>
          <w:rFonts w:ascii="Arial" w:cs="Arial" w:eastAsia="Arial" w:hAnsi="Arial"/>
          <w:sz w:val="22"/>
          <w:szCs w:val="22"/>
          <w:color w:val="auto"/>
        </w:rPr>
        <w:t>Any claim for costs, fees, or other expenses including attorneys’ fees incurred in these matters.</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particular, and without in any way limiting the foregoing, Employee agrees to release and forever discharge Releasees of and from any and all claims, known and unknown, asserted or unasserted, which the Employee has or may have against Releasees arising out of or in any way related to the Employment Agreement.</w:t>
      </w:r>
    </w:p>
    <w:p>
      <w:pPr>
        <w:spacing w:after="0" w:line="193" w:lineRule="exact"/>
        <w:rPr>
          <w:sz w:val="20"/>
          <w:szCs w:val="20"/>
          <w:color w:val="auto"/>
        </w:rPr>
      </w:pPr>
    </w:p>
    <w:p>
      <w:pPr>
        <w:ind w:left="2120" w:hanging="816"/>
        <w:spacing w:after="0"/>
        <w:tabs>
          <w:tab w:leader="none" w:pos="2120" w:val="left"/>
        </w:tabs>
        <w:numPr>
          <w:ilvl w:val="1"/>
          <w:numId w:val="27"/>
        </w:numPr>
        <w:rPr>
          <w:rFonts w:ascii="Arial" w:cs="Arial" w:eastAsia="Arial" w:hAnsi="Arial"/>
          <w:sz w:val="19"/>
          <w:szCs w:val="19"/>
          <w:color w:val="auto"/>
        </w:rPr>
      </w:pPr>
      <w:r>
        <w:rPr>
          <w:rFonts w:ascii="Arial" w:cs="Arial" w:eastAsia="Arial" w:hAnsi="Arial"/>
          <w:sz w:val="19"/>
          <w:szCs w:val="19"/>
          <w:b w:val="1"/>
          <w:bCs w:val="1"/>
          <w:u w:val="single" w:color="auto"/>
          <w:color w:val="auto"/>
        </w:rPr>
        <w:t>Claims Not Released</w:t>
      </w:r>
      <w:r>
        <w:rPr>
          <w:rFonts w:ascii="Arial" w:cs="Arial" w:eastAsia="Arial" w:hAnsi="Arial"/>
          <w:sz w:val="19"/>
          <w:szCs w:val="19"/>
          <w:color w:val="auto"/>
        </w:rPr>
        <w:t>. Notwithstanding the foregoing, the Parties agree that the scope of this release</w:t>
      </w:r>
    </w:p>
    <w:p>
      <w:pPr>
        <w:spacing w:after="0" w:line="21" w:lineRule="exact"/>
        <w:rPr>
          <w:rFonts w:ascii="Arial" w:cs="Arial" w:eastAsia="Arial" w:hAnsi="Arial"/>
          <w:sz w:val="19"/>
          <w:szCs w:val="19"/>
          <w:color w:val="auto"/>
        </w:rPr>
      </w:pPr>
    </w:p>
    <w:p>
      <w:pPr>
        <w:jc w:val="both"/>
        <w:spacing w:after="0" w:line="247" w:lineRule="auto"/>
        <w:rPr>
          <w:rFonts w:ascii="Arial" w:cs="Arial" w:eastAsia="Arial" w:hAnsi="Arial"/>
          <w:sz w:val="19"/>
          <w:szCs w:val="19"/>
          <w:color w:val="auto"/>
        </w:rPr>
      </w:pPr>
      <w:r>
        <w:rPr>
          <w:rFonts w:ascii="Arial" w:cs="Arial" w:eastAsia="Arial" w:hAnsi="Arial"/>
          <w:sz w:val="19"/>
          <w:szCs w:val="19"/>
          <w:color w:val="auto"/>
        </w:rPr>
        <w:t>does not apply to: (1) any rights Employee may have to Employee’s own vested accrued employee benefits under Employer’s health, welfare, or retirement benefit plans as of the Separation Date; (2) any claims for workers’ compensation benefits (including disability payments, but excluding 132a claims) or unemployment insurance benefits; (3) claims for indemnification of employee’s reasonable expenses incurred for the Employer under California Labor Code section 2802; (4) other claims that by law may not be waived; (5) claims seeking to enforce this Agreement; or (6) challenges to the validity of this Agreement.</w:t>
      </w:r>
    </w:p>
    <w:p>
      <w:pPr>
        <w:spacing w:after="0" w:line="188" w:lineRule="exact"/>
        <w:rPr>
          <w:rFonts w:ascii="Arial" w:cs="Arial" w:eastAsia="Arial" w:hAnsi="Arial"/>
          <w:sz w:val="19"/>
          <w:szCs w:val="19"/>
          <w:color w:val="auto"/>
        </w:rPr>
      </w:pPr>
    </w:p>
    <w:p>
      <w:pPr>
        <w:jc w:val="both"/>
        <w:ind w:firstLine="1304"/>
        <w:spacing w:after="0" w:line="243" w:lineRule="auto"/>
        <w:tabs>
          <w:tab w:leader="none" w:pos="2094" w:val="left"/>
        </w:tabs>
        <w:numPr>
          <w:ilvl w:val="1"/>
          <w:numId w:val="27"/>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Governmental Agencies</w:t>
      </w:r>
      <w:r>
        <w:rPr>
          <w:rFonts w:ascii="Arial" w:cs="Arial" w:eastAsia="Arial" w:hAnsi="Arial"/>
          <w:sz w:val="19"/>
          <w:szCs w:val="19"/>
          <w:color w:val="auto"/>
        </w:rPr>
        <w:t>. Nothing in this Agreement prohibits or prevents Employee from filing a</w:t>
      </w:r>
      <w:r>
        <w:rPr>
          <w:rFonts w:ascii="Arial" w:cs="Arial" w:eastAsia="Arial" w:hAnsi="Arial"/>
          <w:sz w:val="19"/>
          <w:szCs w:val="19"/>
          <w:b w:val="1"/>
          <w:bCs w:val="1"/>
          <w:color w:val="auto"/>
        </w:rPr>
        <w:t xml:space="preserve"> </w:t>
      </w:r>
      <w:r>
        <w:rPr>
          <w:rFonts w:ascii="Arial" w:cs="Arial" w:eastAsia="Arial" w:hAnsi="Arial"/>
          <w:sz w:val="19"/>
          <w:szCs w:val="19"/>
          <w:color w:val="auto"/>
        </w:rPr>
        <w:t>charge with or participating, testifying or assisting in any investigation, hearing, or other proceeding before any federal, state or local government agency. However, to the maximum extent permitted by law, Employee agrees that if such an administrative claim is made, Employee shall not be entitled to recover any individual monetary relief or other individual remedies for any claim released under this Agreement. Nothing in this Agreement, including but not limited to the release of claims nor the confidentiality clauses, prohibits or prevents Employee from: (1) reporting possible violations of federal law or regulations to any governmental agency or entity; (2) making any other disclosures that are protected under the whistleblower provisions of federal law or regulations; (3) otherwise fully participating in any federal whistleblower programs; (4) receiving individual monetary awards or other individual relief by virtue of participating in such federal whistleblower programs; or (5) testifying in any administrative, legislative, or judicial proceeding concerning alleged criminal conduct or sexual harassment on the part of Employer or any agents or employees of Employer, when Employee has been required or requested to attend the proceeding pursuant to a court order, subpoena, or written request from an administrative agency or the federal or state legislature.</w:t>
      </w:r>
    </w:p>
    <w:p>
      <w:pPr>
        <w:spacing w:after="0" w:line="193" w:lineRule="exact"/>
        <w:rPr>
          <w:rFonts w:ascii="Arial" w:cs="Arial" w:eastAsia="Arial" w:hAnsi="Arial"/>
          <w:sz w:val="19"/>
          <w:szCs w:val="19"/>
          <w:color w:val="auto"/>
        </w:rPr>
      </w:pPr>
    </w:p>
    <w:p>
      <w:pPr>
        <w:jc w:val="both"/>
        <w:ind w:firstLine="1304"/>
        <w:spacing w:after="0" w:line="220" w:lineRule="auto"/>
        <w:tabs>
          <w:tab w:leader="none" w:pos="2106" w:val="left"/>
        </w:tabs>
        <w:numPr>
          <w:ilvl w:val="1"/>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Collective/Class Action Waiver</w:t>
      </w:r>
      <w:r>
        <w:rPr>
          <w:rFonts w:ascii="Arial" w:cs="Arial" w:eastAsia="Arial" w:hAnsi="Arial"/>
          <w:sz w:val="22"/>
          <w:szCs w:val="22"/>
          <w:color w:val="auto"/>
        </w:rPr>
        <w:t>. If any claim is not subject to release, to the extent permitted by law,</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waives any right or ability to be a class or collective action representative or to otherwise participate in any putative or certified class, collective or multi-party action or proceeding based on such a claim in which Employer or any other Releasee identified in this Agreement is a party.</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ADEA Claims</w:t>
      </w:r>
      <w:r>
        <w:rPr>
          <w:rFonts w:ascii="Arial" w:cs="Arial" w:eastAsia="Arial" w:hAnsi="Arial"/>
          <w:sz w:val="22"/>
          <w:szCs w:val="22"/>
          <w:b w:val="1"/>
          <w:bCs w:val="1"/>
          <w:color w:val="auto"/>
        </w:rPr>
        <w:t>.</w:t>
      </w:r>
    </w:p>
    <w:p>
      <w:pPr>
        <w:spacing w:after="0" w:line="252" w:lineRule="exact"/>
        <w:rPr>
          <w:rFonts w:ascii="Arial" w:cs="Arial" w:eastAsia="Arial" w:hAnsi="Arial"/>
          <w:sz w:val="22"/>
          <w:szCs w:val="22"/>
          <w:color w:val="auto"/>
        </w:rPr>
      </w:pPr>
    </w:p>
    <w:p>
      <w:pPr>
        <w:jc w:val="both"/>
        <w:ind w:firstLine="1304"/>
        <w:spacing w:after="0" w:line="223" w:lineRule="auto"/>
        <w:tabs>
          <w:tab w:leader="none" w:pos="2094" w:val="left"/>
        </w:tabs>
        <w:numPr>
          <w:ilvl w:val="1"/>
          <w:numId w:val="28"/>
        </w:numPr>
        <w:rPr>
          <w:rFonts w:ascii="Arial" w:cs="Arial" w:eastAsia="Arial" w:hAnsi="Arial"/>
          <w:sz w:val="22"/>
          <w:szCs w:val="22"/>
          <w:color w:val="auto"/>
        </w:rPr>
      </w:pPr>
      <w:r>
        <w:rPr>
          <w:rFonts w:ascii="Arial" w:cs="Arial" w:eastAsia="Arial" w:hAnsi="Arial"/>
          <w:sz w:val="22"/>
          <w:szCs w:val="22"/>
          <w:color w:val="auto"/>
        </w:rPr>
        <w:t>Employee agrees that by signing this Agreement, Employee waives any claims Employee may have under the Age Discrimination in Employment Act of 1967, as amended (the ADEA). Employee agrees this waiver is knowing and voluntary. Employee and Employer</w:t>
      </w:r>
    </w:p>
    <w:p>
      <w:pPr>
        <w:spacing w:after="0" w:line="395"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3 of 8</w:t>
      </w:r>
    </w:p>
    <w:p>
      <w:pPr>
        <w:sectPr>
          <w:pgSz w:w="11900" w:h="16838" w:orient="portrait"/>
          <w:cols w:equalWidth="0" w:num="1">
            <w:col w:w="11240"/>
          </w:cols>
          <w:pgMar w:left="320" w:top="348" w:right="339" w:bottom="1440" w:gutter="0" w:footer="0" w:header="0"/>
        </w:sectPr>
      </w:pPr>
    </w:p>
    <w:bookmarkStart w:id="54" w:name="page55"/>
    <w:bookmarkEnd w:id="54"/>
    <w:p>
      <w:pPr>
        <w:spacing w:after="0" w:line="298" w:lineRule="auto"/>
        <w:rPr>
          <w:sz w:val="20"/>
          <w:szCs w:val="20"/>
          <w:color w:val="auto"/>
        </w:rPr>
      </w:pPr>
      <w:r>
        <w:rPr>
          <w:rFonts w:ascii="Arial" w:cs="Arial" w:eastAsia="Arial" w:hAnsi="Arial"/>
          <w:sz w:val="19"/>
          <w:szCs w:val="19"/>
          <w:color w:val="auto"/>
        </w:rPr>
        <w:t>agree this waiver does not apply to ADEA claims or rights that might arise after Employee signs this Agreement. Employee also agrees Employee has no right to the consideration in Paragraph 2 unless Employee signs this Agreement.</w:t>
      </w:r>
    </w:p>
    <w:p>
      <w:pPr>
        <w:spacing w:after="0" w:line="146" w:lineRule="exact"/>
        <w:rPr>
          <w:sz w:val="20"/>
          <w:szCs w:val="20"/>
          <w:color w:val="auto"/>
        </w:rPr>
      </w:pPr>
    </w:p>
    <w:p>
      <w:pPr>
        <w:ind w:left="2120" w:hanging="816"/>
        <w:spacing w:after="0"/>
        <w:tabs>
          <w:tab w:leader="none" w:pos="2120" w:val="left"/>
        </w:tabs>
        <w:numPr>
          <w:ilvl w:val="1"/>
          <w:numId w:val="29"/>
        </w:numPr>
        <w:rPr>
          <w:rFonts w:ascii="Arial" w:cs="Arial" w:eastAsia="Arial" w:hAnsi="Arial"/>
          <w:sz w:val="22"/>
          <w:szCs w:val="22"/>
          <w:color w:val="auto"/>
        </w:rPr>
      </w:pPr>
      <w:r>
        <w:rPr>
          <w:rFonts w:ascii="Arial" w:cs="Arial" w:eastAsia="Arial" w:hAnsi="Arial"/>
          <w:sz w:val="22"/>
          <w:szCs w:val="22"/>
          <w:color w:val="auto"/>
        </w:rPr>
        <w:t>Employee also agrees that this Agreement advises Employee in writing that:</w:t>
      </w:r>
    </w:p>
    <w:p>
      <w:pPr>
        <w:spacing w:after="0" w:line="8" w:lineRule="exact"/>
        <w:rPr>
          <w:rFonts w:ascii="Arial" w:cs="Arial" w:eastAsia="Arial" w:hAnsi="Arial"/>
          <w:sz w:val="22"/>
          <w:szCs w:val="22"/>
          <w:color w:val="auto"/>
        </w:rPr>
      </w:pPr>
    </w:p>
    <w:p>
      <w:pPr>
        <w:ind w:left="2120" w:right="200"/>
        <w:spacing w:after="0" w:line="281" w:lineRule="auto"/>
        <w:rPr>
          <w:rFonts w:ascii="Arial" w:cs="Arial" w:eastAsia="Arial" w:hAnsi="Arial"/>
          <w:sz w:val="22"/>
          <w:szCs w:val="22"/>
          <w:color w:val="auto"/>
        </w:rPr>
      </w:pPr>
      <w:r>
        <w:rPr>
          <w:rFonts w:ascii="Arial" w:cs="Arial" w:eastAsia="Arial" w:hAnsi="Arial"/>
          <w:sz w:val="19"/>
          <w:szCs w:val="19"/>
          <w:color w:val="auto"/>
        </w:rPr>
        <w:t>i.Employee is advised to consult with an attorney of Employee’s choice before signing this Agreement; ii.Employee has up to 21 days to consider whether to sign this Agreement, starting from the date</w:t>
      </w:r>
    </w:p>
    <w:p>
      <w:pPr>
        <w:spacing w:after="0" w:line="1" w:lineRule="exact"/>
        <w:rPr>
          <w:rFonts w:ascii="Arial" w:cs="Arial" w:eastAsia="Arial" w:hAnsi="Arial"/>
          <w:sz w:val="22"/>
          <w:szCs w:val="22"/>
          <w:color w:val="auto"/>
        </w:rPr>
      </w:pPr>
    </w:p>
    <w:p>
      <w:pPr>
        <w:ind w:left="2120" w:right="1620" w:firstLine="1795"/>
        <w:spacing w:after="0" w:line="254" w:lineRule="auto"/>
        <w:rPr>
          <w:rFonts w:ascii="Arial" w:cs="Arial" w:eastAsia="Arial" w:hAnsi="Arial"/>
          <w:sz w:val="22"/>
          <w:szCs w:val="22"/>
          <w:color w:val="auto"/>
        </w:rPr>
      </w:pPr>
      <w:r>
        <w:rPr>
          <w:rFonts w:ascii="Arial" w:cs="Arial" w:eastAsia="Arial" w:hAnsi="Arial"/>
          <w:sz w:val="21"/>
          <w:szCs w:val="21"/>
          <w:color w:val="auto"/>
        </w:rPr>
        <w:t>Employee received this Agreement, which period may be waived; iii.Employee has seven days after signing this Agreement to revoke it;</w:t>
      </w:r>
    </w:p>
    <w:p>
      <w:pPr>
        <w:spacing w:after="0" w:line="1" w:lineRule="exact"/>
        <w:rPr>
          <w:rFonts w:ascii="Arial" w:cs="Arial" w:eastAsia="Arial" w:hAnsi="Arial"/>
          <w:sz w:val="22"/>
          <w:szCs w:val="22"/>
          <w:color w:val="auto"/>
        </w:rPr>
      </w:pPr>
    </w:p>
    <w:p>
      <w:pPr>
        <w:ind w:left="2120" w:right="120"/>
        <w:spacing w:after="0" w:line="281" w:lineRule="auto"/>
        <w:rPr>
          <w:rFonts w:ascii="Arial" w:cs="Arial" w:eastAsia="Arial" w:hAnsi="Arial"/>
          <w:sz w:val="22"/>
          <w:szCs w:val="22"/>
          <w:color w:val="auto"/>
        </w:rPr>
      </w:pPr>
      <w:r>
        <w:rPr>
          <w:rFonts w:ascii="Arial" w:cs="Arial" w:eastAsia="Arial" w:hAnsi="Arial"/>
          <w:sz w:val="19"/>
          <w:szCs w:val="19"/>
          <w:color w:val="auto"/>
        </w:rPr>
        <w:t>iv.If Employee revokes this Agreement Employee will not receive the consideration in Paragraph 2; and v.This Agreement does not prevent Employee from later challenging the validity of the Agreement or</w:t>
      </w:r>
    </w:p>
    <w:p>
      <w:pPr>
        <w:spacing w:after="0" w:line="1" w:lineRule="exact"/>
        <w:rPr>
          <w:rFonts w:ascii="Arial" w:cs="Arial" w:eastAsia="Arial" w:hAnsi="Arial"/>
          <w:sz w:val="22"/>
          <w:szCs w:val="22"/>
          <w:color w:val="auto"/>
        </w:rPr>
      </w:pPr>
    </w:p>
    <w:p>
      <w:pPr>
        <w:ind w:left="3880"/>
        <w:spacing w:after="0"/>
        <w:rPr>
          <w:rFonts w:ascii="Arial" w:cs="Arial" w:eastAsia="Arial" w:hAnsi="Arial"/>
          <w:sz w:val="22"/>
          <w:szCs w:val="22"/>
          <w:color w:val="auto"/>
        </w:rPr>
      </w:pPr>
      <w:r>
        <w:rPr>
          <w:rFonts w:ascii="Arial" w:cs="Arial" w:eastAsia="Arial" w:hAnsi="Arial"/>
          <w:sz w:val="22"/>
          <w:szCs w:val="22"/>
          <w:color w:val="auto"/>
        </w:rPr>
        <w:t>from filing a charge with any government agency.</w:t>
      </w:r>
    </w:p>
    <w:p>
      <w:pPr>
        <w:spacing w:after="0" w:line="236" w:lineRule="exact"/>
        <w:rPr>
          <w:rFonts w:ascii="Arial" w:cs="Arial" w:eastAsia="Arial" w:hAnsi="Arial"/>
          <w:sz w:val="22"/>
          <w:szCs w:val="22"/>
          <w:color w:val="auto"/>
        </w:rPr>
      </w:pPr>
    </w:p>
    <w:p>
      <w:pPr>
        <w:jc w:val="both"/>
        <w:ind w:firstLine="656"/>
        <w:spacing w:after="0" w:line="252" w:lineRule="auto"/>
        <w:tabs>
          <w:tab w:leader="none" w:pos="1039" w:val="left"/>
        </w:tabs>
        <w:numPr>
          <w:ilvl w:val="0"/>
          <w:numId w:val="30"/>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California Civil Code §1542 and of Unknown Claims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agrees that by signing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accepting the benefits it provides, and by voluntarily releasing and discharging Employer and all Releasees from any and all claims as described above, Employee specifically and freely waives any and all rights Employee may have under California Civil Code section 1542, which states:</w:t>
      </w:r>
    </w:p>
    <w:p>
      <w:pPr>
        <w:spacing w:after="0" w:line="220"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waiving the protections of Civil Code section 1542, Employee expressly acknowledges this Agreement is intended to include in its effect, without limitation, all claims Employee does not know or suspect to exist in Employee’s favor at the time of signing this Agreement, and that this Agreement contemplates the extinguishment of any such claims. Employee further acknowledges that Employee later may discover facts different from or in addition to those Employee now knows or believes to be true regarding the matters released or described in this Agreement, and even so Employee agrees that the releases and agreements contained in this Agreement shall remain effective in all respects notwithstanding any later discovery of any different or additional facts. So that this Agreement provides a full and complete waiver and release, Employee expressly assumes the risk that Employee may later discover facts different from those facts Employee now knows or believes to be true.</w:t>
      </w:r>
    </w:p>
    <w:p>
      <w:pPr>
        <w:spacing w:after="0" w:line="190" w:lineRule="exact"/>
        <w:rPr>
          <w:sz w:val="20"/>
          <w:szCs w:val="20"/>
          <w:color w:val="auto"/>
        </w:rPr>
      </w:pPr>
    </w:p>
    <w:p>
      <w:pPr>
        <w:ind w:firstLine="656"/>
        <w:spacing w:after="0" w:line="269" w:lineRule="auto"/>
        <w:tabs>
          <w:tab w:leader="none" w:pos="1201"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Acknowledgments and Affirmations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affirms that, as of the date of Employee’s signature on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all of the following statements are true and correct:</w:t>
      </w:r>
    </w:p>
    <w:p>
      <w:pPr>
        <w:spacing w:after="0" w:line="208"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Employee has not filed or caused to be filed, and presently is not a party to any claim against Employer.</w:t>
      </w:r>
    </w:p>
    <w:p>
      <w:pPr>
        <w:spacing w:after="0" w:line="200" w:lineRule="exact"/>
        <w:rPr>
          <w:sz w:val="20"/>
          <w:szCs w:val="20"/>
          <w:color w:val="auto"/>
        </w:rPr>
      </w:pPr>
    </w:p>
    <w:p>
      <w:pPr>
        <w:spacing w:after="0" w:line="229"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4 of 8</w:t>
      </w:r>
    </w:p>
    <w:p>
      <w:pPr>
        <w:sectPr>
          <w:pgSz w:w="11900" w:h="16838" w:orient="portrait"/>
          <w:cols w:equalWidth="0" w:num="1">
            <w:col w:w="11240"/>
          </w:cols>
          <w:pgMar w:left="320" w:top="321" w:right="339" w:bottom="1440" w:gutter="0" w:footer="0" w:header="0"/>
        </w:sectPr>
      </w:pPr>
    </w:p>
    <w:bookmarkStart w:id="55" w:name="page56"/>
    <w:bookmarkEnd w:id="55"/>
    <w:p>
      <w:pPr>
        <w:ind w:left="980" w:hanging="324"/>
        <w:spacing w:after="0" w:line="251"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Employee has been paid or has received all compensation, wages, bonuses, commissions, or benefits to which Employee may be entitled for work performed for Employer.</w:t>
      </w:r>
    </w:p>
    <w:p>
      <w:pPr>
        <w:spacing w:after="0" w:line="1" w:lineRule="exact"/>
        <w:rPr>
          <w:rFonts w:ascii="Arial" w:cs="Arial" w:eastAsia="Arial" w:hAnsi="Arial"/>
          <w:sz w:val="22"/>
          <w:szCs w:val="22"/>
          <w:color w:val="auto"/>
        </w:rPr>
      </w:pPr>
    </w:p>
    <w:p>
      <w:pPr>
        <w:ind w:left="980" w:hanging="324"/>
        <w:spacing w:after="0" w:line="243"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Employee has been granted any leave to which Employee was entitled under the Family and Medical Leave Act or related state or local leave or disability accommodation laws.</w:t>
      </w:r>
    </w:p>
    <w:p>
      <w:pPr>
        <w:ind w:left="980" w:hanging="324"/>
        <w:spacing w:after="0"/>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Employee has no known workplace injuries or occupational diseases.</w:t>
      </w:r>
    </w:p>
    <w:p>
      <w:pPr>
        <w:spacing w:after="0" w:line="3" w:lineRule="exact"/>
        <w:rPr>
          <w:rFonts w:ascii="Arial" w:cs="Arial" w:eastAsia="Arial" w:hAnsi="Arial"/>
          <w:sz w:val="22"/>
          <w:szCs w:val="22"/>
          <w:color w:val="auto"/>
        </w:rPr>
      </w:pPr>
    </w:p>
    <w:p>
      <w:pPr>
        <w:jc w:val="both"/>
        <w:ind w:left="980" w:hanging="324"/>
        <w:spacing w:after="0" w:line="243"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Employee has not divulged any proprietary or confidential information of Employer and will continue to maintain the confidentiality of such information consistent with Employer’s policies, including but not limited to all agreements signed requiring Employee to to maintain confidentiality of confidential or trade secret information of Employer, or applicable law.</w:t>
      </w:r>
    </w:p>
    <w:p>
      <w:pPr>
        <w:spacing w:after="0" w:line="1" w:lineRule="exact"/>
        <w:rPr>
          <w:rFonts w:ascii="Arial" w:cs="Arial" w:eastAsia="Arial" w:hAnsi="Arial"/>
          <w:sz w:val="22"/>
          <w:szCs w:val="22"/>
          <w:color w:val="auto"/>
        </w:rPr>
      </w:pPr>
    </w:p>
    <w:p>
      <w:pPr>
        <w:jc w:val="both"/>
        <w:ind w:left="980" w:right="20" w:hanging="324"/>
        <w:spacing w:after="0" w:line="243"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Employee has not been retaliated against for reporting any allegations of wrongdoing by Employer or its officers, including any allegations of corporate fraud. Both Parties acknowledge that this Agreement does not limit either party’s right, where applicable, to file or participate in an investigative proceeding of any federal, state or local governmental agency.</w:t>
      </w:r>
    </w:p>
    <w:p>
      <w:pPr>
        <w:spacing w:after="0" w:line="1" w:lineRule="exact"/>
        <w:rPr>
          <w:rFonts w:ascii="Arial" w:cs="Arial" w:eastAsia="Arial" w:hAnsi="Arial"/>
          <w:sz w:val="22"/>
          <w:szCs w:val="22"/>
          <w:color w:val="auto"/>
        </w:rPr>
      </w:pPr>
    </w:p>
    <w:p>
      <w:pPr>
        <w:jc w:val="both"/>
        <w:ind w:left="980" w:hanging="324"/>
        <w:spacing w:after="0" w:line="245"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All of Employer's decisions regarding Employee's pay and benefits through the date Employee signs this Agreement were not discriminatory based on age, disability, race, color, sex, religion, national origin or any other classification protected by law.</w:t>
      </w:r>
    </w:p>
    <w:p>
      <w:pPr>
        <w:spacing w:after="0" w:line="24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0"/>
          <w:szCs w:val="20"/>
          <w:color w:val="auto"/>
        </w:rPr>
        <w:t>8</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Limited Disclosure</w:t>
      </w:r>
      <w:r>
        <w:rPr>
          <w:rFonts w:ascii="Arial" w:cs="Arial" w:eastAsia="Arial" w:hAnsi="Arial"/>
          <w:sz w:val="20"/>
          <w:szCs w:val="20"/>
          <w:b w:val="1"/>
          <w:bCs w:val="1"/>
          <w:color w:val="auto"/>
        </w:rPr>
        <w:t>.</w:t>
      </w:r>
      <w:r>
        <w:rPr>
          <w:rFonts w:ascii="Arial" w:cs="Arial" w:eastAsia="Arial" w:hAnsi="Arial"/>
          <w:sz w:val="20"/>
          <w:szCs w:val="20"/>
          <w:color w:val="auto"/>
        </w:rPr>
        <w:t xml:space="preserve"> Employee agrees that Employee will not publicize or disclose or cause or knowingly permit or authorize the publicizing or disclosure of the fact of this Agreement, the contents of this Agreement, including the amount paid as severance, or the negotiations leading up to this Agreement to any person, firm, organization, or entity of any and every type, public or private, for any reason, at any time, without the prior written consent of Employer unless otherwise compelled by operation of law. The Parties acknowledge their intention that the provisions of this Section 8 creates no liability for disclosures made: (i) prior to Employee’s execution of this Agreement; (ii) by persons from public information released prior to Employee’s execution of this Agreement; (iii) to enforce the terms of this Agreement; or (iv) as otherwise compelled by operation of law. Employee agrees that Employee will only disclose the terms of this Agreement to Employee’s spouse or registered domestic partner, attorneys, accountants or financial advisors, and only after such persons to whom information may be disclosed also agree not to disclose or publish in any way any information regarding the terms of this Agreement. Employee may also disclose the terms of this Agreement to government agencies that ask about it or may disclose this Agreement in an action to enforce its terms. Employee understands and acknowledges this confidentiality requirement constitutes an essential and material part of this Agreement, and that the Employer and Releasees would not enter into this Agreement without Employee’s promise to maintain it in confidence.</w:t>
      </w:r>
    </w:p>
    <w:p>
      <w:pPr>
        <w:spacing w:after="0" w:line="213" w:lineRule="exact"/>
        <w:rPr>
          <w:sz w:val="20"/>
          <w:szCs w:val="20"/>
          <w:color w:val="auto"/>
        </w:rPr>
      </w:pPr>
    </w:p>
    <w:p>
      <w:pPr>
        <w:jc w:val="both"/>
        <w:ind w:firstLine="656"/>
        <w:spacing w:after="0" w:line="248" w:lineRule="auto"/>
        <w:tabs>
          <w:tab w:leader="none" w:pos="1188" w:val="left"/>
        </w:tabs>
        <w:numPr>
          <w:ilvl w:val="0"/>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Employee Communications and References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agrees that Employee will not in any way disparage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or any of the Releasees, including, but not limited to, their officers, directors and employees, or make or solicit any comments, statements, or the like to the media or to others that may be considered to be derogatory or detrimental to the good name or business reputation of Employer or any of the Releasees. Employee agrees to provide truthful testimony if any subpoena, court or government agency asks for Employee’s assistance and to otherwise cooperate with Employer with respect to reasonable requests made pertaining to matters</w:t>
      </w:r>
    </w:p>
    <w:p>
      <w:pPr>
        <w:spacing w:after="0" w:line="200" w:lineRule="exact"/>
        <w:rPr>
          <w:sz w:val="20"/>
          <w:szCs w:val="20"/>
          <w:color w:val="auto"/>
        </w:rPr>
      </w:pPr>
    </w:p>
    <w:p>
      <w:pPr>
        <w:spacing w:after="0" w:line="202"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5 of 8</w:t>
      </w:r>
    </w:p>
    <w:p>
      <w:pPr>
        <w:sectPr>
          <w:pgSz w:w="11900" w:h="16838" w:orient="portrait"/>
          <w:cols w:equalWidth="0" w:num="1">
            <w:col w:w="11240"/>
          </w:cols>
          <w:pgMar w:left="320" w:top="348" w:right="3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22"/>
          <w:szCs w:val="22"/>
          <w:color w:val="auto"/>
        </w:rPr>
        <w:t>of which Employee has knowledge. Employee acknowledges that the obligations under this Section 9 are a material part of this Agreement.</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Employee will ask future employers to direct any questions about Employee to the Employer’s Human Resources Department, which will follow Employer policy by responding with only Employee’s last position and dates of employment, unless Employee provides a written authorization allowing for the Employer to provide additional information. Any such written authorization must be on a form approved by the Employer.</w:t>
      </w:r>
    </w:p>
    <w:p>
      <w:pPr>
        <w:spacing w:after="0" w:line="222" w:lineRule="exact"/>
        <w:rPr>
          <w:sz w:val="20"/>
          <w:szCs w:val="20"/>
          <w:color w:val="auto"/>
        </w:rPr>
      </w:pPr>
    </w:p>
    <w:p>
      <w:pPr>
        <w:jc w:val="both"/>
        <w:ind w:firstLine="656"/>
        <w:spacing w:after="0" w:line="291" w:lineRule="auto"/>
        <w:tabs>
          <w:tab w:leader="none" w:pos="1215" w:val="left"/>
        </w:tabs>
        <w:numPr>
          <w:ilvl w:val="0"/>
          <w:numId w:val="35"/>
        </w:numPr>
        <w:rPr>
          <w:rFonts w:ascii="Arial" w:cs="Arial" w:eastAsia="Arial" w:hAnsi="Arial"/>
          <w:sz w:val="19"/>
          <w:szCs w:val="19"/>
          <w:color w:val="auto"/>
        </w:rPr>
      </w:pPr>
      <w:r>
        <w:rPr>
          <w:rFonts w:ascii="Arial" w:cs="Arial" w:eastAsia="Arial" w:hAnsi="Arial"/>
          <w:sz w:val="19"/>
          <w:szCs w:val="19"/>
          <w:b w:val="1"/>
          <w:bCs w:val="1"/>
          <w:u w:val="single" w:color="auto"/>
          <w:color w:val="auto"/>
        </w:rPr>
        <w:t>Non-Interference/Non-Solicitation</w:t>
      </w:r>
      <w:r>
        <w:rPr>
          <w:rFonts w:ascii="Arial" w:cs="Arial" w:eastAsia="Arial" w:hAnsi="Arial"/>
          <w:sz w:val="19"/>
          <w:szCs w:val="19"/>
          <w:color w:val="auto"/>
        </w:rPr>
        <w:t>. Employee agrees that until the first anniversary of the Separation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Period”), Employee will not directly or indirectly use any confidential information of the Employer to interfere with business relationships (whether formed before or after the date of this Agreement) between Employer and any of its affiliates and customers, suppliers, partners, members, or investors of Employer or its affiliates. In addition, Employee further agrees that during the Restricted Period, Employee will not, directly or indirectly, (i) solicit or encourage any employee of Employer or its affiliates to leave the employment of Employer or its affiliates, or (ii) solicit or encourage to cease to work with Employer or its affiliates any consultant then under contract with Employer or its affiliates; provided, however, that general advertising not directed specifically at employees of Employer or any affiliate shall not be deemed to violate this section 10.</w:t>
      </w:r>
    </w:p>
    <w:p>
      <w:pPr>
        <w:spacing w:after="0" w:line="19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It is expressly understood and agreed that although Employee and Employer consider the restrictions contained in this Section 10 to be reasonable, if a final judicial determination is made by a court of competent jurisdiction that any restriction contained in this Agreement is an unenforceable restriction against Employee, the provisions of the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199" w:lineRule="exact"/>
        <w:rPr>
          <w:sz w:val="20"/>
          <w:szCs w:val="20"/>
          <w:color w:val="auto"/>
        </w:rPr>
      </w:pPr>
    </w:p>
    <w:p>
      <w:pPr>
        <w:jc w:val="both"/>
        <w:ind w:firstLine="656"/>
        <w:spacing w:after="0" w:line="273" w:lineRule="auto"/>
        <w:tabs>
          <w:tab w:leader="none" w:pos="1197" w:val="left"/>
        </w:tabs>
        <w:numPr>
          <w:ilvl w:val="0"/>
          <w:numId w:val="36"/>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 and Return of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affirms that, except in the performance of Employee’s duties</w:t>
      </w:r>
      <w:r>
        <w:rPr>
          <w:rFonts w:ascii="Arial" w:cs="Arial" w:eastAsia="Arial" w:hAnsi="Arial"/>
          <w:sz w:val="21"/>
          <w:szCs w:val="21"/>
          <w:b w:val="1"/>
          <w:bCs w:val="1"/>
          <w:color w:val="auto"/>
        </w:rPr>
        <w:t xml:space="preserve"> </w:t>
      </w:r>
      <w:r>
        <w:rPr>
          <w:rFonts w:ascii="Arial" w:cs="Arial" w:eastAsia="Arial" w:hAnsi="Arial"/>
          <w:sz w:val="21"/>
          <w:szCs w:val="21"/>
          <w:color w:val="auto"/>
        </w:rPr>
        <w:t>on the Employer’s behalf, Employee has not divulged any proprietary or confidential information of the Employer and that Employee will continue to maintain the confidentiality of such information consistent with the Employer’s policies, including but not limited to all agreements signed requiring Employee to to maintain confidentiality of confidential or trade secret information of Employer, and the law. Employee further affirms that Employee does not have any of Employer’s property, documents and/or confidential information in Employee’s possession or control and that Employee has not had any Employer property, documents and/or confidential information in Employee’s possession or control since Employee’s Separation Date. Employee also affirms that Employee has not asked anyone to provide Employee with any of Employer’s property, documents and/or confidential information since Employee’s Separation Date.</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Under the federal Defend Trade Secrets Act of 2016, Employee shall not be held criminally or civilly liable under any federal or state trade secret law for the disclosure of a trade secret that:</w:t>
      </w:r>
    </w:p>
    <w:p>
      <w:pPr>
        <w:spacing w:after="0" w:line="384"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6 of 8</w:t>
      </w:r>
    </w:p>
    <w:p>
      <w:pPr>
        <w:sectPr>
          <w:pgSz w:w="11900" w:h="16838" w:orient="portrait"/>
          <w:cols w:equalWidth="0" w:num="1">
            <w:col w:w="11240"/>
          </w:cols>
          <w:pgMar w:left="320" w:top="348" w:right="339" w:bottom="1440" w:gutter="0" w:footer="0" w:header="0"/>
        </w:sectPr>
      </w:pPr>
    </w:p>
    <w:bookmarkStart w:id="57" w:name="page58"/>
    <w:bookmarkEnd w:id="57"/>
    <w:p>
      <w:pPr>
        <w:jc w:val="both"/>
        <w:ind w:firstLine="8"/>
        <w:spacing w:after="0" w:line="265" w:lineRule="auto"/>
        <w:tabs>
          <w:tab w:leader="none" w:pos="295" w:val="left"/>
        </w:tabs>
        <w:numPr>
          <w:ilvl w:val="0"/>
          <w:numId w:val="37"/>
        </w:numPr>
        <w:rPr>
          <w:rFonts w:ascii="Arial" w:cs="Arial" w:eastAsia="Arial" w:hAnsi="Arial"/>
          <w:sz w:val="21"/>
          <w:szCs w:val="21"/>
          <w:color w:val="auto"/>
        </w:rPr>
      </w:pPr>
      <w:r>
        <w:rPr>
          <w:rFonts w:ascii="Arial" w:cs="Arial" w:eastAsia="Arial" w:hAnsi="Arial"/>
          <w:sz w:val="21"/>
          <w:szCs w:val="21"/>
          <w:color w:val="auto"/>
        </w:rPr>
        <w:t>is made (i) in confidence to a federal, state, or local government official, either directly or indirectly, or to an attorney; and (ii) solely for the purpose of reporting or investigating a suspected violation of law; or (b) is made to Employee’s attorney in relation to a lawsuit for retaliation against Employee for reporting a suspected violation of law; or (c) is made in a complaint or other document filed in a lawsuit or other proceeding, if such filing is made under seal.</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Employee affirms that Employee has returned and not destroyed any of Employer’s property, documents, and/or any confidential information that were in Employee’s possession or control. Employee also affirms that Employee is in possession of all of Employee’s property that Employee had at Employer’s premises and that Employer is not in possession of any of Employee’s personal property.</w:t>
      </w:r>
    </w:p>
    <w:p>
      <w:pPr>
        <w:spacing w:after="0" w:line="222" w:lineRule="exact"/>
        <w:rPr>
          <w:sz w:val="20"/>
          <w:szCs w:val="20"/>
          <w:color w:val="auto"/>
        </w:rPr>
      </w:pPr>
    </w:p>
    <w:p>
      <w:pPr>
        <w:jc w:val="both"/>
        <w:ind w:firstLine="656"/>
        <w:spacing w:after="0" w:line="262" w:lineRule="auto"/>
        <w:tabs>
          <w:tab w:leader="none" w:pos="1228"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Interpretation</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 governed and conformed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laws of the State of California without regard to its conflict of laws provision. In the event of a breach of any provision of this Agreement, either party may institute an action specifically to enforce any term or terms of this Agreement or to seek any damages for breach. Should any provision of this Agreement be declared illegal or unenforceable by any court of competent jurisdiction and cannot be modified to be enforceable, excluding the general release language, such provision shall immediately become null and void, leaving the remainder of this Agreement in full force and effect.</w:t>
      </w:r>
    </w:p>
    <w:p>
      <w:pPr>
        <w:spacing w:after="0" w:line="213" w:lineRule="exact"/>
        <w:rPr>
          <w:rFonts w:ascii="Arial" w:cs="Arial" w:eastAsia="Arial" w:hAnsi="Arial"/>
          <w:sz w:val="21"/>
          <w:szCs w:val="21"/>
          <w:color w:val="auto"/>
        </w:rPr>
      </w:pPr>
    </w:p>
    <w:p>
      <w:pPr>
        <w:jc w:val="both"/>
        <w:ind w:firstLine="656"/>
        <w:spacing w:after="0" w:line="275" w:lineRule="auto"/>
        <w:tabs>
          <w:tab w:leader="none" w:pos="1390"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Nonadmission of Wrongdoing</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agree that neither this Agreement nor the furnishing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for this Agreement shall be deemed or construed at any time for any purpose as an admission by Releasees of wrongdoing or evidence of any liability or unlawful conduct of any kind.</w:t>
      </w:r>
    </w:p>
    <w:p>
      <w:pPr>
        <w:spacing w:after="0" w:line="210" w:lineRule="exact"/>
        <w:rPr>
          <w:rFonts w:ascii="Arial" w:cs="Arial" w:eastAsia="Arial" w:hAnsi="Arial"/>
          <w:sz w:val="22"/>
          <w:szCs w:val="22"/>
          <w:color w:val="auto"/>
        </w:rPr>
      </w:pPr>
    </w:p>
    <w:p>
      <w:pPr>
        <w:ind w:firstLine="656"/>
        <w:spacing w:after="0" w:line="269" w:lineRule="auto"/>
        <w:tabs>
          <w:tab w:leader="none" w:pos="1174"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not be modified, altered or changed except in a writing signed by both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that specifically refers to this Agreement.</w:t>
      </w:r>
    </w:p>
    <w:p>
      <w:pPr>
        <w:spacing w:after="0" w:line="202" w:lineRule="exact"/>
        <w:rPr>
          <w:rFonts w:ascii="Arial" w:cs="Arial" w:eastAsia="Arial" w:hAnsi="Arial"/>
          <w:sz w:val="22"/>
          <w:szCs w:val="22"/>
          <w:color w:val="auto"/>
        </w:rPr>
      </w:pPr>
    </w:p>
    <w:p>
      <w:pPr>
        <w:jc w:val="both"/>
        <w:ind w:firstLine="656"/>
        <w:spacing w:after="0" w:line="262" w:lineRule="auto"/>
        <w:tabs>
          <w:tab w:leader="none" w:pos="1147"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sets forth the entire agreement between the Employee and the Employer about</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Employee’s termination, and fully supersedes any prior agreements or understandings about Employee’s employment or the termination of that Employment, except that the Mutual Agreement to Arbitrate Claims entered into by the parties on or about December 15, 2019 shall also remain in effect. Employee acknowledges that Employee has not relied on any representations, promises, or agreements of any kind made to Employee in connection with Employee’s decision to accept this Agreement, except for those set forth in this Agreement.</w:t>
      </w:r>
    </w:p>
    <w:p>
      <w:pPr>
        <w:spacing w:after="0" w:line="213" w:lineRule="exact"/>
        <w:rPr>
          <w:rFonts w:ascii="Arial" w:cs="Arial" w:eastAsia="Arial" w:hAnsi="Arial"/>
          <w:sz w:val="21"/>
          <w:szCs w:val="21"/>
          <w:color w:val="auto"/>
        </w:rPr>
      </w:pPr>
    </w:p>
    <w:p>
      <w:pPr>
        <w:ind w:firstLine="656"/>
        <w:spacing w:after="0" w:line="349" w:lineRule="auto"/>
        <w:tabs>
          <w:tab w:leader="none" w:pos="1161"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No Waiver</w:t>
      </w:r>
      <w:r>
        <w:rPr>
          <w:rFonts w:ascii="Arial" w:cs="Arial" w:eastAsia="Arial" w:hAnsi="Arial"/>
          <w:sz w:val="19"/>
          <w:szCs w:val="19"/>
          <w:color w:val="auto"/>
        </w:rPr>
        <w:t>. If Employee or Employer fails to enforce this Agreement or to insist on performance of any term, that</w:t>
      </w:r>
      <w:r>
        <w:rPr>
          <w:rFonts w:ascii="Arial" w:cs="Arial" w:eastAsia="Arial" w:hAnsi="Arial"/>
          <w:sz w:val="19"/>
          <w:szCs w:val="19"/>
          <w:b w:val="1"/>
          <w:bCs w:val="1"/>
          <w:color w:val="auto"/>
        </w:rPr>
        <w:t xml:space="preserve"> </w:t>
      </w:r>
      <w:r>
        <w:rPr>
          <w:rFonts w:ascii="Arial" w:cs="Arial" w:eastAsia="Arial" w:hAnsi="Arial"/>
          <w:sz w:val="19"/>
          <w:szCs w:val="19"/>
          <w:color w:val="auto"/>
        </w:rPr>
        <w:t>failure does not mean a waiver of that term or of the Agreement. The Agreement remains in full force and effect anyway.</w:t>
      </w:r>
    </w:p>
    <w:p>
      <w:pPr>
        <w:spacing w:after="0" w:line="134" w:lineRule="exact"/>
        <w:rPr>
          <w:rFonts w:ascii="Arial" w:cs="Arial" w:eastAsia="Arial" w:hAnsi="Arial"/>
          <w:sz w:val="19"/>
          <w:szCs w:val="19"/>
          <w:color w:val="auto"/>
        </w:rPr>
      </w:pPr>
    </w:p>
    <w:p>
      <w:pPr>
        <w:ind w:firstLine="656"/>
        <w:spacing w:after="0" w:line="269" w:lineRule="auto"/>
        <w:tabs>
          <w:tab w:leader="none" w:pos="1350"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Voluntary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and the Employer each agree they have signed this Agreement freely and</w:t>
      </w:r>
      <w:r>
        <w:rPr>
          <w:rFonts w:ascii="Arial" w:cs="Arial" w:eastAsia="Arial" w:hAnsi="Arial"/>
          <w:sz w:val="22"/>
          <w:szCs w:val="22"/>
          <w:b w:val="1"/>
          <w:bCs w:val="1"/>
          <w:color w:val="auto"/>
        </w:rPr>
        <w:t xml:space="preserve"> </w:t>
      </w:r>
      <w:r>
        <w:rPr>
          <w:rFonts w:ascii="Arial" w:cs="Arial" w:eastAsia="Arial" w:hAnsi="Arial"/>
          <w:sz w:val="22"/>
          <w:szCs w:val="22"/>
          <w:color w:val="auto"/>
        </w:rPr>
        <w:t>voluntarily after having read the Agreement and consulted counsel of</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8</w:t>
      </w:r>
    </w:p>
    <w:p>
      <w:pPr>
        <w:sectPr>
          <w:pgSz w:w="11900" w:h="16838" w:orient="portrait"/>
          <w:cols w:equalWidth="0" w:num="1">
            <w:col w:w="11240"/>
          </w:cols>
          <w:pgMar w:left="320" w:top="348" w:right="339" w:bottom="1440" w:gutter="0" w:footer="0" w:header="0"/>
        </w:sectPr>
      </w:pPr>
    </w:p>
    <w:bookmarkStart w:id="58" w:name="page59"/>
    <w:bookmarkEnd w:id="58"/>
    <w:p>
      <w:pPr>
        <w:spacing w:after="0" w:line="263" w:lineRule="auto"/>
        <w:rPr>
          <w:sz w:val="20"/>
          <w:szCs w:val="20"/>
          <w:color w:val="auto"/>
        </w:rPr>
      </w:pPr>
      <w:r>
        <w:rPr>
          <w:rFonts w:ascii="Arial" w:cs="Arial" w:eastAsia="Arial" w:hAnsi="Arial"/>
          <w:sz w:val="22"/>
          <w:szCs w:val="22"/>
          <w:color w:val="auto"/>
        </w:rPr>
        <w:t>their choice if they wished to do so. Employee understands the meaning of this Agreement and its releases and that this Agreement is a legal contract that is binding on Employee and the Employer.</w:t>
      </w:r>
    </w:p>
    <w:p>
      <w:pPr>
        <w:spacing w:after="0" w:line="209" w:lineRule="exact"/>
        <w:rPr>
          <w:sz w:val="20"/>
          <w:szCs w:val="20"/>
          <w:color w:val="auto"/>
        </w:rPr>
      </w:pPr>
    </w:p>
    <w:p>
      <w:pPr>
        <w:jc w:val="both"/>
        <w:ind w:firstLine="656"/>
        <w:spacing w:after="0" w:line="315" w:lineRule="auto"/>
        <w:tabs>
          <w:tab w:leader="none" w:pos="1215" w:val="left"/>
        </w:tabs>
        <w:numPr>
          <w:ilvl w:val="0"/>
          <w:numId w:val="39"/>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and the Employer may sign separate copies of this Agreement, but those separate copies</w:t>
      </w:r>
      <w:r>
        <w:rPr>
          <w:rFonts w:ascii="Arial" w:cs="Arial" w:eastAsia="Arial" w:hAnsi="Arial"/>
          <w:sz w:val="19"/>
          <w:szCs w:val="19"/>
          <w:b w:val="1"/>
          <w:bCs w:val="1"/>
          <w:color w:val="auto"/>
        </w:rPr>
        <w:t xml:space="preserve"> </w:t>
      </w:r>
      <w:r>
        <w:rPr>
          <w:rFonts w:ascii="Arial" w:cs="Arial" w:eastAsia="Arial" w:hAnsi="Arial"/>
          <w:sz w:val="19"/>
          <w:szCs w:val="19"/>
          <w:color w:val="auto"/>
        </w:rPr>
        <w:t>will constitute one agreement and each signed copy will be fully effective as if it were a single original document. A facsimile or Adobe portable document format (“pdf”) copy of this Agreement shall be as effective as an original.</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EMPLOYEE IS ADVISED THAT EMPLOYEE HAS UP TO TWENTY-ONE (21) CALENDAR DAYS TO CONSIDER THIS AGREEMENT. EMPLOYEE ALSO IS ADVISED TO CONSULT WITH AN ATTORNEY OF EMPLOYEE’S CHOICE BEFORE SIGNING THIS AGREEMENT.</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EMPLOYEE MAY REVOKE THIS AGREEMENT FOR A PERIOD OF SEVEN (7) CALENDAR DAYS FOLLOWING THE DAY EMPLOYEE SIGNS THIS AGREEMENT. ANY REVOCATION WITHIN THIS PERIOD MUST BE SUBMITTED, IN WRITING, TO JENNIFER JAFFE, CHIEF PEOPLE OFFICER AND STATE, "I HEREBY REVOKE MY ACCEPTANCE OF OUR AGREEMENT." THE REVOCATION MUST BE PERSONALLY DELIVERED TO JENNIFER JAFFE OR HER DESIGNEE, OR MAILED TO JENNIFER JAFFE AND POSTMARKED WITHIN SEVEN (7) CALENDAR DAYS AFTER EMPLOYEE SIGNS THIS AGREEMENT. IF EMPLOYEE REVOKES THIS AGREEMENT, EMPLOYEE WILL NOT RECEIVE THE CONSIDERATION DESCRIBED IN SECTION “2” ABOVE.</w:t>
      </w:r>
    </w:p>
    <w:p>
      <w:pPr>
        <w:spacing w:after="0" w:line="22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EMPLOYEE AGREES THAT ANY MODIFICATIONS, MATERIAL OR OTHERWISE, MADE TO THIS AGREEMENT DO NOT RESTART OR AFFECT IN ANY MANNER THE CONSIDERATION PERIOD.</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EMPLOYEE FREELY AND KNOWINGLY, AND AFTER DUE CONSIDERATION, ENTERS INTO THIS AGREEMENT INTENDING TO WAIVE, SETTLE AND RELEASE ALL CLAIMS EMPLOYEE HAS OR MIGHT HAVE AGAINST RELEASEES.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knowingly and voluntarily sign this Agreement as of the date(s) set forth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920" w:type="dxa"/>
            <w:vAlign w:val="bottom"/>
            <w:gridSpan w:val="5"/>
          </w:tcPr>
          <w:p>
            <w:pPr>
              <w:ind w:left="800"/>
              <w:spacing w:after="0"/>
              <w:rPr>
                <w:sz w:val="20"/>
                <w:szCs w:val="20"/>
                <w:color w:val="auto"/>
              </w:rPr>
            </w:pPr>
            <w:r>
              <w:rPr>
                <w:rFonts w:ascii="Arial" w:cs="Arial" w:eastAsia="Arial" w:hAnsi="Arial"/>
                <w:sz w:val="22"/>
                <w:szCs w:val="22"/>
                <w:color w:val="auto"/>
              </w:rPr>
              <w:t>EL POLLO LOCO</w:t>
            </w:r>
          </w:p>
        </w:tc>
      </w:tr>
      <w:tr>
        <w:trPr>
          <w:trHeight w:val="719"/>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3240" w:type="dxa"/>
            <w:vAlign w:val="bottom"/>
            <w:gridSpan w:val="5"/>
          </w:tcPr>
          <w:p>
            <w:pPr>
              <w:jc w:val="right"/>
              <w:ind w:right="192"/>
              <w:spacing w:after="0"/>
              <w:rPr>
                <w:sz w:val="20"/>
                <w:szCs w:val="20"/>
                <w:color w:val="auto"/>
              </w:rPr>
            </w:pPr>
            <w:r>
              <w:rPr>
                <w:rFonts w:ascii="Arial" w:cs="Arial" w:eastAsia="Arial" w:hAnsi="Arial"/>
                <w:sz w:val="22"/>
                <w:szCs w:val="22"/>
                <w:color w:val="auto"/>
                <w:w w:val="88"/>
              </w:rPr>
              <w:t>____/s/_____________________</w:t>
            </w:r>
          </w:p>
        </w:tc>
        <w:tc>
          <w:tcPr>
            <w:tcW w:w="3920" w:type="dxa"/>
            <w:vAlign w:val="bottom"/>
            <w:gridSpan w:val="5"/>
          </w:tcPr>
          <w:p>
            <w:pPr>
              <w:ind w:left="140"/>
              <w:spacing w:after="0"/>
              <w:rPr>
                <w:sz w:val="20"/>
                <w:szCs w:val="20"/>
                <w:color w:val="auto"/>
              </w:rPr>
            </w:pPr>
            <w:r>
              <w:rPr>
                <w:rFonts w:ascii="Arial" w:cs="Arial" w:eastAsia="Arial" w:hAnsi="Arial"/>
                <w:sz w:val="22"/>
                <w:szCs w:val="22"/>
                <w:color w:val="auto"/>
              </w:rPr>
              <w:t>By:  __/s/_______________________</w:t>
            </w:r>
          </w:p>
        </w:tc>
      </w:tr>
      <w:tr>
        <w:trPr>
          <w:trHeight w:val="20"/>
        </w:trPr>
        <w:tc>
          <w:tcPr>
            <w:tcW w:w="50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69"/>
        </w:trPr>
        <w:tc>
          <w:tcPr>
            <w:tcW w:w="500" w:type="dxa"/>
            <w:vAlign w:val="bottom"/>
          </w:tcPr>
          <w:p>
            <w:pPr>
              <w:spacing w:after="0"/>
              <w:rPr>
                <w:sz w:val="23"/>
                <w:szCs w:val="23"/>
                <w:color w:val="auto"/>
              </w:rPr>
            </w:pPr>
          </w:p>
        </w:tc>
        <w:tc>
          <w:tcPr>
            <w:tcW w:w="2060" w:type="dxa"/>
            <w:vAlign w:val="bottom"/>
            <w:gridSpan w:val="4"/>
          </w:tcPr>
          <w:p>
            <w:pPr>
              <w:ind w:left="160"/>
              <w:spacing w:after="0"/>
              <w:rPr>
                <w:sz w:val="20"/>
                <w:szCs w:val="20"/>
                <w:color w:val="auto"/>
              </w:rPr>
            </w:pPr>
            <w:r>
              <w:rPr>
                <w:rFonts w:ascii="Arial" w:cs="Arial" w:eastAsia="Arial" w:hAnsi="Arial"/>
                <w:sz w:val="22"/>
                <w:szCs w:val="22"/>
                <w:color w:val="auto"/>
              </w:rPr>
              <w:t>Hector Munoz</w:t>
            </w:r>
          </w:p>
        </w:tc>
        <w:tc>
          <w:tcPr>
            <w:tcW w:w="5100" w:type="dxa"/>
            <w:vAlign w:val="bottom"/>
            <w:gridSpan w:val="6"/>
          </w:tcPr>
          <w:p>
            <w:pPr>
              <w:ind w:left="640"/>
              <w:spacing w:after="0"/>
              <w:rPr>
                <w:sz w:val="20"/>
                <w:szCs w:val="20"/>
                <w:color w:val="auto"/>
              </w:rPr>
            </w:pPr>
            <w:r>
              <w:rPr>
                <w:rFonts w:ascii="Arial" w:cs="Arial" w:eastAsia="Arial" w:hAnsi="Arial"/>
                <w:sz w:val="22"/>
                <w:szCs w:val="22"/>
                <w:color w:val="auto"/>
              </w:rPr>
              <w:t>Jennifer Jaffe</w:t>
            </w:r>
          </w:p>
        </w:tc>
      </w:tr>
      <w:tr>
        <w:trPr>
          <w:trHeight w:val="274"/>
        </w:trPr>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20" w:type="dxa"/>
            <w:vAlign w:val="bottom"/>
            <w:gridSpan w:val="2"/>
          </w:tcPr>
          <w:p>
            <w:pPr>
              <w:ind w:left="360"/>
              <w:spacing w:after="0"/>
              <w:rPr>
                <w:sz w:val="20"/>
                <w:szCs w:val="20"/>
                <w:color w:val="auto"/>
              </w:rPr>
            </w:pPr>
            <w:r>
              <w:rPr>
                <w:rFonts w:ascii="Arial" w:cs="Arial" w:eastAsia="Arial" w:hAnsi="Arial"/>
                <w:sz w:val="22"/>
                <w:szCs w:val="22"/>
                <w:color w:val="auto"/>
              </w:rPr>
              <w:t>Chief People Officer</w:t>
            </w:r>
          </w:p>
        </w:tc>
      </w:tr>
      <w:tr>
        <w:trPr>
          <w:trHeight w:val="462"/>
        </w:trPr>
        <w:tc>
          <w:tcPr>
            <w:tcW w:w="500" w:type="dxa"/>
            <w:vAlign w:val="bottom"/>
          </w:tcPr>
          <w:p>
            <w:pPr>
              <w:spacing w:after="0"/>
              <w:rPr>
                <w:sz w:val="20"/>
                <w:szCs w:val="20"/>
                <w:color w:val="auto"/>
              </w:rPr>
            </w:pPr>
            <w:r>
              <w:rPr>
                <w:rFonts w:ascii="Arial" w:cs="Arial" w:eastAsia="Arial" w:hAnsi="Arial"/>
                <w:sz w:val="22"/>
                <w:szCs w:val="22"/>
                <w:color w:val="auto"/>
                <w:w w:val="91"/>
              </w:rPr>
              <w:t>Date:</w:t>
            </w:r>
          </w:p>
        </w:tc>
        <w:tc>
          <w:tcPr>
            <w:tcW w:w="3240" w:type="dxa"/>
            <w:vAlign w:val="bottom"/>
            <w:gridSpan w:val="5"/>
          </w:tcPr>
          <w:p>
            <w:pPr>
              <w:jc w:val="right"/>
              <w:ind w:right="12"/>
              <w:spacing w:after="0"/>
              <w:rPr>
                <w:sz w:val="20"/>
                <w:szCs w:val="20"/>
                <w:color w:val="auto"/>
              </w:rPr>
            </w:pPr>
            <w:r>
              <w:rPr>
                <w:rFonts w:ascii="Arial" w:cs="Arial" w:eastAsia="Arial" w:hAnsi="Arial"/>
                <w:sz w:val="22"/>
                <w:szCs w:val="22"/>
                <w:color w:val="auto"/>
                <w:w w:val="93"/>
              </w:rPr>
              <w:t>___3/11/2020________________</w:t>
            </w:r>
          </w:p>
        </w:tc>
        <w:tc>
          <w:tcPr>
            <w:tcW w:w="3920" w:type="dxa"/>
            <w:vAlign w:val="bottom"/>
            <w:gridSpan w:val="5"/>
          </w:tcPr>
          <w:p>
            <w:pPr>
              <w:ind w:left="300"/>
              <w:spacing w:after="0"/>
              <w:rPr>
                <w:sz w:val="20"/>
                <w:szCs w:val="20"/>
                <w:color w:val="auto"/>
              </w:rPr>
            </w:pPr>
            <w:r>
              <w:rPr>
                <w:rFonts w:ascii="Arial" w:cs="Arial" w:eastAsia="Arial" w:hAnsi="Arial"/>
                <w:sz w:val="22"/>
                <w:szCs w:val="22"/>
                <w:color w:val="auto"/>
                <w:w w:val="91"/>
              </w:rPr>
              <w:t>Date:  __3/18/2020_________________</w:t>
            </w: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8</w:t>
      </w:r>
    </w:p>
    <w:p>
      <w:pPr>
        <w:sectPr>
          <w:pgSz w:w="11900" w:h="16838" w:orient="portrait"/>
          <w:cols w:equalWidth="0" w:num="1">
            <w:col w:w="11240"/>
          </w:cols>
          <w:pgMar w:left="320" w:top="34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Bernard Acoca, certify that:</w:t>
      </w:r>
    </w:p>
    <w:p>
      <w:pPr>
        <w:spacing w:after="0" w:line="225"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0" w:firstLine="8"/>
        <w:spacing w:after="0" w:line="263"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 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0" w:firstLine="8"/>
        <w:spacing w:after="0" w:line="263"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 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3"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Date: May 1,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lowerLetter"/>
      <w:start w:val="4"/>
    </w:lvl>
  </w:abstractNum>
  <w:abstractNum w:abstractNumId="6">
    <w:nsid w:val="54E49EB4"/>
    <w:multiLevelType w:val="hybridMultilevel"/>
    <w:lvl w:ilvl="0">
      <w:lvlJc w:val="left"/>
      <w:lvlText w:val="%1."/>
      <w:numFmt w:val="decimal"/>
      <w:start w:val="7"/>
    </w:lvl>
  </w:abstractNum>
  <w:abstractNum w:abstractNumId="7">
    <w:nsid w:val="71F32454"/>
    <w:multiLevelType w:val="hybridMultilevel"/>
    <w:lvl w:ilvl="0">
      <w:lvlJc w:val="left"/>
      <w:lvlText w:val="&amp;"/>
      <w:numFmt w:val="bullet"/>
      <w:start w:val="1"/>
    </w:lvl>
  </w:abstractNum>
  <w:abstractNum w:abstractNumId="8">
    <w:nsid w:val="2CA88611"/>
    <w:multiLevelType w:val="hybridMultilevel"/>
    <w:lvl w:ilvl="0">
      <w:lvlJc w:val="left"/>
      <w:lvlText w:val="%1."/>
      <w:numFmt w:val="decimal"/>
      <w:start w:val="10"/>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842"/>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lowerLetter"/>
      <w:start w:val="5"/>
    </w:lvl>
  </w:abstractNum>
  <w:abstractNum w:abstractNumId="18">
    <w:nsid w:val="4516DDE9"/>
    <w:multiLevelType w:val="hybridMultilevel"/>
    <w:lvl w:ilvl="0">
      <w:lvlJc w:val="left"/>
      <w:lvlText w:val="(%1)"/>
      <w:numFmt w:val="lowerLetter"/>
      <w:start w:val="4"/>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3"/>
    </w:lvl>
    <w:lvl w:ilvl="1">
      <w:lvlJc w:val="left"/>
      <w:lvlText w:val="%2"/>
      <w:numFmt w:val="lowerLetter"/>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lvl w:ilvl="1">
      <w:lvlJc w:val="left"/>
      <w:lvlText w:val="%2."/>
      <w:numFmt w:val="lowerLetter"/>
      <w:start w:val="2"/>
    </w:lvl>
  </w:abstractNum>
  <w:abstractNum w:abstractNumId="27">
    <w:nsid w:val="7724C67E"/>
    <w:multiLevelType w:val="hybridMultilevel"/>
    <w:lvl w:ilvl="0">
      <w:lvlJc w:val="left"/>
      <w:lvlText w:val="%1."/>
      <w:numFmt w:val="decimal"/>
      <w:start w:val="5"/>
    </w:lvl>
    <w:lvl w:ilvl="1">
      <w:lvlJc w:val="left"/>
      <w:lvlText w:val="%2."/>
      <w:numFmt w:val="lowerLetter"/>
      <w:start w:val="1"/>
    </w:lvl>
  </w:abstractNum>
  <w:abstractNum w:abstractNumId="28">
    <w:nsid w:val="5C482A97"/>
    <w:multiLevelType w:val="hybridMultilevel"/>
    <w:lvl w:ilvl="0">
      <w:lvlJc w:val="left"/>
      <w:lvlText w:val="%1"/>
      <w:numFmt w:val="decimal"/>
      <w:start w:val="1"/>
    </w:lvl>
    <w:lvl w:ilvl="1">
      <w:lvlJc w:val="left"/>
      <w:lvlText w:val="%2."/>
      <w:numFmt w:val="lowerLetter"/>
      <w:start w:val="2"/>
    </w:lvl>
  </w:abstractNum>
  <w:abstractNum w:abstractNumId="29">
    <w:nsid w:val="2463B9EA"/>
    <w:multiLevelType w:val="hybridMultilevel"/>
    <w:lvl w:ilvl="0">
      <w:lvlJc w:val="left"/>
      <w:lvlText w:val="%1."/>
      <w:numFmt w:val="decimal"/>
      <w:start w:val="6"/>
    </w:lvl>
    <w:lvl w:ilvl="1">
      <w:lvlJc w:val="left"/>
      <w:lvlText w:val="%2"/>
      <w:numFmt w:val="lowerLetter"/>
      <w:start w:val="1"/>
    </w:lvl>
  </w:abstractNum>
  <w:abstractNum w:abstractNumId="30">
    <w:nsid w:val="5E884ADC"/>
    <w:multiLevelType w:val="hybridMultilevel"/>
    <w:lvl w:ilvl="0">
      <w:lvlJc w:val="left"/>
      <w:lvlText w:val="%1."/>
      <w:numFmt w:val="decimal"/>
      <w:start w:val="7"/>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9"/>
    </w:lvl>
  </w:abstractNum>
  <w:abstractNum w:abstractNumId="34">
    <w:nsid w:val="153EA438"/>
    <w:multiLevelType w:val="hybridMultilevel"/>
    <w:lvl w:ilvl="0">
      <w:lvlJc w:val="left"/>
      <w:lvlText w:val="%1."/>
      <w:numFmt w:val="decimal"/>
      <w:start w:val="10"/>
    </w:lvl>
  </w:abstractNum>
  <w:abstractNum w:abstractNumId="35">
    <w:nsid w:val="3855585C"/>
    <w:multiLevelType w:val="hybridMultilevel"/>
    <w:lvl w:ilvl="0">
      <w:lvlJc w:val="left"/>
      <w:lvlText w:val="%1."/>
      <w:numFmt w:val="decimal"/>
      <w:start w:val="1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decimal"/>
      <w:start w:val="12"/>
    </w:lvl>
  </w:abstractNum>
  <w:abstractNum w:abstractNumId="38">
    <w:nsid w:val="2A487CB0"/>
    <w:multiLevelType w:val="hybridMultilevel"/>
    <w:lvl w:ilvl="0">
      <w:lvlJc w:val="left"/>
      <w:lvlText w:val="%1."/>
      <w:numFmt w:val="decimal"/>
      <w:start w:val="18"/>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5"/>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5"/>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3" Type="http://schemas.openxmlformats.org/officeDocument/2006/relationships/hyperlink" Target="http://www.sec.gov/Archives/edgar/data/1606366/000119312514332367/d779664dex31.htm" TargetMode="External"/><Relationship Id="rId24" Type="http://schemas.openxmlformats.org/officeDocument/2006/relationships/hyperlink" Target="http://www.sec.gov/Archives/edgar/data/1606366/000119312514332367/d77966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2020-05-01T13:39:50Z</dcterms:created>
  <dcterms:modified xsi:type="dcterms:W3CDTF">2020-05-01T13:39:50Z</dcterms:modified>
</cp:coreProperties>
</file>