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6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BIGLARI, SARDAR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BIGLARI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19100 RIDGEWOOD PKWY, SUITE 1200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 Pollo Loco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8" w:lineRule="exact"/>
        <w:rPr>
          <w:sz w:val="24"/>
          <w:szCs w:val="24"/>
          <w:color w:val="auto"/>
        </w:rPr>
      </w:pPr>
    </w:p>
    <w:p>
      <w:pPr>
        <w:sectPr>
          <w:pgSz w:w="11900" w:h="16867" w:orient="portrait"/>
          <w:cols w:equalWidth="0" w:num="3">
            <w:col w:w="3200" w:space="720"/>
            <w:col w:w="3220" w:space="59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920" w:type="dxa"/>
            <w:vAlign w:val="bottom"/>
            <w:gridSpan w:val="11"/>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920" w:type="dxa"/>
            <w:vAlign w:val="bottom"/>
            <w:gridSpan w:val="11"/>
            <w:vMerge w:val="continue"/>
          </w:tcPr>
          <w:p>
            <w:pPr>
              <w:spacing w:after="0"/>
              <w:rPr>
                <w:sz w:val="3"/>
                <w:szCs w:val="3"/>
                <w:color w:val="auto"/>
              </w:rPr>
            </w:pPr>
          </w:p>
        </w:tc>
        <w:tc>
          <w:tcPr>
            <w:tcW w:w="334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78259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ANTONIO</w:t>
            </w:r>
          </w:p>
        </w:tc>
        <w:tc>
          <w:tcPr>
            <w:tcW w:w="1120" w:type="dxa"/>
            <w:vAlign w:val="bottom"/>
            <w:gridSpan w:val="3"/>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gridSpan w:val="2"/>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5"/>
                <w:szCs w:val="15"/>
                <w:color w:val="auto"/>
              </w:rPr>
            </w:pPr>
          </w:p>
        </w:tc>
        <w:tc>
          <w:tcPr>
            <w:tcW w:w="114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7"/>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400" w:type="dxa"/>
            <w:vAlign w:val="bottom"/>
          </w:tcPr>
          <w:p>
            <w:pPr>
              <w:spacing w:after="0"/>
              <w:rPr>
                <w:sz w:val="13"/>
                <w:szCs w:val="13"/>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8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60" w:type="dxa"/>
            <w:vAlign w:val="bottom"/>
            <w:gridSpan w:val="7"/>
            <w:vMerge w:val="continue"/>
          </w:tcPr>
          <w:p>
            <w:pPr>
              <w:spacing w:after="0"/>
              <w:rPr>
                <w:sz w:val="9"/>
                <w:szCs w:val="9"/>
                <w:color w:val="auto"/>
              </w:rPr>
            </w:pPr>
          </w:p>
        </w:tc>
        <w:tc>
          <w:tcPr>
            <w:tcW w:w="11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06/26/2026</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ind w:lef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16.75</w:t>
            </w:r>
            <w:r>
              <w:rPr>
                <w:rFonts w:ascii="Times New Roman" w:cs="Times New Roman" w:eastAsia="Times New Roman" w:hAnsi="Times New Roman"/>
                <w:sz w:val="22"/>
                <w:szCs w:val="22"/>
                <w:color w:val="008000"/>
                <w:w w:val="92"/>
                <w:vertAlign w:val="superscript"/>
              </w:rPr>
              <w:t>(1)</w:t>
            </w:r>
          </w:p>
        </w:tc>
        <w:tc>
          <w:tcPr>
            <w:tcW w:w="80" w:type="dxa"/>
            <w:vAlign w:val="bottom"/>
          </w:tcPr>
          <w:p>
            <w:pPr>
              <w:spacing w:after="0"/>
              <w:rPr>
                <w:sz w:val="9"/>
                <w:szCs w:val="9"/>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3,900,000</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Lion Fund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60" w:type="dxa"/>
            <w:vAlign w:val="bottom"/>
            <w:gridSpan w:val="7"/>
            <w:vMerge w:val="continue"/>
          </w:tcPr>
          <w:p>
            <w:pPr>
              <w:spacing w:after="0"/>
              <w:rPr>
                <w:sz w:val="9"/>
                <w:szCs w:val="9"/>
                <w:color w:val="auto"/>
              </w:rPr>
            </w:pPr>
          </w:p>
        </w:tc>
        <w:tc>
          <w:tcPr>
            <w:tcW w:w="11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06/29/2026</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ind w:lef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16.58</w:t>
            </w:r>
            <w:r>
              <w:rPr>
                <w:rFonts w:ascii="Times New Roman" w:cs="Times New Roman" w:eastAsia="Times New Roman" w:hAnsi="Times New Roman"/>
                <w:sz w:val="22"/>
                <w:szCs w:val="22"/>
                <w:color w:val="008000"/>
                <w:w w:val="92"/>
                <w:vertAlign w:val="superscript"/>
              </w:rPr>
              <w:t>(2)</w:t>
            </w:r>
          </w:p>
        </w:tc>
        <w:tc>
          <w:tcPr>
            <w:tcW w:w="80" w:type="dxa"/>
            <w:vAlign w:val="bottom"/>
          </w:tcPr>
          <w:p>
            <w:pPr>
              <w:spacing w:after="0"/>
              <w:rPr>
                <w:sz w:val="9"/>
                <w:szCs w:val="9"/>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3,800,000</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Lion Fund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60" w:type="dxa"/>
            <w:vAlign w:val="bottom"/>
            <w:gridSpan w:val="7"/>
            <w:vMerge w:val="continue"/>
          </w:tcPr>
          <w:p>
            <w:pPr>
              <w:spacing w:after="0"/>
              <w:rPr>
                <w:sz w:val="9"/>
                <w:szCs w:val="9"/>
                <w:color w:val="auto"/>
              </w:rPr>
            </w:pPr>
          </w:p>
        </w:tc>
        <w:tc>
          <w:tcPr>
            <w:tcW w:w="11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06/30/2026</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22,600</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ind w:lef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16.91</w:t>
            </w:r>
            <w:r>
              <w:rPr>
                <w:rFonts w:ascii="Times New Roman" w:cs="Times New Roman" w:eastAsia="Times New Roman" w:hAnsi="Times New Roman"/>
                <w:sz w:val="22"/>
                <w:szCs w:val="22"/>
                <w:color w:val="008000"/>
                <w:w w:val="92"/>
                <w:vertAlign w:val="superscript"/>
              </w:rPr>
              <w:t>(3)</w:t>
            </w:r>
          </w:p>
        </w:tc>
        <w:tc>
          <w:tcPr>
            <w:tcW w:w="80" w:type="dxa"/>
            <w:vAlign w:val="bottom"/>
          </w:tcPr>
          <w:p>
            <w:pPr>
              <w:spacing w:after="0"/>
              <w:rPr>
                <w:sz w:val="9"/>
                <w:szCs w:val="9"/>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3,777,400</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Lion Fund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Biglari</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60" w:type="dxa"/>
            <w:vAlign w:val="bottom"/>
            <w:gridSpan w:val="7"/>
            <w:vMerge w:val="continue"/>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369,247</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Reinsurance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First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120,000</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8"/>
                <w:szCs w:val="18"/>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Guard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Insurance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Company</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0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6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BIGLARI, SARDAR</w:t>
              </w:r>
            </w:hyperlink>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BIGLARI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19100 RIDGEWOOD PKWY, SUITE 1200</w:t>
      </w:r>
    </w:p>
    <w:p>
      <w:pPr>
        <w:sectPr>
          <w:pgSz w:w="11900" w:h="16867" w:orient="portrait"/>
          <w:cols w:equalWidth="0" w:num="1">
            <w:col w:w="11080"/>
          </w:cols>
          <w:pgMar w:left="460" w:top="219" w:right="359" w:bottom="0" w:gutter="0" w:footer="0" w:header="0"/>
          <w:type w:val="continuous"/>
        </w:sectPr>
      </w:pP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67" w:orient="portrait"/>
          <w:cols w:equalWidth="0" w:num="1">
            <w:col w:w="11080"/>
          </w:cols>
          <w:pgMar w:left="460" w:top="219" w:right="359" w:bottom="0" w:gutter="0" w:footer="0" w:header="0"/>
          <w:type w:val="continuous"/>
        </w:sectPr>
      </w:pPr>
    </w:p>
    <w:bookmarkStart w:id="1" w:name="page2"/>
    <w:bookmarkEnd w:id="1"/>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SAN ANTONIO</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78259</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BIGLARI CAPITAL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-1143000</wp:posOffset>
            </wp:positionV>
            <wp:extent cx="2809240" cy="944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944753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BIGLARI HOLDINGS INC.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19100 RIDGEWOOD PKWY, SUITE 1200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SAN ANTONIO</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78259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LION FUND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BIGLARI HOLDINGS INC.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19100 RIDGEWOOD PKWY, SUITE 1200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SAN ANTONIO</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78259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Biglari Holdings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BIGLARI HOLDINGS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19100 RIDGEWOOD PKWY, SUITE 1200</w:t>
            </w: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SAN ANTONIO</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78259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Biglari Reinsurance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BIGLARI HOLDINGS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19100 RIDGEWOOD PKWY, SUITE 1200</w:t>
            </w: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SAN ANTONIO</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78259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Biglari Insurance Group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BIGLARI HOLDINGS INC.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19100 RIDGEWOOD PKWY, SUITE 1200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SAN ANTONIO</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78259</w:t>
            </w: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$16.50 to $16.90. The reporting persons undertake to provide to the Issuer, any security holder of the Issuer or the staff of the Securities and Exchange Commision,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$16.50 to $16.67. The reporting persons undertake to provide to the Issuer, any security holder of the Issuer or the staff of the Securities and Exchange Commision,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$16.87 to $17.00. The reporting persons undertake to provide to the Issuer, any security holder of the Issuer or the staff of the Securities and Exchange Commision, upon request, full information regarding the number of shares sold at each separate price within the range set forth in this footnote.</w:t>
      </w:r>
    </w:p>
    <w:p>
      <w:pPr>
        <w:sectPr>
          <w:pgSz w:w="11900" w:h="16884" w:orient="portrait"/>
          <w:cols w:equalWidth="0" w:num="1">
            <w:col w:w="10760"/>
          </w:cols>
          <w:pgMar w:left="480" w:top="125" w:right="659" w:bottom="0" w:gutter="0" w:footer="0" w:header="0"/>
        </w:sectPr>
      </w:pPr>
    </w:p>
    <w:bookmarkStart w:id="2" w:name="page3"/>
    <w:bookmarkEnd w:id="2"/>
    <w:p>
      <w:pPr>
        <w:jc w:val="both"/>
        <w:ind w:right="4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directly by The Lion Fund II, L.P. (the "Lion Fund II"). Biglari Capital Corp. ("BCC") is the general partner of the Lion Fund II. Mr. Biglari is the sole owner, Chairman and Chief Executive Officer of BCC. By virtue of these relationships, BCC and Mr. Biglari may be deemed to beneficially own the shares of Common Stock of the Issuer owned directly by the Lion Fund II.</w:t>
      </w:r>
    </w:p>
    <w:p>
      <w:pPr>
        <w:spacing w:after="0" w:line="7"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directly by Biglari Reinsurance Ltd. ("Biglari Reinsurance"). Biglari Insurance Group Inc. ("Biglari Insurance") is the direct parent company of Biglari Reinsurance. Biglari Holdings Inc. ("Biglari Holdings") is the direct parent company of Biglari Insurance. Mr. Biglari is the Chairman and Chief Executive Officer of Biglari Holdings. By virute of these relationships, Biglari Insurance, Biglari Holdings and Mr. Biglari may be deemed to beneficially own the shares of Common Stock of the Issuer owned directly by Biglari Reinsurance.</w:t>
      </w:r>
    </w:p>
    <w:p>
      <w:pPr>
        <w:spacing w:after="0" w:line="20"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directly by First Guard Insurance Company ("First Guard"). Biglari Reinsurance is the direct parent company of First Guard. Biglari Insurance is the direct parent company of Biglari Reinsurance. Biglari Holdings is the direct parent company of Biglari Insurance. Mr. Biglari is the Chairman and Chief Executive Officer of Biglari Holdings and has investment discretion over the securities owned by First Guard. By virtue of these relationships, Biglari Reinsurance, Biglari Insurance, Biglari Holdings and Mr. Biglari may be deemed to beneficially own the shares of Common Stock of the Issuer owned directly by First Guard.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3"/>
          <w:szCs w:val="13"/>
          <w:color w:val="008000"/>
        </w:rPr>
        <w:t>This Form 4 is filed jointly by Mr. Biglari, Biglari Holdings, BCC, the Lion Fund II, Biglari Reinsurance and Biglari Insurance. Each of the foregoing disclaims beneficial ownership of the shares of Common Stock reported herein except to the extent of his or its pecuniary interest therein.</w:t>
      </w:r>
    </w:p>
    <w:p>
      <w:pPr>
        <w:sectPr>
          <w:pgSz w:w="11900" w:h="16838" w:orient="portrait"/>
          <w:cols w:equalWidth="0" w:num="1">
            <w:col w:w="10880"/>
          </w:cols>
          <w:pgMar w:left="500" w:top="127" w:right="51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Sardar Biglari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7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Biglari Capital Corp.;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Sardar Biglari,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The Lion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3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Biglari Capital Corp.,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1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Sardar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5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Biglari, Chairman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2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Biglari Holdings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Sardar Biglari,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Biglari Reinsurance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Sardar Biglari,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5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Chairman of the Board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Biglari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53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Inc.; By: /s/ Sardar Biglari,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2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40" w:space="100"/>
            <w:col w:w="2140"/>
          </w:cols>
          <w:pgMar w:left="500" w:top="127"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13" Type="http://schemas.openxmlformats.org/officeDocument/2006/relationships/hyperlink" Target="http://www.sec.gov/cgi-bin/browse-edgar?action=getcompany&amp;CIK=0001334430" TargetMode="External"/><Relationship Id="rId14" Type="http://schemas.openxmlformats.org/officeDocument/2006/relationships/hyperlink" Target="http://www.sec.gov/cgi-bin/browse-edgar?action=getcompany&amp;CIK=0001606366" TargetMode="External"/><Relationship Id="rId17" Type="http://schemas.openxmlformats.org/officeDocument/2006/relationships/hyperlink" Target="http://www.sec.gov/cgi-bin/browse-edgar?action=getcompany&amp;CIK=0001334429" TargetMode="External"/><Relationship Id="rId19" Type="http://schemas.openxmlformats.org/officeDocument/2006/relationships/hyperlink" Target="http://www.sec.gov/cgi-bin/browse-edgar?action=getcompany&amp;CIK=0001580602" TargetMode="External"/><Relationship Id="rId20" Type="http://schemas.openxmlformats.org/officeDocument/2006/relationships/hyperlink" Target="http://www.sec.gov/cgi-bin/browse-edgar?action=getcompany&amp;CIK=0001726173" TargetMode="External"/><Relationship Id="rId21" Type="http://schemas.openxmlformats.org/officeDocument/2006/relationships/hyperlink" Target="http://www.sec.gov/cgi-bin/browse-edgar?action=getcompany&amp;CIK=0002035328" TargetMode="External"/><Relationship Id="rId22" Type="http://schemas.openxmlformats.org/officeDocument/2006/relationships/hyperlink" Target="http://www.sec.gov/cgi-bin/browse-edgar?action=getcompany&amp;CIK=0002034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2026-06-30T18:24:30Z</dcterms:created>
  <dcterms:modified xsi:type="dcterms:W3CDTF">2026-06-30T18:24:30Z</dcterms:modified>
</cp:coreProperties>
</file>