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co-20250924x10q.htm"/>
        <w:bookmarkStart w:id="1" w:name="ksloco20250924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4bd1bdb1_9545_4513_9115_f2c17d36e198"/>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d9eJ3Tsg_0y34upQBwWmSA_1_1"/>
      <w:bookmarkStart w:id="4" w:name="_ef14052a_5c29_4ef4_8825_0f6a0c08e1c6"/>
      <w:bookmarkStart w:id="5" w:name="Tc_d9eJ3Tsg_0y34upQBwWmSA_1_1"/>
      <w:bookmarkStart w:id="6" w:name="_ef14052a_5c29_4ef4_8825_0f6a0c08e1c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24, 2025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 w:name="Tc_uN06kf8SdEq9n-M6dzMnIQ_1_1"/>
      <w:bookmarkStart w:id="8" w:name="_a400526e_2f46_49c8_9539_be94fc5aba59"/>
      <w:bookmarkStart w:id="9" w:name="Tc_uN06kf8SdEq9n-M6dzMnIQ_1_1"/>
      <w:bookmarkStart w:id="10" w:name="_a400526e_2f46_49c8_9539_be94fc5aba5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001-36556</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EL POLLO LOCO HOLDINGS, INC.</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AmDrLs18tEep6k0cVwqzwA_2_2"/>
      <w:bookmarkStart w:id="12" w:name="Tc_bWiI3sKBhUqPIMb6qaH1Eg_2_0"/>
      <w:bookmarkStart w:id="13" w:name="_84d322b7_2ffc_414d_8ff1_aa534fb0db0b"/>
      <w:bookmarkStart w:id="14" w:name="Tc_AmDrLs18tEep6k0cVwqzwA_2_2"/>
      <w:bookmarkStart w:id="15" w:name="Tc_bWiI3sKBhUqPIMb6qaH1Eg_2_0"/>
      <w:bookmarkStart w:id="16" w:name="_84d322b7_2ffc_414d_8ff1_aa534fb0db0b"/>
      <w:bookmarkEnd w:id="14"/>
      <w:bookmarkEnd w:id="15"/>
      <w:bookmarkEnd w:id="16"/>
    </w:p>
    <w:tbl>
      <w:tblPr>
        <w:tblW w:w="6111" w:type="dxa"/>
        <w:jc w:val="left"/>
        <w:tblInd w:w="0" w:type="dxa"/>
        <w:tblLayout w:type="fixed"/>
        <w:tblCellMar>
          <w:top w:w="0" w:type="dxa"/>
          <w:left w:w="0" w:type="dxa"/>
          <w:bottom w:w="0" w:type="dxa"/>
          <w:right w:w="0" w:type="dxa"/>
        </w:tblCellMar>
      </w:tblPr>
      <w:tblGrid>
        <w:gridCol w:w="3751"/>
        <w:gridCol w:w="109"/>
        <w:gridCol w:w="2251"/>
      </w:tblGrid>
      <w:tr>
        <w:trPr/>
        <w:tc>
          <w:tcPr>
            <w:tcW w:w="3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1"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20-3563182</w:t>
            </w:r>
          </w:p>
        </w:tc>
      </w:tr>
      <w:tr>
        <w:trPr/>
        <w:tc>
          <w:tcPr>
            <w:tcW w:w="37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 incorporation or organization)</w:t>
            </w:r>
          </w:p>
        </w:tc>
        <w:tc>
          <w:tcPr>
            <w:tcW w:w="109" w:type="dxa"/>
            <w:tcBorders/>
            <w:vAlign w:val="center"/>
          </w:tcPr>
          <w:p>
            <w:pPr>
              <w:pStyle w:val="TableContents"/>
              <w:bidi w:val="0"/>
              <w:spacing w:before="0" w:after="240"/>
              <w:ind w:left="0" w:right="0" w:hanging="0"/>
              <w:jc w:val="left"/>
              <w:rPr/>
            </w:pPr>
            <w:r>
              <w:rPr/>
              <w:t>​</w:t>
            </w:r>
          </w:p>
        </w:tc>
        <w:tc>
          <w:tcPr>
            <w:tcW w:w="225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rToIfzEq_U-ZgTHL29Auww_2_2"/>
      <w:bookmarkStart w:id="18" w:name="Tc_TzL9QNG5NUqRxuP4NDUhkQ_2_0"/>
      <w:bookmarkStart w:id="19" w:name="Tc_mK-e4G83CEyFcEsPDQR1IA_1_0"/>
      <w:bookmarkStart w:id="20" w:name="_0663e90b_dd0e_41b9_933b_f1d3da5820c0"/>
      <w:bookmarkStart w:id="21" w:name="Tc_rToIfzEq_U-ZgTHL29Auww_2_2"/>
      <w:bookmarkStart w:id="22" w:name="Tc_TzL9QNG5NUqRxuP4NDUhkQ_2_0"/>
      <w:bookmarkStart w:id="23" w:name="Tc_mK-e4G83CEyFcEsPDQR1IA_1_0"/>
      <w:bookmarkStart w:id="24" w:name="_0663e90b_dd0e_41b9_933b_f1d3da5820c0"/>
      <w:bookmarkEnd w:id="21"/>
      <w:bookmarkEnd w:id="22"/>
      <w:bookmarkEnd w:id="23"/>
      <w:bookmarkEnd w:id="24"/>
    </w:p>
    <w:tbl>
      <w:tblPr>
        <w:tblW w:w="5091" w:type="dxa"/>
        <w:jc w:val="left"/>
        <w:tblInd w:w="0" w:type="dxa"/>
        <w:tblLayout w:type="fixed"/>
        <w:tblCellMar>
          <w:top w:w="0" w:type="dxa"/>
          <w:left w:w="0" w:type="dxa"/>
          <w:bottom w:w="0" w:type="dxa"/>
          <w:right w:w="0" w:type="dxa"/>
        </w:tblCellMar>
      </w:tblPr>
      <w:tblGrid>
        <w:gridCol w:w="4201"/>
        <w:gridCol w:w="109"/>
        <w:gridCol w:w="781"/>
      </w:tblGrid>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3535 Harbor Blvd., Suite 100, Costa Mesa, California</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92626</w:t>
            </w:r>
          </w:p>
        </w:tc>
      </w:tr>
      <w:tr>
        <w:trPr/>
        <w:tc>
          <w:tcPr>
            <w:tcW w:w="42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(714) 599-5000</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jhbIORSdrEarG7DhiJTCdQ_1_2"/>
      <w:bookmarkStart w:id="26" w:name="Tc_XnAaLPJpRUOVTSllJ4mbtQ_1_1"/>
      <w:bookmarkStart w:id="27" w:name="Tc_T0_OVnEXqkOPs-GjRmnQWw_1_0"/>
      <w:bookmarkStart w:id="28" w:name="_aa1cc2db_a0ce_484d_8019_ca04bd10e824"/>
      <w:bookmarkStart w:id="29" w:name="Tc_jhbIORSdrEarG7DhiJTCdQ_1_2"/>
      <w:bookmarkStart w:id="30" w:name="Tc_XnAaLPJpRUOVTSllJ4mbtQ_1_1"/>
      <w:bookmarkStart w:id="31" w:name="Tc_T0_OVnEXqkOPs-GjRmnQWw_1_0"/>
      <w:bookmarkStart w:id="32" w:name="_aa1cc2db_a0ce_484d_8019_ca04bd10e824"/>
      <w:bookmarkEnd w:id="29"/>
      <w:bookmarkEnd w:id="30"/>
      <w:bookmarkEnd w:id="31"/>
      <w:bookmarkEnd w:id="32"/>
    </w:p>
    <w:tbl>
      <w:tblPr>
        <w:tblW w:w="9873" w:type="dxa"/>
        <w:jc w:val="left"/>
        <w:tblInd w:w="0" w:type="dxa"/>
        <w:tblLayout w:type="fixed"/>
        <w:tblCellMar>
          <w:top w:w="0" w:type="dxa"/>
          <w:left w:w="0" w:type="dxa"/>
          <w:bottom w:w="0" w:type="dxa"/>
          <w:right w:w="0" w:type="dxa"/>
        </w:tblCellMar>
      </w:tblPr>
      <w:tblGrid>
        <w:gridCol w:w="5146"/>
        <w:gridCol w:w="1456"/>
        <w:gridCol w:w="3271"/>
      </w:tblGrid>
      <w:tr>
        <w:trPr/>
        <w:tc>
          <w:tcPr>
            <w:tcW w:w="51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LOCO</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r>
        <w:trPr/>
        <w:tc>
          <w:tcPr>
            <w:tcW w:w="514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Rights to Purchase Series A Preferred Stock, par value $0.01 per share</w:t>
            </w:r>
          </w:p>
        </w:tc>
        <w:tc>
          <w:tcPr>
            <w:tcW w:w="1456"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40"/>
              <w:ind w:left="0" w:right="0" w:hanging="0"/>
              <w:jc w:val="center"/>
              <w:rPr/>
            </w:pPr>
            <w:r>
              <w:rPr/>
              <w:t>​</w:t>
            </w:r>
          </w:p>
        </w:tc>
        <w:tc>
          <w:tcPr>
            <w:tcW w:w="3271"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8"/>
        </w:rPr>
        <w:t>Yes</w:t>
      </w:r>
      <w:r>
        <w:rPr>
          <w:rFonts w:ascii="Times New Roman;Times;serif" w:hAnsi="Times New Roman;Times;serif"/>
          <w:sz w:val="20"/>
        </w:rPr>
        <w:t>    ☐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562"/>
        <w:jc w:val="left"/>
        <w:rPr/>
      </w:pPr>
      <w:r>
        <w:rPr/>
        <w:t>​</w:t>
      </w:r>
    </w:p>
    <w:p>
      <w:pPr>
        <w:pStyle w:val="Normal"/>
        <w:bidi w:val="0"/>
        <w:spacing w:before="0" w:after="0"/>
        <w:jc w:val="left"/>
        <w:rPr>
          <w:sz w:val="4"/>
          <w:szCs w:val="4"/>
        </w:rPr>
      </w:pPr>
      <w:r>
        <w:rPr>
          <w:sz w:val="4"/>
          <w:szCs w:val="4"/>
        </w:rPr>
      </w:r>
      <w:bookmarkStart w:id="33" w:name="Tc_11QZDZptGE6XInagjkcVvA_5_2"/>
      <w:bookmarkStart w:id="34" w:name="Tc_YmA7adIjZUahaSYFwbBPNA_3_2"/>
      <w:bookmarkStart w:id="35" w:name="Tc_ZMTyV6EQm0aFqEGOp-x7Fg_3_1"/>
      <w:bookmarkStart w:id="36" w:name="Tc_CKz--9S_3EurzmwC-U5NjA_3_0"/>
      <w:bookmarkStart w:id="37" w:name="Tc_2EtZvj1IXUuSIhfv4uquaQ_1_3"/>
      <w:bookmarkStart w:id="38" w:name="Tc_7rpFcX_unEymKoAq1M_NBQ_1_1"/>
      <w:bookmarkStart w:id="39" w:name="Tc_vsYvNZ_X60qn5za3OFuyLQ_1_0"/>
      <w:bookmarkStart w:id="40" w:name="_1e36b7ef_5ef7_4a0f_afaf_eb5a0bfe0b7d"/>
      <w:bookmarkStart w:id="41" w:name="Tc_11QZDZptGE6XInagjkcVvA_5_2"/>
      <w:bookmarkStart w:id="42" w:name="Tc_YmA7adIjZUahaSYFwbBPNA_3_2"/>
      <w:bookmarkStart w:id="43" w:name="Tc_ZMTyV6EQm0aFqEGOp-x7Fg_3_1"/>
      <w:bookmarkStart w:id="44" w:name="Tc_CKz--9S_3EurzmwC-U5NjA_3_0"/>
      <w:bookmarkStart w:id="45" w:name="Tc_2EtZvj1IXUuSIhfv4uquaQ_1_3"/>
      <w:bookmarkStart w:id="46" w:name="Tc_7rpFcX_unEymKoAq1M_NBQ_1_1"/>
      <w:bookmarkStart w:id="47" w:name="Tc_vsYvNZ_X60qn5za3OFuyLQ_1_0"/>
      <w:bookmarkStart w:id="48" w:name="_1e36b7ef_5ef7_4a0f_afaf_eb5a0bfe0b7d"/>
      <w:bookmarkEnd w:id="41"/>
      <w:bookmarkEnd w:id="42"/>
      <w:bookmarkEnd w:id="43"/>
      <w:bookmarkEnd w:id="44"/>
      <w:bookmarkEnd w:id="45"/>
      <w:bookmarkEnd w:id="46"/>
      <w:bookmarkEnd w:id="47"/>
      <w:bookmarkEnd w:id="48"/>
    </w:p>
    <w:tbl>
      <w:tblPr>
        <w:tblW w:w="4579" w:type="dxa"/>
        <w:jc w:val="left"/>
        <w:tblInd w:w="0" w:type="dxa"/>
        <w:tblLayout w:type="fixed"/>
        <w:tblCellMar>
          <w:top w:w="0" w:type="dxa"/>
          <w:left w:w="0" w:type="dxa"/>
          <w:bottom w:w="0" w:type="dxa"/>
          <w:right w:w="0" w:type="dxa"/>
        </w:tblCellMar>
      </w:tblPr>
      <w:tblGrid>
        <w:gridCol w:w="1771"/>
        <w:gridCol w:w="316"/>
        <w:gridCol w:w="2131"/>
        <w:gridCol w:w="36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24585" cy="175260"/>
                      <wp:effectExtent l="0" t="0" r="0" b="0"/>
                      <wp:wrapNone/>
                      <wp:docPr id="1" name="Frame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53185" cy="175260"/>
                      <wp:effectExtent l="0" t="0" r="0" b="0"/>
                      <wp:wrapNone/>
                      <wp:docPr id="3" name="Frame3"/>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62"/>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62"/>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w:t>
      </w:r>
      <w:r>
        <w:rPr>
          <w:rFonts w:ascii="Times New Roman;Times;serif" w:hAnsi="Times New Roman;Times;serif"/>
          <w:sz w:val="20"/>
        </w:rPr>
        <w:t>☐  </w:t>
      </w:r>
      <w:r>
        <w:rPr>
          <w:rFonts w:ascii="Times New Roman;Times;serif" w:hAnsi="Times New Roman;Times;serif"/>
          <w:sz w:val="18"/>
        </w:rPr>
        <w:t>Yes    </w:t>
      </w:r>
      <w:r>
        <w:rPr>
          <w:rFonts w:ascii="Times New Roman;Times;serif" w:hAnsi="Times New Roman;Times;serif"/>
          <w:sz w:val="20"/>
        </w:rPr>
        <w:t>☒  </w:t>
      </w:r>
      <w:r>
        <w:rPr>
          <w:rFonts w:ascii="Times New Roman;Times;serif" w:hAnsi="Times New Roman;Times;serif"/>
          <w:sz w:val="18"/>
        </w:rPr>
        <w:t>No</w:t>
      </w:r>
    </w:p>
    <w:p>
      <w:pPr>
        <w:pStyle w:val="TextBody"/>
        <w:bidi w:val="0"/>
        <w:spacing w:before="0" w:after="0"/>
        <w:ind w:left="0" w:right="0" w:firstLine="562"/>
        <w:jc w:val="left"/>
        <w:rPr>
          <w:rFonts w:ascii="Times New Roman;Times;serif" w:hAnsi="Times New Roman;Times;serif"/>
          <w:sz w:val="18"/>
        </w:rPr>
      </w:pPr>
      <w:r>
        <w:rPr>
          <w:rFonts w:ascii="Times New Roman;Times;serif" w:hAnsi="Times New Roman;Times;serif"/>
          <w:sz w:val="18"/>
        </w:rPr>
        <w:t>As of October 24, 2025, there were 29,954,935 shares of the issuer’s common stock outstanding.</w:t>
      </w:r>
    </w:p>
    <w:p>
      <w:pPr>
        <w:pStyle w:val="TextBody"/>
        <w:bidi w:val="0"/>
        <w:spacing w:before="0" w:after="240"/>
        <w:ind w:left="0" w:right="0" w:firstLine="562"/>
        <w:jc w:val="left"/>
        <w:rPr/>
      </w:pPr>
      <w:r>
        <w:rPr/>
        <w:t>​</w:t>
      </w:r>
    </w:p>
    <w:p>
      <w:pPr>
        <w:pStyle w:val="TextBody"/>
        <w:pBdr>
          <w:top w:val="single" w:sz="8" w:space="1" w:color="000000"/>
          <w:bottom w:val="single" w:sz="24" w:space="1" w:color="000000"/>
        </w:pBdr>
        <w:bidi w:val="0"/>
        <w:spacing w:before="0" w:after="240"/>
        <w:ind w:left="0" w:right="0" w:firstLine="562"/>
        <w:jc w:val="left"/>
        <w:rPr/>
      </w:pPr>
      <w:r>
        <w:rPr/>
        <w:t>​</w:t>
      </w:r>
    </w:p>
    <w:p>
      <w:pPr>
        <w:pStyle w:val="TextBody"/>
        <w:bidi w:val="0"/>
        <w:spacing w:before="0" w:after="240"/>
        <w:ind w:left="0" w:right="0" w:firstLine="562"/>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49" w:name="_35666cfb_ac60_4b51_9fdc_f6f9c9ffa66b"/>
      <w:bookmarkStart w:id="50" w:name="TOC"/>
      <w:bookmarkEnd w:id="49"/>
      <w:bookmarkEnd w:id="50"/>
      <w:r>
        <w:rPr/>
        <w:t>​</w:t>
      </w:r>
    </w:p>
    <w:tbl>
      <w:tblPr>
        <w:tblW w:w="604" w:type="dxa"/>
        <w:jc w:val="left"/>
        <w:tblInd w:w="0" w:type="dxa"/>
        <w:tblLayout w:type="fixed"/>
        <w:tblCellMar>
          <w:top w:w="0" w:type="dxa"/>
          <w:left w:w="0" w:type="dxa"/>
          <w:bottom w:w="0" w:type="dxa"/>
          <w:right w:w="0" w:type="dxa"/>
        </w:tblCellMar>
      </w:tblPr>
      <w:tblGrid>
        <w:gridCol w:w="124"/>
        <w:gridCol w:w="32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8740" cy="175260"/>
                      <wp:effectExtent l="0" t="0" r="0" b="0"/>
                      <wp:wrapNone/>
                      <wp:docPr id="5" name="Frame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75260"/>
                      <wp:effectExtent l="0" t="0" r="0" b="0"/>
                      <wp:wrapNone/>
                      <wp:docPr id="6" name="Frame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1518920"/>
                      <wp:effectExtent l="0" t="0" r="0" b="0"/>
                      <wp:wrapNone/>
                      <wp:docPr id="7" name="Frame7"/>
                      <a:graphic xmlns:a="http://schemas.openxmlformats.org/drawingml/2006/main">
                        <a:graphicData uri="http://schemas.microsoft.com/office/word/2010/wordprocessingShape">
                          <wps:wsp>
                            <wps:cNvSpPr txBox="1"/>
                            <wps:spPr>
                              <a:xfrm>
                                <a:off x="0" y="0"/>
                                <a:ext cx="78740" cy="151892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b/>
                                <w:sz w:val="16"/>
                              </w:rPr>
                            </w:pPr>
                            <w:r>
                              <w:rPr>
                                <w:rFonts w:ascii="Times New Roman;Times;serif" w:hAnsi="Times New Roman;Times;serif"/>
                                <w:b/>
                                <w:sz w:val="16"/>
                              </w:rPr>
                              <w:t>Table of Contents</w:t>
                            </w:r>
                          </w:p>
                        </w:txbxContent>
                      </v:textbox>
                      <w10:wrap type="none"/>
                    </v:rect>
                  </w:pict>
                </mc:Fallback>
              </mc:AlternateContent>
            </w:r>
          </w:p>
        </w:tc>
        <w:tc>
          <w:tcPr>
            <w:tcW w:w="326" w:type="dxa"/>
            <w:tcBorders/>
            <w:vAlign w:val="center"/>
          </w:tcPr>
          <w:p>
            <w:pPr>
              <w:pStyle w:val="TableContents"/>
              <w:bidi w:val="0"/>
              <w:spacing w:before="0" w:after="40"/>
              <w:ind w:left="0" w:right="0" w:hanging="0"/>
              <w:jc w:val="center"/>
              <w:rPr/>
            </w:pPr>
            <w:r>
              <w:rPr/>
              <w:t>    </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50520"/>
                      <wp:effectExtent l="0" t="0" r="0" b="0"/>
                      <wp:wrapNone/>
                      <wp:docPr id="8" name="Frame8"/>
                      <a:graphic xmlns:a="http://schemas.openxmlformats.org/drawingml/2006/main">
                        <a:graphicData uri="http://schemas.microsoft.com/office/word/2010/wordprocessingShape">
                          <wps:wsp>
                            <wps:cNvSpPr txBox="1"/>
                            <wps:spPr>
                              <a:xfrm>
                                <a:off x="0" y="0"/>
                                <a:ext cx="97790" cy="35052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Page</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175260"/>
                      <wp:effectExtent l="0" t="0" r="0" b="0"/>
                      <wp:wrapNone/>
                      <wp:docPr id="9" name="Frame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2649220"/>
                      <wp:effectExtent l="0" t="0" r="0" b="0"/>
                      <wp:wrapNone/>
                      <wp:docPr id="11" name="Frame11"/>
                      <a:graphic xmlns:a="http://schemas.openxmlformats.org/drawingml/2006/main">
                        <a:graphicData uri="http://schemas.microsoft.com/office/word/2010/wordprocessingShape">
                          <wps:wsp>
                            <wps:cNvSpPr txBox="1"/>
                            <wps:spPr>
                              <a:xfrm>
                                <a:off x="0" y="0"/>
                                <a:ext cx="78740" cy="2649220"/>
                              </a:xfrm>
                              <a:prstGeom prst="rect"/>
                              <a:solidFill>
                                <a:srgbClr val="FFFFFF"/>
                              </a:solidFill>
                            </wps:spPr>
                            <wps:txb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08.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FINANCIALINFORMATION_255169">
                              <w:r>
                                <w:rPr>
                                  <w:rStyle w:val="InternetLink"/>
                                  <w:rFonts w:ascii="Times New Roman;Times;serif" w:hAnsi="Times New Roman;Times;serif"/>
                                  <w:b w:val="false"/>
                                  <w:i w:val="false"/>
                                  <w:caps w:val="false"/>
                                  <w:smallCaps w:val="false"/>
                                  <w:sz w:val="20"/>
                                </w:rPr>
                                <w:t>PART I—FINANCIAL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46685"/>
                      <wp:effectExtent l="0" t="0" r="0" b="0"/>
                      <wp:wrapNone/>
                      <wp:docPr id="12" name="Frame1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2440305"/>
                      <wp:effectExtent l="0" t="0" r="0" b="0"/>
                      <wp:wrapNone/>
                      <wp:docPr id="13" name="Frame13"/>
                      <a:graphic xmlns:a="http://schemas.openxmlformats.org/drawingml/2006/main">
                        <a:graphicData uri="http://schemas.microsoft.com/office/word/2010/wordprocessingShape">
                          <wps:wsp>
                            <wps:cNvSpPr txBox="1"/>
                            <wps:spPr>
                              <a:xfrm>
                                <a:off x="0" y="0"/>
                                <a:ext cx="78740" cy="2440305"/>
                              </a:xfrm>
                              <a:prstGeom prst="rect"/>
                              <a:solidFill>
                                <a:srgbClr val="FFFFFF"/>
                              </a:solidFill>
                            </wps:spPr>
                            <wps:txb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92.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FinancialStatements_653632">
                              <w:r>
                                <w:rPr>
                                  <w:rStyle w:val="InternetLink"/>
                                  <w:rFonts w:ascii="Times New Roman;Times;serif" w:hAnsi="Times New Roman;Times;serif"/>
                                  <w:b w:val="false"/>
                                  <w:i w:val="false"/>
                                  <w:caps w:val="false"/>
                                  <w:smallCaps w:val="false"/>
                                  <w:sz w:val="20"/>
                                </w:rPr>
                                <w:t>Item 1. Financial Statements.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7790" cy="146685"/>
                      <wp:effectExtent l="0" t="0" r="0" b="0"/>
                      <wp:wrapNone/>
                      <wp:docPr id="14" name="Frame1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8740" cy="2231390"/>
                      <wp:effectExtent l="0" t="0" r="0" b="0"/>
                      <wp:wrapNone/>
                      <wp:docPr id="15" name="Frame15"/>
                      <a:graphic xmlns:a="http://schemas.openxmlformats.org/drawingml/2006/main">
                        <a:graphicData uri="http://schemas.microsoft.com/office/word/2010/wordprocessingShape">
                          <wps:wsp>
                            <wps:cNvSpPr txBox="1"/>
                            <wps:spPr>
                              <a:xfrm>
                                <a:off x="0" y="0"/>
                                <a:ext cx="78740" cy="2231390"/>
                              </a:xfrm>
                              <a:prstGeom prst="rect"/>
                              <a:solidFill>
                                <a:srgbClr val="FFFFFF"/>
                              </a:solidFill>
                            </wps:spPr>
                            <wps:txb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75.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7790" cy="146685"/>
                      <wp:effectExtent l="0" t="0" r="0" b="0"/>
                      <wp:wrapNone/>
                      <wp:docPr id="16" name="Frame16"/>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8740" cy="2022475"/>
                      <wp:effectExtent l="0" t="0" r="0" b="0"/>
                      <wp:wrapNone/>
                      <wp:docPr id="17" name="Frame17"/>
                      <a:graphic xmlns:a="http://schemas.openxmlformats.org/drawingml/2006/main">
                        <a:graphicData uri="http://schemas.microsoft.com/office/word/2010/wordprocessingShape">
                          <wps:wsp>
                            <wps:cNvSpPr txBox="1"/>
                            <wps:spPr>
                              <a:xfrm>
                                <a:off x="0" y="0"/>
                                <a:ext cx="78740" cy="2022475"/>
                              </a:xfrm>
                              <a:prstGeom prst="rect"/>
                              <a:solidFill>
                                <a:srgbClr val="FFFFFF"/>
                              </a:solidFill>
                            </wps:spPr>
                            <wps:txb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59.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INCOMEU">
                              <w:r>
                                <w:rPr>
                                  <w:rStyle w:val="InternetLink"/>
                                  <w:rFonts w:ascii="Times New Roman;Times;serif" w:hAnsi="Times New Roman;Times;serif"/>
                                  <w:b w:val="false"/>
                                  <w:i w:val="false"/>
                                  <w:caps w:val="false"/>
                                  <w:smallCaps w:val="false"/>
                                  <w:sz w:val="20"/>
                                </w:rPr>
                                <w:t>Condensed Consolidated Statements of Income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46685"/>
                      <wp:effectExtent l="0" t="0" r="0" b="0"/>
                      <wp:wrapNone/>
                      <wp:docPr id="18" name="Frame18"/>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8740" cy="1813560"/>
                      <wp:effectExtent l="0" t="0" r="0" b="0"/>
                      <wp:wrapNone/>
                      <wp:docPr id="19" name="Frame19"/>
                      <a:graphic xmlns:a="http://schemas.openxmlformats.org/drawingml/2006/main">
                        <a:graphicData uri="http://schemas.microsoft.com/office/word/2010/wordprocessingShape">
                          <wps:wsp>
                            <wps:cNvSpPr txBox="1"/>
                            <wps:spPr>
                              <a:xfrm>
                                <a:off x="0" y="0"/>
                                <a:ext cx="78740" cy="1813560"/>
                              </a:xfrm>
                              <a:prstGeom prst="rect"/>
                              <a:solidFill>
                                <a:srgbClr val="FFFFFF"/>
                              </a:solidFill>
                            </wps:spPr>
                            <wps:txb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42.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7790" cy="146685"/>
                      <wp:effectExtent l="0" t="0" r="0" b="0"/>
                      <wp:wrapNone/>
                      <wp:docPr id="20" name="Frame20"/>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8740" cy="1604645"/>
                      <wp:effectExtent l="0" t="0" r="0" b="0"/>
                      <wp:wrapNone/>
                      <wp:docPr id="21" name="Frame21"/>
                      <a:graphic xmlns:a="http://schemas.openxmlformats.org/drawingml/2006/main">
                        <a:graphicData uri="http://schemas.microsoft.com/office/word/2010/wordprocessingShape">
                          <wps:wsp>
                            <wps:cNvSpPr txBox="1"/>
                            <wps:spPr>
                              <a:xfrm>
                                <a:off x="0" y="0"/>
                                <a:ext cx="78740" cy="1604645"/>
                              </a:xfrm>
                              <a:prstGeom prst="rect"/>
                              <a:solidFill>
                                <a:srgbClr val="FFFFFF"/>
                              </a:solidFill>
                            </wps:spPr>
                            <wps:txb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6.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46685"/>
                      <wp:effectExtent l="0" t="0" r="0" b="0"/>
                      <wp:wrapNone/>
                      <wp:docPr id="22" name="Frame22"/>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8740" cy="1395730"/>
                      <wp:effectExtent l="0" t="0" r="0" b="0"/>
                      <wp:wrapNone/>
                      <wp:docPr id="23" name="Frame23"/>
                      <a:graphic xmlns:a="http://schemas.openxmlformats.org/drawingml/2006/main">
                        <a:graphicData uri="http://schemas.microsoft.com/office/word/2010/wordprocessingShape">
                          <wps:wsp>
                            <wps:cNvSpPr txBox="1"/>
                            <wps:spPr>
                              <a:xfrm>
                                <a:off x="0" y="0"/>
                                <a:ext cx="78740" cy="1395730"/>
                              </a:xfrm>
                              <a:prstGeom prst="rect"/>
                              <a:solidFill>
                                <a:srgbClr val="FFFFFF"/>
                              </a:solidFill>
                            </wps:spPr>
                            <wps:txb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09.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firstLine="39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46685"/>
                      <wp:effectExtent l="0" t="0" r="0" b="0"/>
                      <wp:wrapNone/>
                      <wp:docPr id="24" name="Frame24"/>
                      <a:graphic xmlns:a="http://schemas.openxmlformats.org/drawingml/2006/main">
                        <a:graphicData uri="http://schemas.microsoft.com/office/word/2010/wordprocessingShape">
                          <wps:wsp>
                            <wps:cNvSpPr txBox="1"/>
                            <wps:spPr>
                              <a:xfrm>
                                <a:off x="0" y="0"/>
                                <a:ext cx="97790" cy="146685"/>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8740" cy="1186815"/>
                      <wp:effectExtent l="0" t="0" r="0" b="0"/>
                      <wp:wrapNone/>
                      <wp:docPr id="25" name="Frame25"/>
                      <a:graphic xmlns:a="http://schemas.openxmlformats.org/drawingml/2006/main">
                        <a:graphicData uri="http://schemas.microsoft.com/office/word/2010/wordprocessingShape">
                          <wps:wsp>
                            <wps:cNvSpPr txBox="1"/>
                            <wps:spPr>
                              <a:xfrm>
                                <a:off x="0" y="0"/>
                                <a:ext cx="78740" cy="1186815"/>
                              </a:xfrm>
                              <a:prstGeom prst="rect"/>
                              <a:solidFill>
                                <a:srgbClr val="FFFFFF"/>
                              </a:solidFill>
                            </wps:spPr>
                            <wps:txb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9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97790" cy="293370"/>
                      <wp:effectExtent l="0" t="0" r="0" b="0"/>
                      <wp:wrapNone/>
                      <wp:docPr id="26" name="Frame2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8740" cy="977900"/>
                      <wp:effectExtent l="0" t="0" r="0" b="0"/>
                      <wp:wrapNone/>
                      <wp:docPr id="27" name="Frame27"/>
                      <a:graphic xmlns:a="http://schemas.openxmlformats.org/drawingml/2006/main">
                        <a:graphicData uri="http://schemas.microsoft.com/office/word/2010/wordprocessingShape">
                          <wps:wsp>
                            <wps:cNvSpPr txBox="1"/>
                            <wps:spPr>
                              <a:xfrm>
                                <a:off x="0" y="0"/>
                                <a:ext cx="78740" cy="977900"/>
                              </a:xfrm>
                              <a:prstGeom prst="rect"/>
                              <a:solidFill>
                                <a:srgbClr val="FFFFFF"/>
                              </a:solidFill>
                            </wps:spPr>
                            <wps:txb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7790" cy="293370"/>
                      <wp:effectExtent l="0" t="0" r="0" b="0"/>
                      <wp:wrapNone/>
                      <wp:docPr id="28" name="Frame2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8740" cy="768985"/>
                      <wp:effectExtent l="0" t="0" r="0" b="0"/>
                      <wp:wrapNone/>
                      <wp:docPr id="29" name="Frame29"/>
                      <a:graphic xmlns:a="http://schemas.openxmlformats.org/drawingml/2006/main">
                        <a:graphicData uri="http://schemas.microsoft.com/office/word/2010/wordprocessingShape">
                          <wps:wsp>
                            <wps:cNvSpPr txBox="1"/>
                            <wps:spPr>
                              <a:xfrm>
                                <a:off x="0" y="0"/>
                                <a:ext cx="78740" cy="768985"/>
                              </a:xfrm>
                              <a:prstGeom prst="rect"/>
                              <a:solidFill>
                                <a:srgbClr val="FFFFFF"/>
                              </a:solidFill>
                            </wps:spPr>
                            <wps:txb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ControlsandProcedures_514743">
                              <w:r>
                                <w:rPr>
                                  <w:rStyle w:val="InternetLink"/>
                                  <w:rFonts w:ascii="Times New Roman;Times;serif" w:hAnsi="Times New Roman;Times;serif"/>
                                  <w:b w:val="false"/>
                                  <w:i w:val="false"/>
                                  <w:caps w:val="false"/>
                                  <w:smallCaps w:val="false"/>
                                  <w:sz w:val="20"/>
                                </w:rPr>
                                <w:t>Item 4. Controls and Procedures.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7790" cy="293370"/>
                      <wp:effectExtent l="0" t="0" r="0" b="0"/>
                      <wp:wrapNone/>
                      <wp:docPr id="30" name="Frame3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740" cy="175260"/>
                      <wp:effectExtent l="0" t="0" r="0" b="0"/>
                      <wp:wrapNone/>
                      <wp:docPr id="31" name="Frame3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7790" cy="175260"/>
                      <wp:effectExtent l="0" t="0" r="0" b="0"/>
                      <wp:wrapNone/>
                      <wp:docPr id="32" name="Frame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righ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8740" cy="351155"/>
                      <wp:effectExtent l="0" t="0" r="0" b="0"/>
                      <wp:wrapNone/>
                      <wp:docPr id="33" name="Frame33"/>
                      <a:graphic xmlns:a="http://schemas.openxmlformats.org/drawingml/2006/main">
                        <a:graphicData uri="http://schemas.microsoft.com/office/word/2010/wordprocessingShape">
                          <wps:wsp>
                            <wps:cNvSpPr txBox="1"/>
                            <wps:spPr>
                              <a:xfrm>
                                <a:off x="0" y="0"/>
                                <a:ext cx="78740" cy="351155"/>
                              </a:xfrm>
                              <a:prstGeom prst="rect"/>
                              <a:solidFill>
                                <a:srgbClr val="FFFFFF"/>
                              </a:solidFill>
                            </wps:spPr>
                            <wps:txb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PARTIIOTHERINFORMATION_750351">
                              <w:r>
                                <w:rPr>
                                  <w:rStyle w:val="InternetLink"/>
                                  <w:rFonts w:ascii="Times New Roman;Times;serif" w:hAnsi="Times New Roman;Times;serif"/>
                                  <w:b w:val="false"/>
                                  <w:i w:val="false"/>
                                  <w:caps w:val="false"/>
                                  <w:smallCaps w:val="false"/>
                                  <w:sz w:val="20"/>
                                </w:rPr>
                                <w:t>PART II—OTHER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7790" cy="293370"/>
                      <wp:effectExtent l="0" t="0" r="0" b="0"/>
                      <wp:wrapNone/>
                      <wp:docPr id="34" name="Frame3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8740" cy="3373755"/>
                      <wp:effectExtent l="0" t="0" r="0" b="0"/>
                      <wp:wrapNone/>
                      <wp:docPr id="35" name="Frame35"/>
                      <a:graphic xmlns:a="http://schemas.openxmlformats.org/drawingml/2006/main">
                        <a:graphicData uri="http://schemas.microsoft.com/office/word/2010/wordprocessingShape">
                          <wps:wsp>
                            <wps:cNvSpPr txBox="1"/>
                            <wps:spPr>
                              <a:xfrm>
                                <a:off x="0" y="0"/>
                                <a:ext cx="78740" cy="3373755"/>
                              </a:xfrm>
                              <a:prstGeom prst="rect"/>
                              <a:solidFill>
                                <a:srgbClr val="FFFFFF"/>
                              </a:solidFill>
                            </wps:spPr>
                            <wps:txb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65.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LegalProceedings_952142">
                              <w:r>
                                <w:rPr>
                                  <w:rStyle w:val="InternetLink"/>
                                  <w:rFonts w:ascii="Times New Roman;Times;serif" w:hAnsi="Times New Roman;Times;serif"/>
                                  <w:b w:val="false"/>
                                  <w:i w:val="false"/>
                                  <w:caps w:val="false"/>
                                  <w:smallCaps w:val="false"/>
                                  <w:sz w:val="20"/>
                                </w:rPr>
                                <w:t>Item 1. Legal Proceedings.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97790" cy="293370"/>
                      <wp:effectExtent l="0" t="0" r="0" b="0"/>
                      <wp:wrapNone/>
                      <wp:docPr id="36" name="Frame3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8740" cy="2787015"/>
                      <wp:effectExtent l="0" t="0" r="0" b="0"/>
                      <wp:wrapNone/>
                      <wp:docPr id="37" name="Frame37"/>
                      <a:graphic xmlns:a="http://schemas.openxmlformats.org/drawingml/2006/main">
                        <a:graphicData uri="http://schemas.microsoft.com/office/word/2010/wordprocessingShape">
                          <wps:wsp>
                            <wps:cNvSpPr txBox="1"/>
                            <wps:spPr>
                              <a:xfrm>
                                <a:off x="0" y="0"/>
                                <a:ext cx="78740" cy="2787015"/>
                              </a:xfrm>
                              <a:prstGeom prst="rect"/>
                              <a:solidFill>
                                <a:srgbClr val="FFFFFF"/>
                              </a:solidFill>
                            </wps:spPr>
                            <wps:txb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19.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1ARiskFactors_611784">
                              <w:r>
                                <w:rPr>
                                  <w:rStyle w:val="InternetLink"/>
                                  <w:rFonts w:ascii="Times New Roman;Times;serif" w:hAnsi="Times New Roman;Times;serif"/>
                                  <w:b w:val="false"/>
                                  <w:i w:val="false"/>
                                  <w:caps w:val="false"/>
                                  <w:smallCaps w:val="false"/>
                                  <w:sz w:val="20"/>
                                </w:rPr>
                                <w:t>Item 1A. Risk Factors.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7790" cy="293370"/>
                      <wp:effectExtent l="0" t="0" r="0" b="0"/>
                      <wp:wrapNone/>
                      <wp:docPr id="38" name="Frame3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8740" cy="8067675"/>
                      <wp:effectExtent l="0" t="0" r="0" b="0"/>
                      <wp:wrapNone/>
                      <wp:docPr id="39" name="Frame39"/>
                      <a:graphic xmlns:a="http://schemas.openxmlformats.org/drawingml/2006/main">
                        <a:graphicData uri="http://schemas.microsoft.com/office/word/2010/wordprocessingShape">
                          <wps:wsp>
                            <wps:cNvSpPr txBox="1"/>
                            <wps:spPr>
                              <a:xfrm>
                                <a:off x="0" y="0"/>
                                <a:ext cx="78740" cy="8067675"/>
                              </a:xfrm>
                              <a:prstGeom prst="rect"/>
                              <a:solidFill>
                                <a:srgbClr val="FFFFFF"/>
                              </a:solidFill>
                            </wps:spPr>
                            <wps:txb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635.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7790" cy="293370"/>
                      <wp:effectExtent l="0" t="0" r="0" b="0"/>
                      <wp:wrapNone/>
                      <wp:docPr id="40" name="Frame4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8740" cy="4693920"/>
                      <wp:effectExtent l="0" t="0" r="0" b="0"/>
                      <wp:wrapNone/>
                      <wp:docPr id="41" name="Frame41"/>
                      <a:graphic xmlns:a="http://schemas.openxmlformats.org/drawingml/2006/main">
                        <a:graphicData uri="http://schemas.microsoft.com/office/word/2010/wordprocessingShape">
                          <wps:wsp>
                            <wps:cNvSpPr txBox="1"/>
                            <wps:spPr>
                              <a:xfrm>
                                <a:off x="0" y="0"/>
                                <a:ext cx="78740" cy="4693920"/>
                              </a:xfrm>
                              <a:prstGeom prst="rect"/>
                              <a:solidFill>
                                <a:srgbClr val="FFFFFF"/>
                              </a:solidFill>
                            </wps:spPr>
                            <wps:txb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3DefaultsofSeniorSecurities_13390">
                              <w:r>
                                <w:rPr>
                                  <w:rStyle w:val="InternetLink"/>
                                  <w:rFonts w:ascii="Times New Roman;Times;serif" w:hAnsi="Times New Roman;Times;serif"/>
                                  <w:b w:val="false"/>
                                  <w:i w:val="false"/>
                                  <w:caps w:val="false"/>
                                  <w:smallCaps w:val="false"/>
                                  <w:sz w:val="20"/>
                                </w:rPr>
                                <w:t>Item 3. Defaults Upon Senior Securities.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7790" cy="293370"/>
                      <wp:effectExtent l="0" t="0" r="0" b="0"/>
                      <wp:wrapNone/>
                      <wp:docPr id="42" name="Frame42"/>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8740" cy="4107180"/>
                      <wp:effectExtent l="0" t="0" r="0" b="0"/>
                      <wp:wrapNone/>
                      <wp:docPr id="43" name="Frame43"/>
                      <a:graphic xmlns:a="http://schemas.openxmlformats.org/drawingml/2006/main">
                        <a:graphicData uri="http://schemas.microsoft.com/office/word/2010/wordprocessingShape">
                          <wps:wsp>
                            <wps:cNvSpPr txBox="1"/>
                            <wps:spPr>
                              <a:xfrm>
                                <a:off x="0" y="0"/>
                                <a:ext cx="78740" cy="4107180"/>
                              </a:xfrm>
                              <a:prstGeom prst="rect"/>
                              <a:solidFill>
                                <a:srgbClr val="FFFFFF"/>
                              </a:solidFill>
                            </wps:spPr>
                            <wps:txb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2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4MineSafetyDisclosures_432267">
                              <w:r>
                                <w:rPr>
                                  <w:rStyle w:val="InternetLink"/>
                                  <w:rFonts w:ascii="Times New Roman;Times;serif" w:hAnsi="Times New Roman;Times;serif"/>
                                  <w:b w:val="false"/>
                                  <w:i w:val="false"/>
                                  <w:caps w:val="false"/>
                                  <w:smallCaps w:val="false"/>
                                  <w:sz w:val="20"/>
                                </w:rPr>
                                <w:t>Item 4. Mine Safety Disclosures.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7790" cy="293370"/>
                      <wp:effectExtent l="0" t="0" r="0" b="0"/>
                      <wp:wrapNone/>
                      <wp:docPr id="44" name="Frame44"/>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8740" cy="3227070"/>
                      <wp:effectExtent l="0" t="0" r="0" b="0"/>
                      <wp:wrapNone/>
                      <wp:docPr id="45" name="Frame45"/>
                      <a:graphic xmlns:a="http://schemas.openxmlformats.org/drawingml/2006/main">
                        <a:graphicData uri="http://schemas.microsoft.com/office/word/2010/wordprocessingShape">
                          <wps:wsp>
                            <wps:cNvSpPr txBox="1"/>
                            <wps:spPr>
                              <a:xfrm>
                                <a:off x="0" y="0"/>
                                <a:ext cx="78740" cy="3227070"/>
                              </a:xfrm>
                              <a:prstGeom prst="rect"/>
                              <a:solidFill>
                                <a:srgbClr val="FFFFFF"/>
                              </a:solidFill>
                            </wps:spPr>
                            <wps:txb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54.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5OtherInformation_929848">
                              <w:r>
                                <w:rPr>
                                  <w:rStyle w:val="InternetLink"/>
                                  <w:rFonts w:ascii="Times New Roman;Times;serif" w:hAnsi="Times New Roman;Times;serif"/>
                                  <w:b w:val="false"/>
                                  <w:i w:val="false"/>
                                  <w:caps w:val="false"/>
                                  <w:smallCaps w:val="false"/>
                                  <w:sz w:val="20"/>
                                </w:rPr>
                                <w:t>Item 5. Other Information.</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7790" cy="293370"/>
                      <wp:effectExtent l="0" t="0" r="0" b="0"/>
                      <wp:wrapNone/>
                      <wp:docPr id="46" name="Frame46"/>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8740" cy="2053590"/>
                      <wp:effectExtent l="0" t="0" r="0" b="0"/>
                      <wp:wrapNone/>
                      <wp:docPr id="47" name="Frame47"/>
                      <a:graphic xmlns:a="http://schemas.openxmlformats.org/drawingml/2006/main">
                        <a:graphicData uri="http://schemas.microsoft.com/office/word/2010/wordprocessingShape">
                          <wps:wsp>
                            <wps:cNvSpPr txBox="1"/>
                            <wps:spPr>
                              <a:xfrm>
                                <a:off x="0" y="0"/>
                                <a:ext cx="78740" cy="2053590"/>
                              </a:xfrm>
                              <a:prstGeom prst="rect"/>
                              <a:solidFill>
                                <a:srgbClr val="FFFFFF"/>
                              </a:solidFill>
                            </wps:spPr>
                            <wps:txb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Item6Exhibits_636888">
                              <w:r>
                                <w:rPr>
                                  <w:rStyle w:val="InternetLink"/>
                                  <w:rFonts w:ascii="Times New Roman;Times;serif" w:hAnsi="Times New Roman;Times;serif"/>
                                  <w:b w:val="false"/>
                                  <w:i w:val="false"/>
                                  <w:caps w:val="false"/>
                                  <w:smallCaps w:val="false"/>
                                  <w:sz w:val="20"/>
                                </w:rPr>
                                <w:t>Item 6. Exhibits.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97790" cy="293370"/>
                      <wp:effectExtent l="0" t="0" r="0" b="0"/>
                      <wp:wrapNone/>
                      <wp:docPr id="48" name="Frame48"/>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8740" cy="1466850"/>
                      <wp:effectExtent l="0" t="0" r="0" b="0"/>
                      <wp:wrapNone/>
                      <wp:docPr id="49" name="Frame49"/>
                      <a:graphic xmlns:a="http://schemas.openxmlformats.org/drawingml/2006/main">
                        <a:graphicData uri="http://schemas.microsoft.com/office/word/2010/wordprocessingShape">
                          <wps:wsp>
                            <wps:cNvSpPr txBox="1"/>
                            <wps:spPr>
                              <a:xfrm>
                                <a:off x="0" y="0"/>
                                <a:ext cx="78740" cy="1466850"/>
                              </a:xfrm>
                              <a:prstGeom prst="rect"/>
                              <a:solidFill>
                                <a:srgbClr val="FFFFFF"/>
                              </a:solidFill>
                            </wps:spPr>
                            <wps:txb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hyperlink w:anchor="SIGNATURES_726842">
                              <w:r>
                                <w:rPr>
                                  <w:rStyle w:val="InternetLink"/>
                                  <w:rFonts w:ascii="Times New Roman;Times;serif" w:hAnsi="Times New Roman;Times;serif"/>
                                  <w:b w:val="false"/>
                                  <w:i w:val="false"/>
                                  <w:caps w:val="false"/>
                                  <w:smallCaps w:val="false"/>
                                  <w:sz w:val="20"/>
                                </w:rPr>
                                <w:t>Signatures</w:t>
                              </w:r>
                            </w:hyperlink>
                          </w:p>
                        </w:txbxContent>
                      </v:textbox>
                      <w10:wrap type="none"/>
                    </v:rect>
                  </w:pict>
                </mc:Fallback>
              </mc:AlternateContent>
            </w:r>
          </w:p>
        </w:tc>
        <w:tc>
          <w:tcPr>
            <w:tcW w:w="32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7790" cy="293370"/>
                      <wp:effectExtent l="0" t="0" r="0" b="0"/>
                      <wp:wrapNone/>
                      <wp:docPr id="50" name="Frame50"/>
                      <a:graphic xmlns:a="http://schemas.openxmlformats.org/drawingml/2006/main">
                        <a:graphicData uri="http://schemas.microsoft.com/office/word/2010/wordprocessingShape">
                          <wps:wsp>
                            <wps:cNvSpPr txBox="1"/>
                            <wps:spPr>
                              <a:xfrm>
                                <a:off x="0" y="0"/>
                                <a:ext cx="97790" cy="293370"/>
                              </a:xfrm>
                              <a:prstGeom prst="rect"/>
                              <a:solidFill>
                                <a:srgbClr val="FFFFFF"/>
                              </a:solidFill>
                            </wps:spPr>
                            <wps:txb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1" w:name="PARTIFINANCIALINFORMATION_255169"/>
      <w:bookmarkStart w:id="52" w:name="_8efefc2e_300b_4d26_89e1_18f5995a5589"/>
      <w:bookmarkEnd w:id="51"/>
      <w:bookmarkEnd w:id="52"/>
      <w:r>
        <w:rPr>
          <w:rFonts w:ascii="Times New Roman;Times;serif" w:hAnsi="Times New Roman;Times;serif"/>
          <w:b/>
          <w:sz w:val="20"/>
        </w:rPr>
        <w:t>PART I—FINANCIAL INFORMATION</w:t>
      </w:r>
    </w:p>
    <w:p>
      <w:pPr>
        <w:pStyle w:val="TextBody"/>
        <w:bidi w:val="0"/>
        <w:spacing w:before="0" w:after="120"/>
        <w:ind w:left="0" w:right="0" w:hanging="0"/>
        <w:jc w:val="left"/>
        <w:rPr>
          <w:rFonts w:ascii="Times New Roman;Times;serif" w:hAnsi="Times New Roman;Times;serif"/>
          <w:b/>
          <w:sz w:val="20"/>
        </w:rPr>
      </w:pPr>
      <w:bookmarkStart w:id="53" w:name="Item1FinancialStatements_653632"/>
      <w:bookmarkEnd w:id="53"/>
      <w:r>
        <w:rPr>
          <w:rFonts w:ascii="Times New Roman;Times;serif" w:hAnsi="Times New Roman;Times;serif"/>
          <w:b/>
          <w:sz w:val="20"/>
        </w:rPr>
        <w:t>Item 1.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54" w:name="CONDENSEDCONSOLIDATEDBALANCESHEETSUNAUDI"/>
      <w:bookmarkEnd w:id="54"/>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5" w:name="Tc_WkqEcM70JUubwX0dljuUJQ_43_5"/>
      <w:bookmarkStart w:id="56" w:name="Tc_BuxL1_msKke5va8w1jJIFQ_43_2"/>
      <w:bookmarkStart w:id="57" w:name="Tc_VG3xHCA-VkKskCKCmhHs9Q_43_0"/>
      <w:bookmarkStart w:id="58" w:name="Tc_2B9fRvgR1k6azl-jOlQIjQ_42_0"/>
      <w:bookmarkStart w:id="59" w:name="Tc_9aTzobO0z0mCjFSeido-vA_41_0"/>
      <w:bookmarkStart w:id="60" w:name="Tc_pMetGw2DsUC4JmlcTk1Xbw_40_0"/>
      <w:bookmarkStart w:id="61" w:name="Tc_gC_JeInsUUKiq8xh3FoGzA_39_0"/>
      <w:bookmarkStart w:id="62" w:name="_9a6b5006_b5f0_4afd_881a_b5252250741a_3"/>
      <w:bookmarkStart w:id="63" w:name="_9a6b5006_b5f0_4afd_881a_b5252250741a_2"/>
      <w:bookmarkStart w:id="64" w:name="_9a6b5006_b5f0_4afd_881a_b5252250741a"/>
      <w:bookmarkStart w:id="65" w:name="Tc_edj_hUfI4EKyM8VRs0yakQ_38_0"/>
      <w:bookmarkStart w:id="66" w:name="Tc_t67DA4BSq0WzEPrGIMwj9w_37_0"/>
      <w:bookmarkStart w:id="67" w:name="Tc_zXxB7JTkx0SbPcCVvV8_UA_36_0"/>
      <w:bookmarkStart w:id="68" w:name="Tc_Zp3ZHTzzlUiSNyN31iIzYg_35_0"/>
      <w:bookmarkStart w:id="69" w:name="Tc_OZc2ym7BYUGefguNemzZgw_34_0"/>
      <w:bookmarkStart w:id="70" w:name="Tc_bmtcMIcPIkm2dHQ8Knv4tA_33_0"/>
      <w:bookmarkStart w:id="71" w:name="Tc_BU4E110a_UKxMd1SH1TL2w_32_0"/>
      <w:bookmarkStart w:id="72" w:name="Tc_stEbLSSMZ0eoAwoFF1L6xQ_31_0"/>
      <w:bookmarkStart w:id="73" w:name="Tc_Zh_Hanf0JEmKUhgqk6wmJw_30_0"/>
      <w:bookmarkStart w:id="74" w:name="Tc_6nzqbotf3E-0WxZ-Nev1vA_29_0"/>
      <w:bookmarkStart w:id="75" w:name="Tc_yvVK7RnWOU6QeDKtIek-GA_28_0"/>
      <w:bookmarkStart w:id="76" w:name="Tc__CL_peOvlEKpPjre1pWpgQ_27_0"/>
      <w:bookmarkStart w:id="77" w:name="Tc_1BnOwt7xHESWgXFBwc0NQg_26_3"/>
      <w:bookmarkStart w:id="78" w:name="Tc_O200euGFE0C3_KLNoPV6Og_26_0"/>
      <w:bookmarkStart w:id="79" w:name="Tc_DO-eBAG5QEKOh74N-bT1rw_25_0"/>
      <w:bookmarkStart w:id="80" w:name="Tc_raB73PMzxkqPbD7ovjoOHw_24_0"/>
      <w:bookmarkStart w:id="81" w:name="Tc_fTIia0WQNE2eVWvTK7WlKQ_23_0"/>
      <w:bookmarkStart w:id="82" w:name="Tc_RcnG5H-9wkyyUz2gYtSQ9A_22_0"/>
      <w:bookmarkStart w:id="83" w:name="Tc_yaYFvp0d-0mmLpbKng5rKg_21_5"/>
      <w:bookmarkStart w:id="84" w:name="Tc_fJmHE5N9I0OYfjIYNdf1tA_21_2"/>
      <w:bookmarkStart w:id="85" w:name="Tc_p11ywHoUtE6wW2kztWJvjQ_21_0"/>
      <w:bookmarkStart w:id="86" w:name="Tc_Js5Jwjm8ok25e332VamDug_20_0"/>
      <w:bookmarkStart w:id="87" w:name="Tc_37WSzD04JEybcvGEOB98xA_19_0"/>
      <w:bookmarkStart w:id="88" w:name="Tc_0DRtyXmEPECnldaeK7ReIQ_18_5"/>
      <w:bookmarkStart w:id="89" w:name="Tc_s8FbBKzcMEK1VI_T1s6nBw_18_2"/>
      <w:bookmarkStart w:id="90" w:name="Tc_ZhLMYN09o0qfHAULfvyBHA_18_0"/>
      <w:bookmarkStart w:id="91" w:name="Tc_CXicaWNztkaZ4nqFKjDMxA_17_0"/>
      <w:bookmarkStart w:id="92" w:name="Tc_INW5hDlHmECHNqRSEyB9Hg_16_3"/>
      <w:bookmarkStart w:id="93" w:name="Tc_RKpk3r5O6UuuqxrBEakOFw_16_0"/>
      <w:bookmarkStart w:id="94" w:name="Tc_Z16ti-f5XU6_RmAWBJZJvA_15_0"/>
      <w:bookmarkStart w:id="95" w:name="Tc_C8Q8yPjDR0e6W94t_8WivQ_14_0"/>
      <w:bookmarkStart w:id="96" w:name="Tc_Tk8ggrZifkWmHoXkeLG3jA_13_0"/>
      <w:bookmarkStart w:id="97" w:name="Tc_wsg2iMyhqUqwSIVwMTFUOw_12_0"/>
      <w:bookmarkStart w:id="98" w:name="Tc_3HezC5qwAkO6ALGyp6PtnQ_11_0"/>
      <w:bookmarkStart w:id="99" w:name="Tc_xnOGxwkDFUSd3gyi8xp-OQ_10_0"/>
      <w:bookmarkStart w:id="100" w:name="Tc_4nmuxd0usEm056I5vHPvVQ_9_0"/>
      <w:bookmarkStart w:id="101" w:name="Tc_96xco-o2dU6mFaqZhWqKRg_8_0"/>
      <w:bookmarkStart w:id="102" w:name="Tc_lSjU6k599kiXd1IYCq3VNg_7_0"/>
      <w:bookmarkStart w:id="103" w:name="Tc_8PKAjwofOkeTYWj32rWmNQ_6_0"/>
      <w:bookmarkStart w:id="104" w:name="Tc_mMfhjg4-kkS8h9QWew6XEA_5_5"/>
      <w:bookmarkStart w:id="105" w:name="Tc_7WJwKgkwcUa0lZpXiFIOrg_5_2"/>
      <w:bookmarkStart w:id="106" w:name="Tc_0uX8dCwmqEuCJv50DluhsQ_5_0"/>
      <w:bookmarkStart w:id="107" w:name="Tc_UfW0Oe7IJUaJyvNoFpTTOw_4_0"/>
      <w:bookmarkStart w:id="108" w:name="Tc_aCg9X5JZykucLVmMbIiAAg_3_0"/>
      <w:bookmarkStart w:id="109" w:name="Tc_OG2Rul_NekWgtZmCuTQUlQ_2_5"/>
      <w:bookmarkStart w:id="110" w:name="Tc_SAi3GKQfw0u5EqvQvRp3wQ_2_2"/>
      <w:bookmarkStart w:id="111" w:name="Tc_fCwU05gnGE20vqIrCUXjvw_1_5"/>
      <w:bookmarkStart w:id="112" w:name="Tc_3Ua8w5jwSUynjwnDp8KWzw_1_2"/>
      <w:bookmarkStart w:id="113" w:name="_41d33600_14ce_4518_a32d_c92244d6600b"/>
      <w:bookmarkStart w:id="114" w:name="Tc_WkqEcM70JUubwX0dljuUJQ_43_5"/>
      <w:bookmarkStart w:id="115" w:name="Tc_BuxL1_msKke5va8w1jJIFQ_43_2"/>
      <w:bookmarkStart w:id="116" w:name="Tc_VG3xHCA-VkKskCKCmhHs9Q_43_0"/>
      <w:bookmarkStart w:id="117" w:name="Tc_2B9fRvgR1k6azl-jOlQIjQ_42_0"/>
      <w:bookmarkStart w:id="118" w:name="Tc_9aTzobO0z0mCjFSeido-vA_41_0"/>
      <w:bookmarkStart w:id="119" w:name="Tc_pMetGw2DsUC4JmlcTk1Xbw_40_0"/>
      <w:bookmarkStart w:id="120" w:name="Tc_gC_JeInsUUKiq8xh3FoGzA_39_0"/>
      <w:bookmarkStart w:id="121" w:name="_9a6b5006_b5f0_4afd_881a_b5252250741a_3"/>
      <w:bookmarkStart w:id="122" w:name="_9a6b5006_b5f0_4afd_881a_b5252250741a_2"/>
      <w:bookmarkStart w:id="123" w:name="_9a6b5006_b5f0_4afd_881a_b5252250741a"/>
      <w:bookmarkStart w:id="124" w:name="Tc_edj_hUfI4EKyM8VRs0yakQ_38_0"/>
      <w:bookmarkStart w:id="125" w:name="Tc_t67DA4BSq0WzEPrGIMwj9w_37_0"/>
      <w:bookmarkStart w:id="126" w:name="Tc_zXxB7JTkx0SbPcCVvV8_UA_36_0"/>
      <w:bookmarkStart w:id="127" w:name="Tc_Zp3ZHTzzlUiSNyN31iIzYg_35_0"/>
      <w:bookmarkStart w:id="128" w:name="Tc_OZc2ym7BYUGefguNemzZgw_34_0"/>
      <w:bookmarkStart w:id="129" w:name="Tc_bmtcMIcPIkm2dHQ8Knv4tA_33_0"/>
      <w:bookmarkStart w:id="130" w:name="Tc_BU4E110a_UKxMd1SH1TL2w_32_0"/>
      <w:bookmarkStart w:id="131" w:name="Tc_stEbLSSMZ0eoAwoFF1L6xQ_31_0"/>
      <w:bookmarkStart w:id="132" w:name="Tc_Zh_Hanf0JEmKUhgqk6wmJw_30_0"/>
      <w:bookmarkStart w:id="133" w:name="Tc_6nzqbotf3E-0WxZ-Nev1vA_29_0"/>
      <w:bookmarkStart w:id="134" w:name="Tc_yvVK7RnWOU6QeDKtIek-GA_28_0"/>
      <w:bookmarkStart w:id="135" w:name="Tc__CL_peOvlEKpPjre1pWpgQ_27_0"/>
      <w:bookmarkStart w:id="136" w:name="Tc_1BnOwt7xHESWgXFBwc0NQg_26_3"/>
      <w:bookmarkStart w:id="137" w:name="Tc_O200euGFE0C3_KLNoPV6Og_26_0"/>
      <w:bookmarkStart w:id="138" w:name="Tc_DO-eBAG5QEKOh74N-bT1rw_25_0"/>
      <w:bookmarkStart w:id="139" w:name="Tc_raB73PMzxkqPbD7ovjoOHw_24_0"/>
      <w:bookmarkStart w:id="140" w:name="Tc_fTIia0WQNE2eVWvTK7WlKQ_23_0"/>
      <w:bookmarkStart w:id="141" w:name="Tc_RcnG5H-9wkyyUz2gYtSQ9A_22_0"/>
      <w:bookmarkStart w:id="142" w:name="Tc_yaYFvp0d-0mmLpbKng5rKg_21_5"/>
      <w:bookmarkStart w:id="143" w:name="Tc_fJmHE5N9I0OYfjIYNdf1tA_21_2"/>
      <w:bookmarkStart w:id="144" w:name="Tc_p11ywHoUtE6wW2kztWJvjQ_21_0"/>
      <w:bookmarkStart w:id="145" w:name="Tc_Js5Jwjm8ok25e332VamDug_20_0"/>
      <w:bookmarkStart w:id="146" w:name="Tc_37WSzD04JEybcvGEOB98xA_19_0"/>
      <w:bookmarkStart w:id="147" w:name="Tc_0DRtyXmEPECnldaeK7ReIQ_18_5"/>
      <w:bookmarkStart w:id="148" w:name="Tc_s8FbBKzcMEK1VI_T1s6nBw_18_2"/>
      <w:bookmarkStart w:id="149" w:name="Tc_ZhLMYN09o0qfHAULfvyBHA_18_0"/>
      <w:bookmarkStart w:id="150" w:name="Tc_CXicaWNztkaZ4nqFKjDMxA_17_0"/>
      <w:bookmarkStart w:id="151" w:name="Tc_INW5hDlHmECHNqRSEyB9Hg_16_3"/>
      <w:bookmarkStart w:id="152" w:name="Tc_RKpk3r5O6UuuqxrBEakOFw_16_0"/>
      <w:bookmarkStart w:id="153" w:name="Tc_Z16ti-f5XU6_RmAWBJZJvA_15_0"/>
      <w:bookmarkStart w:id="154" w:name="Tc_C8Q8yPjDR0e6W94t_8WivQ_14_0"/>
      <w:bookmarkStart w:id="155" w:name="Tc_Tk8ggrZifkWmHoXkeLG3jA_13_0"/>
      <w:bookmarkStart w:id="156" w:name="Tc_wsg2iMyhqUqwSIVwMTFUOw_12_0"/>
      <w:bookmarkStart w:id="157" w:name="Tc_3HezC5qwAkO6ALGyp6PtnQ_11_0"/>
      <w:bookmarkStart w:id="158" w:name="Tc_xnOGxwkDFUSd3gyi8xp-OQ_10_0"/>
      <w:bookmarkStart w:id="159" w:name="Tc_4nmuxd0usEm056I5vHPvVQ_9_0"/>
      <w:bookmarkStart w:id="160" w:name="Tc_96xco-o2dU6mFaqZhWqKRg_8_0"/>
      <w:bookmarkStart w:id="161" w:name="Tc_lSjU6k599kiXd1IYCq3VNg_7_0"/>
      <w:bookmarkStart w:id="162" w:name="Tc_8PKAjwofOkeTYWj32rWmNQ_6_0"/>
      <w:bookmarkStart w:id="163" w:name="Tc_mMfhjg4-kkS8h9QWew6XEA_5_5"/>
      <w:bookmarkStart w:id="164" w:name="Tc_7WJwKgkwcUa0lZpXiFIOrg_5_2"/>
      <w:bookmarkStart w:id="165" w:name="Tc_0uX8dCwmqEuCJv50DluhsQ_5_0"/>
      <w:bookmarkStart w:id="166" w:name="Tc_UfW0Oe7IJUaJyvNoFpTTOw_4_0"/>
      <w:bookmarkStart w:id="167" w:name="Tc_aCg9X5JZykucLVmMbIiAAg_3_0"/>
      <w:bookmarkStart w:id="168" w:name="Tc_OG2Rul_NekWgtZmCuTQUlQ_2_5"/>
      <w:bookmarkStart w:id="169" w:name="Tc_SAi3GKQfw0u5EqvQvRp3wQ_2_2"/>
      <w:bookmarkStart w:id="170" w:name="Tc_fCwU05gnGE20vqIrCUXjvw_1_5"/>
      <w:bookmarkStart w:id="171" w:name="Tc_3Ua8w5jwSUynjwnDp8KWzw_1_2"/>
      <w:bookmarkStart w:id="172" w:name="_41d33600_14ce_4518_a32d_c92244d6600b"/>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tbl>
      <w:tblPr>
        <w:tblW w:w="10205" w:type="dxa"/>
        <w:jc w:val="left"/>
        <w:tblInd w:w="0" w:type="dxa"/>
        <w:tblLayout w:type="fixed"/>
        <w:tblCellMar>
          <w:top w:w="0" w:type="dxa"/>
          <w:left w:w="0" w:type="dxa"/>
          <w:bottom w:w="0" w:type="dxa"/>
          <w:right w:w="0" w:type="dxa"/>
        </w:tblCellMar>
      </w:tblPr>
      <w:tblGrid>
        <w:gridCol w:w="7316"/>
        <w:gridCol w:w="326"/>
        <w:gridCol w:w="246"/>
        <w:gridCol w:w="871"/>
        <w:gridCol w:w="326"/>
        <w:gridCol w:w="220"/>
        <w:gridCol w:w="900"/>
      </w:tblGrid>
      <w:tr>
        <w:trPr/>
        <w:tc>
          <w:tcPr>
            <w:tcW w:w="7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645660" cy="175260"/>
                      <wp:effectExtent l="0" t="0" r="0" b="0"/>
                      <wp:wrapNone/>
                      <wp:docPr id="51" name="Frame51"/>
                      <a:graphic xmlns:a="http://schemas.openxmlformats.org/drawingml/2006/main">
                        <a:graphicData uri="http://schemas.microsoft.com/office/word/2010/wordprocessingShape">
                          <wps:wsp>
                            <wps:cNvSpPr txBox="1"/>
                            <wps:spPr>
                              <a:xfrm>
                                <a:off x="0" y="0"/>
                                <a:ext cx="464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6210" cy="175260"/>
                      <wp:effectExtent l="0" t="0" r="0" b="0"/>
                      <wp:wrapNone/>
                      <wp:docPr id="53" name="Frame5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53085" cy="175260"/>
                      <wp:effectExtent l="0" t="0" r="0" b="0"/>
                      <wp:wrapNone/>
                      <wp:docPr id="54" name="Frame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9700" cy="175260"/>
                      <wp:effectExtent l="0" t="0" r="0" b="0"/>
                      <wp:wrapNone/>
                      <wp:docPr id="56" name="Frame5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71500" cy="175260"/>
                      <wp:effectExtent l="0" t="0" r="0" b="0"/>
                      <wp:wrapNone/>
                      <wp:docPr id="57" name="Frame5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25,</w:t>
            </w:r>
          </w:p>
        </w:tc>
      </w:tr>
      <w:tr>
        <w:trPr/>
        <w:tc>
          <w:tcPr>
            <w:tcW w:w="7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and other receivables, net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9,471</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5,509</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28,453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19,895</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88,893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86,149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finance lease, net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held under operating leases, net ("ROU asset")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169,957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170,494</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248,674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61,888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assets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3,527</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602,748</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592,014</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obligations under operating leases</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19,738</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10,845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12,087</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salaries and vacation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10,803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13,926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11,417</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income taxes payable</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2,105</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18,925</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15,896</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69,850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75,658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Revolver loan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61,000</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71,000</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finance leases,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under operating leases, net of current portion</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172,655</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170,529</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6,357</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6,092</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6,218</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319,816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331,345</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8)</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  </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  </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100,000,000 shares authorized; 100,000 shares designated as Series A Preferred Stock; none issued or outstanding</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$0.01</w:t>
            </w:r>
            <w:r>
              <w:rPr>
                <w:rFonts w:ascii="Times New Roman;Times;serif" w:hAnsi="Times New Roman;Times;serif"/>
                <w:sz w:val="20"/>
              </w:rPr>
              <w:t xml:space="preserve"> </w:t>
            </w:r>
            <w:r>
              <w:rPr>
                <w:rFonts w:ascii="Times New Roman;Times;serif" w:hAnsi="Times New Roman;Times;serif"/>
                <w:sz w:val="18"/>
              </w:rPr>
              <w:t>par value, 200,000,000</w:t>
            </w:r>
            <w:r>
              <w:rPr>
                <w:rFonts w:ascii="Times New Roman;Times;serif" w:hAnsi="Times New Roman;Times;serif"/>
                <w:sz w:val="20"/>
              </w:rPr>
              <w:t xml:space="preserve"> </w:t>
            </w:r>
            <w:r>
              <w:rPr>
                <w:rFonts w:ascii="Times New Roman;Times;serif" w:hAnsi="Times New Roman;Times;serif"/>
                <w:sz w:val="18"/>
              </w:rPr>
              <w:t>shares authorized; 29,999,694</w:t>
            </w:r>
            <w:r>
              <w:rPr>
                <w:rFonts w:ascii="Times New Roman;Times;serif" w:hAnsi="Times New Roman;Times;serif"/>
                <w:sz w:val="20"/>
              </w:rPr>
              <w:t xml:space="preserve"> </w:t>
            </w:r>
            <w:r>
              <w:rPr>
                <w:rFonts w:ascii="Times New Roman;Times;serif" w:hAnsi="Times New Roman;Times;serif"/>
                <w:sz w:val="18"/>
              </w:rPr>
              <w:t>and 29,839,721</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September 24, 2025 and December 25,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245,619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241,462</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37,014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18,909</w:t>
            </w:r>
          </w:p>
        </w:tc>
      </w:tr>
      <w:tr>
        <w:trPr/>
        <w:tc>
          <w:tcPr>
            <w:tcW w:w="73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282,932</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260,669</w:t>
            </w:r>
          </w:p>
        </w:tc>
      </w:tr>
      <w:tr>
        <w:trPr/>
        <w:tc>
          <w:tcPr>
            <w:tcW w:w="7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602,748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592,014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73" w:name="_f3edf95a_bf67_4332_8f2b_9236e875f19e"/>
      <w:bookmarkEnd w:id="173"/>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174" w:name="CONDENSEDCONSOLIDATEDSTATEMENTSOFINCOMEU"/>
      <w:bookmarkEnd w:id="174"/>
      <w:r>
        <w:rPr>
          <w:rFonts w:ascii="Times New Roman;Times;serif" w:hAnsi="Times New Roman;Times;serif"/>
          <w:b/>
          <w:sz w:val="20"/>
        </w:rPr>
        <w:t>CONDENSED CONSOLIDATED STATEMENTS OF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5" w:name="Tc_RU9lDkXk2kOoiN7STMVBiQ_32_0"/>
      <w:bookmarkStart w:id="176" w:name="Tc_W416AJ_0zUCg2TdjbjrpBw_31_0"/>
      <w:bookmarkStart w:id="177" w:name="Tc_EKw3mhejOESQQKXa0fmMsw_30_0"/>
      <w:bookmarkStart w:id="178" w:name="Tc_kBlge1jB-UCmKDLgfMROZw_29_11"/>
      <w:bookmarkStart w:id="179" w:name="Tc_6EMy28LZMkuHZ9SgLM6oFA_29_8"/>
      <w:bookmarkStart w:id="180" w:name="Tc_7ulQAEVTsU6AZ5j0ahe4Xw_29_5"/>
      <w:bookmarkStart w:id="181" w:name="Tc_pVY0k0djlEKINw_fCYn77A_29_2"/>
      <w:bookmarkStart w:id="182" w:name="Tc_d-qDxwjIHEuucYn4qJefKg_29_0"/>
      <w:bookmarkStart w:id="183" w:name="Tc_uilVVvtGD0e2BoH4v-1g9w_28_11"/>
      <w:bookmarkStart w:id="184" w:name="Tc_fsQkXdfC9k2MLaLs8_ppwg_28_8"/>
      <w:bookmarkStart w:id="185" w:name="Tc__nDD4RVQsE6WmA6bkKYILA_28_5"/>
      <w:bookmarkStart w:id="186" w:name="Tc_XVNlIb1QZkioq0BzTek7aw_28_2"/>
      <w:bookmarkStart w:id="187" w:name="Tc_LjPUvjmackaA5ACaWce2JA_28_0"/>
      <w:bookmarkStart w:id="188" w:name="Tc__04PZGLqN0iMWYadPFzC4Q_27_0"/>
      <w:bookmarkStart w:id="189" w:name="Tc_uNV1kKT220uMPT9We5xiwg_26_11"/>
      <w:bookmarkStart w:id="190" w:name="Tc_L2ompysGA0KNg7aWj03ohQ_26_8"/>
      <w:bookmarkStart w:id="191" w:name="Tc_R3fchh_XC0qvzt1uPrzTQQ_26_5"/>
      <w:bookmarkStart w:id="192" w:name="Tc_-UnX79ZG2kC_RZgFU5pGOg_26_2"/>
      <w:bookmarkStart w:id="193" w:name="Tc_o9T2pY2WgUWN2eTOcQtm1Q_26_0"/>
      <w:bookmarkStart w:id="194" w:name="Tc_Fcq5zEDNIEalg3kUOH8ahA_25_0"/>
      <w:bookmarkStart w:id="195" w:name="Tc_M_pvGVmqKEe_9wT2I5rpUQ_24_0"/>
      <w:bookmarkStart w:id="196" w:name="Tc_x57X-uipq0mvqhhFU-e8Pw_23_0"/>
      <w:bookmarkStart w:id="197" w:name="Tc_GnxOkYhsIE-acpayVO5p6Q_22_0"/>
      <w:bookmarkStart w:id="198" w:name="Tc_8IJ6zyM8p0CELZSJmjD3AQ_21_0"/>
      <w:bookmarkStart w:id="199" w:name="Tc_7RUnycS_AEudgdAhILyZ0Q_20_0"/>
      <w:bookmarkStart w:id="200" w:name="Tc_Vw57hoEWIUWRJf9QvXa1zA_19_9"/>
      <w:bookmarkStart w:id="201" w:name="Tc_ALtHy51uyUijnBx0n56n-w_19_6"/>
      <w:bookmarkStart w:id="202" w:name="Tc_ZyMg4M6U-EShVf33vzeFeQ_19_3"/>
      <w:bookmarkStart w:id="203" w:name="Tc_WvTQPxUl7UyoZgkaZ87CnQ_19_0"/>
      <w:bookmarkStart w:id="204" w:name="Tc_dzyZZIhvkEiNy-58a07mWg_18_9"/>
      <w:bookmarkStart w:id="205" w:name="Tc_hCslfdOS10uRUy5XBduKBg_18_6"/>
      <w:bookmarkStart w:id="206" w:name="Tc_9ILLjR9k_Ea1L3K0VQtEOQ_18_3"/>
      <w:bookmarkStart w:id="207" w:name="Tc_MyrzvIX14EG3qOVuDrT9dQ_18_0"/>
      <w:bookmarkStart w:id="208" w:name="Tc_aullmwDsBkGSM9cTESwYzQ_17_0"/>
      <w:bookmarkStart w:id="209" w:name="Tc_zj3T2YPUc0KC6YBKXGQ6Cw_16_0"/>
      <w:bookmarkStart w:id="210" w:name="Tc_GLjjjSX410OPSTG69f_dFw_15_0"/>
      <w:bookmarkStart w:id="211" w:name="Tc_ZKgOf7vLR0Sphp5mMu5w5A_14_0"/>
      <w:bookmarkStart w:id="212" w:name="Tc_sew3DBPoyEehrdjwXwNDvw_13_0"/>
      <w:bookmarkStart w:id="213" w:name="Tc_qtk3OUCghkeEtY8MuxyT7w_12_0"/>
      <w:bookmarkStart w:id="214" w:name="Tc_U9g0ZcVTGESZ-1GbfQwD1Q_11_0"/>
      <w:bookmarkStart w:id="215" w:name="Tc_uq3ObiqjeUK5SVdWdZUgkg_10_0"/>
      <w:bookmarkStart w:id="216" w:name="Tc_kLhesiU0QkecM54khKUw2g_9_0"/>
      <w:bookmarkStart w:id="217" w:name="Tc_bUhc2D2ub0CogWkO_qRHLw_8_0"/>
      <w:bookmarkStart w:id="218" w:name="Tc_SeZg6Stvc0iD_Q5lulBpQQ_7_0"/>
      <w:bookmarkStart w:id="219" w:name="Tc_9ZmlLVPmf02BRXTxz3qaEg_6_0"/>
      <w:bookmarkStart w:id="220" w:name="Tc_dIlCjzNUZEu42YB2CzRMlA_5_11"/>
      <w:bookmarkStart w:id="221" w:name="Tc_efVPvSYG-0e9007oVqE8VA_5_8"/>
      <w:bookmarkStart w:id="222" w:name="Tc_-H4P-_WCGUq_7r7z8-4DKw_5_5"/>
      <w:bookmarkStart w:id="223" w:name="Tc_MYUGtawFoUOsHAZ1mpBZBg_5_2"/>
      <w:bookmarkStart w:id="224" w:name="Tc_GhSoTWEvIUqR8nNBkqVXxA_5_0"/>
      <w:bookmarkStart w:id="225" w:name="Tc_nNb134GYC0upSpAuBJoMvA_4_0"/>
      <w:bookmarkStart w:id="226" w:name="Tc_nW-CLjfueEqneD1q63TfYA_3_11"/>
      <w:bookmarkStart w:id="227" w:name="Tc_xVpSLSuGU0uqun14jAQUSA_3_8"/>
      <w:bookmarkStart w:id="228" w:name="Tc_RyV06jrjHUG98yGgs_I_8g_3_5"/>
      <w:bookmarkStart w:id="229" w:name="Tc_hvW3l2N4DUqThOhgYuEXvQ_3_2"/>
      <w:bookmarkStart w:id="230" w:name="Tc_uAm8FmXfOk-hy2QybxImWw_2_8"/>
      <w:bookmarkStart w:id="231" w:name="Tc_moMbYVIR4ECdVhhBhyR2Ww_2_2"/>
      <w:bookmarkStart w:id="232" w:name="_0e6641e6_d489_442e_9cda_5e48c2ed0862"/>
      <w:bookmarkStart w:id="233" w:name="Tc_RU9lDkXk2kOoiN7STMVBiQ_32_0"/>
      <w:bookmarkStart w:id="234" w:name="Tc_W416AJ_0zUCg2TdjbjrpBw_31_0"/>
      <w:bookmarkStart w:id="235" w:name="Tc_EKw3mhejOESQQKXa0fmMsw_30_0"/>
      <w:bookmarkStart w:id="236" w:name="Tc_kBlge1jB-UCmKDLgfMROZw_29_11"/>
      <w:bookmarkStart w:id="237" w:name="Tc_6EMy28LZMkuHZ9SgLM6oFA_29_8"/>
      <w:bookmarkStart w:id="238" w:name="Tc_7ulQAEVTsU6AZ5j0ahe4Xw_29_5"/>
      <w:bookmarkStart w:id="239" w:name="Tc_pVY0k0djlEKINw_fCYn77A_29_2"/>
      <w:bookmarkStart w:id="240" w:name="Tc_d-qDxwjIHEuucYn4qJefKg_29_0"/>
      <w:bookmarkStart w:id="241" w:name="Tc_uilVVvtGD0e2BoH4v-1g9w_28_11"/>
      <w:bookmarkStart w:id="242" w:name="Tc_fsQkXdfC9k2MLaLs8_ppwg_28_8"/>
      <w:bookmarkStart w:id="243" w:name="Tc__nDD4RVQsE6WmA6bkKYILA_28_5"/>
      <w:bookmarkStart w:id="244" w:name="Tc_XVNlIb1QZkioq0BzTek7aw_28_2"/>
      <w:bookmarkStart w:id="245" w:name="Tc_LjPUvjmackaA5ACaWce2JA_28_0"/>
      <w:bookmarkStart w:id="246" w:name="Tc__04PZGLqN0iMWYadPFzC4Q_27_0"/>
      <w:bookmarkStart w:id="247" w:name="Tc_uNV1kKT220uMPT9We5xiwg_26_11"/>
      <w:bookmarkStart w:id="248" w:name="Tc_L2ompysGA0KNg7aWj03ohQ_26_8"/>
      <w:bookmarkStart w:id="249" w:name="Tc_R3fchh_XC0qvzt1uPrzTQQ_26_5"/>
      <w:bookmarkStart w:id="250" w:name="Tc_-UnX79ZG2kC_RZgFU5pGOg_26_2"/>
      <w:bookmarkStart w:id="251" w:name="Tc_o9T2pY2WgUWN2eTOcQtm1Q_26_0"/>
      <w:bookmarkStart w:id="252" w:name="Tc_Fcq5zEDNIEalg3kUOH8ahA_25_0"/>
      <w:bookmarkStart w:id="253" w:name="Tc_M_pvGVmqKEe_9wT2I5rpUQ_24_0"/>
      <w:bookmarkStart w:id="254" w:name="Tc_x57X-uipq0mvqhhFU-e8Pw_23_0"/>
      <w:bookmarkStart w:id="255" w:name="Tc_GnxOkYhsIE-acpayVO5p6Q_22_0"/>
      <w:bookmarkStart w:id="256" w:name="Tc_8IJ6zyM8p0CELZSJmjD3AQ_21_0"/>
      <w:bookmarkStart w:id="257" w:name="Tc_7RUnycS_AEudgdAhILyZ0Q_20_0"/>
      <w:bookmarkStart w:id="258" w:name="Tc_Vw57hoEWIUWRJf9QvXa1zA_19_9"/>
      <w:bookmarkStart w:id="259" w:name="Tc_ALtHy51uyUijnBx0n56n-w_19_6"/>
      <w:bookmarkStart w:id="260" w:name="Tc_ZyMg4M6U-EShVf33vzeFeQ_19_3"/>
      <w:bookmarkStart w:id="261" w:name="Tc_WvTQPxUl7UyoZgkaZ87CnQ_19_0"/>
      <w:bookmarkStart w:id="262" w:name="Tc_dzyZZIhvkEiNy-58a07mWg_18_9"/>
      <w:bookmarkStart w:id="263" w:name="Tc_hCslfdOS10uRUy5XBduKBg_18_6"/>
      <w:bookmarkStart w:id="264" w:name="Tc_9ILLjR9k_Ea1L3K0VQtEOQ_18_3"/>
      <w:bookmarkStart w:id="265" w:name="Tc_MyrzvIX14EG3qOVuDrT9dQ_18_0"/>
      <w:bookmarkStart w:id="266" w:name="Tc_aullmwDsBkGSM9cTESwYzQ_17_0"/>
      <w:bookmarkStart w:id="267" w:name="Tc_zj3T2YPUc0KC6YBKXGQ6Cw_16_0"/>
      <w:bookmarkStart w:id="268" w:name="Tc_GLjjjSX410OPSTG69f_dFw_15_0"/>
      <w:bookmarkStart w:id="269" w:name="Tc_ZKgOf7vLR0Sphp5mMu5w5A_14_0"/>
      <w:bookmarkStart w:id="270" w:name="Tc_sew3DBPoyEehrdjwXwNDvw_13_0"/>
      <w:bookmarkStart w:id="271" w:name="Tc_qtk3OUCghkeEtY8MuxyT7w_12_0"/>
      <w:bookmarkStart w:id="272" w:name="Tc_U9g0ZcVTGESZ-1GbfQwD1Q_11_0"/>
      <w:bookmarkStart w:id="273" w:name="Tc_uq3ObiqjeUK5SVdWdZUgkg_10_0"/>
      <w:bookmarkStart w:id="274" w:name="Tc_kLhesiU0QkecM54khKUw2g_9_0"/>
      <w:bookmarkStart w:id="275" w:name="Tc_bUhc2D2ub0CogWkO_qRHLw_8_0"/>
      <w:bookmarkStart w:id="276" w:name="Tc_SeZg6Stvc0iD_Q5lulBpQQ_7_0"/>
      <w:bookmarkStart w:id="277" w:name="Tc_9ZmlLVPmf02BRXTxz3qaEg_6_0"/>
      <w:bookmarkStart w:id="278" w:name="Tc_dIlCjzNUZEu42YB2CzRMlA_5_11"/>
      <w:bookmarkStart w:id="279" w:name="Tc_efVPvSYG-0e9007oVqE8VA_5_8"/>
      <w:bookmarkStart w:id="280" w:name="Tc_-H4P-_WCGUq_7r7z8-4DKw_5_5"/>
      <w:bookmarkStart w:id="281" w:name="Tc_MYUGtawFoUOsHAZ1mpBZBg_5_2"/>
      <w:bookmarkStart w:id="282" w:name="Tc_GhSoTWEvIUqR8nNBkqVXxA_5_0"/>
      <w:bookmarkStart w:id="283" w:name="Tc_nNb134GYC0upSpAuBJoMvA_4_0"/>
      <w:bookmarkStart w:id="284" w:name="Tc_nW-CLjfueEqneD1q63TfYA_3_11"/>
      <w:bookmarkStart w:id="285" w:name="Tc_xVpSLSuGU0uqun14jAQUSA_3_8"/>
      <w:bookmarkStart w:id="286" w:name="Tc_RyV06jrjHUG98yGgs_I_8g_3_5"/>
      <w:bookmarkStart w:id="287" w:name="Tc_hvW3l2N4DUqThOhgYuEXvQ_3_2"/>
      <w:bookmarkStart w:id="288" w:name="Tc_uAm8FmXfOk-hy2QybxImWw_2_8"/>
      <w:bookmarkStart w:id="289" w:name="Tc_moMbYVIR4ECdVhhBhyR2Ww_2_2"/>
      <w:bookmarkStart w:id="290" w:name="_0e6641e6_d489_442e_9cda_5e48c2ed086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10205" w:type="dxa"/>
        <w:jc w:val="left"/>
        <w:tblInd w:w="0" w:type="dxa"/>
        <w:tblLayout w:type="fixed"/>
        <w:tblCellMar>
          <w:top w:w="0" w:type="dxa"/>
          <w:left w:w="0" w:type="dxa"/>
          <w:bottom w:w="0" w:type="dxa"/>
          <w:right w:w="0" w:type="dxa"/>
        </w:tblCellMar>
      </w:tblPr>
      <w:tblGrid>
        <w:gridCol w:w="3032"/>
        <w:gridCol w:w="326"/>
        <w:gridCol w:w="261"/>
        <w:gridCol w:w="1285"/>
        <w:gridCol w:w="146"/>
        <w:gridCol w:w="261"/>
        <w:gridCol w:w="1285"/>
        <w:gridCol w:w="326"/>
        <w:gridCol w:w="261"/>
        <w:gridCol w:w="1285"/>
        <w:gridCol w:w="146"/>
        <w:gridCol w:w="248"/>
        <w:gridCol w:w="1343"/>
      </w:tblGrid>
      <w:tr>
        <w:trPr/>
        <w:tc>
          <w:tcPr>
            <w:tcW w:w="3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925320" cy="175260"/>
                      <wp:effectExtent l="0" t="0" r="0" b="0"/>
                      <wp:wrapNone/>
                      <wp:docPr id="58" name="Frame58"/>
                      <a:graphic xmlns:a="http://schemas.openxmlformats.org/drawingml/2006/main">
                        <a:graphicData uri="http://schemas.microsoft.com/office/word/2010/wordprocessingShape">
                          <wps:wsp>
                            <wps:cNvSpPr txBox="1"/>
                            <wps:spPr>
                              <a:xfrm>
                                <a:off x="0" y="0"/>
                                <a:ext cx="1925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5735" cy="175260"/>
                      <wp:effectExtent l="0" t="0" r="0" b="0"/>
                      <wp:wrapNone/>
                      <wp:docPr id="60" name="Frame6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815975" cy="175260"/>
                      <wp:effectExtent l="0" t="0" r="0" b="0"/>
                      <wp:wrapNone/>
                      <wp:docPr id="61" name="Frame61"/>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62" name="Frame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5735" cy="175260"/>
                      <wp:effectExtent l="0" t="0" r="0" b="0"/>
                      <wp:wrapNone/>
                      <wp:docPr id="63" name="Frame6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815975" cy="175260"/>
                      <wp:effectExtent l="0" t="0" r="0" b="0"/>
                      <wp:wrapNone/>
                      <wp:docPr id="64" name="Frame64"/>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5735" cy="175260"/>
                      <wp:effectExtent l="0" t="0" r="0" b="0"/>
                      <wp:wrapNone/>
                      <wp:docPr id="66" name="Frame6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15975" cy="175260"/>
                      <wp:effectExtent l="0" t="0" r="0" b="0"/>
                      <wp:wrapNone/>
                      <wp:docPr id="67" name="Frame67"/>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92710" cy="175260"/>
                      <wp:effectExtent l="0" t="0" r="0" b="0"/>
                      <wp:wrapNone/>
                      <wp:docPr id="68" name="Frame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57480" cy="175260"/>
                      <wp:effectExtent l="0" t="0" r="0" b="0"/>
                      <wp:wrapNone/>
                      <wp:docPr id="69" name="Frame6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852805" cy="175260"/>
                      <wp:effectExtent l="0" t="0" r="0" b="0"/>
                      <wp:wrapNone/>
                      <wp:docPr id="70" name="Frame70"/>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left"/>
              <w:rPr/>
            </w:pPr>
            <w:r>
              <w:rPr/>
              <w:t>​</w:t>
            </w:r>
          </w:p>
        </w:tc>
      </w:tr>
      <w:tr>
        <w:trPr/>
        <w:tc>
          <w:tcPr>
            <w:tcW w:w="30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32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0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46"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pPr>
            <w:r>
              <w:rPr/>
              <w:t>  </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100,721</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303,404</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300,638</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1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121,520</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366,531</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358,724</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operations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pPr>
            <w:r>
              <w:rPr/>
              <w:t>  </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75,114</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76,751</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30,648</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32,744</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94,982</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96,192</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79,144</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74,609</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restaurant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82,257</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84,233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249,240</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247,552</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37,138</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35,130</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11,407</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10,488</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36,476</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11,789</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net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restaurants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110,062</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110,258</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334,796</w:t>
            </w:r>
          </w:p>
        </w:tc>
        <w:tc>
          <w:tcPr>
            <w:tcW w:w="1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326,590</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11,458</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31,735</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32,134</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10,336</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28,230</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27,507</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1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1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7,358</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19,731</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pPr>
            <w:r>
              <w:rPr/>
              <w:t>​</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0.68</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used in computing 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0" w:hanging="0"/>
              <w:jc w:val="right"/>
              <w:rPr/>
            </w:pPr>
            <w:r>
              <w:rPr/>
              <w:t>  </w:t>
            </w:r>
          </w:p>
        </w:tc>
      </w:tr>
      <w:tr>
        <w:trPr/>
        <w:tc>
          <w:tcPr>
            <w:tcW w:w="30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29,219,480</w:t>
            </w:r>
          </w:p>
        </w:tc>
        <w:tc>
          <w:tcPr>
            <w:tcW w:w="1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29,199,971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29,134,766</w:t>
            </w:r>
          </w:p>
        </w:tc>
        <w:tc>
          <w:tcPr>
            <w:tcW w:w="1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30,072,637</w:t>
            </w:r>
          </w:p>
        </w:tc>
      </w:tr>
      <w:tr>
        <w:trPr/>
        <w:tc>
          <w:tcPr>
            <w:tcW w:w="30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29,406,754</w:t>
            </w:r>
          </w:p>
        </w:tc>
        <w:tc>
          <w:tcPr>
            <w:tcW w:w="14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29,423,649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29,343,906</w:t>
            </w:r>
          </w:p>
        </w:tc>
        <w:tc>
          <w:tcPr>
            <w:tcW w:w="1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134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30,235,309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1" w:name="_5599bd18_ef31_4dfc_8aa0_360faf4a600b"/>
      <w:bookmarkEnd w:id="291"/>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292" w:name="CONDENSEDCONSOLIDATEDSTATEMENTSOFCHANGES"/>
      <w:bookmarkEnd w:id="292"/>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3" w:name="Tc_Dg1tmRce_0yvFF-7EZUg9Q_31_13"/>
      <w:bookmarkStart w:id="294" w:name="Tc_-YMic2t72EWEUBWS1tiGPw_31_10"/>
      <w:bookmarkStart w:id="295" w:name="Tc_RVfpA5j4YUa1wox9zG9RAw_31_7"/>
      <w:bookmarkStart w:id="296" w:name="Tc_13Ic04exw0KEEf16BSCaNw_31_4"/>
      <w:bookmarkStart w:id="297" w:name="Tc_sjEcVGTnEky97pBLKCKvcA_31_0"/>
      <w:bookmarkStart w:id="298" w:name="Tc_dObZyEyym0CHGMmLo3s1kA_30_8"/>
      <w:bookmarkStart w:id="299" w:name="Tc_9nOaoHrzgkSHBpjiwSOjyg_30_5"/>
      <w:bookmarkStart w:id="300" w:name="Tc_fO6QHtx2YESvBDZ9mwas8g_30_2"/>
      <w:bookmarkStart w:id="301" w:name="Tc_9W1SAvDvAUawkETeaOQUbw_30_0"/>
      <w:bookmarkStart w:id="302" w:name="Tc_O03l5-QplkmIKCQyTbSNIQ_29_14"/>
      <w:bookmarkStart w:id="303" w:name="Tc_5yzakVsgpUuarfljicNokg_29_11"/>
      <w:bookmarkStart w:id="304" w:name="Tc_t-a_ZZtUikim4aXHzFIsIw_29_8"/>
      <w:bookmarkStart w:id="305" w:name="Tc_LaSSx77jKUqd9ZRvbEbRGg_29_5"/>
      <w:bookmarkStart w:id="306" w:name="Tc_l36ZxsXJ7UegOrSZayw9YQ_29_0"/>
      <w:bookmarkStart w:id="307" w:name="Tc_Ry_h-oLkX0OLJqpV7WdVbw_28_11"/>
      <w:bookmarkStart w:id="308" w:name="Tc_uZywfTLVgU-s9J0X3-0EIQ_28_5"/>
      <w:bookmarkStart w:id="309" w:name="Tc_RNp9I8LcWUiBsfepN3rnXw_28_2"/>
      <w:bookmarkStart w:id="310" w:name="Tc_12129_uOSESQRV-zgPW1JQ_28_0"/>
      <w:bookmarkStart w:id="311" w:name="Tc_MM-b2tptqEq6yUleJ0td9A_27_11"/>
      <w:bookmarkStart w:id="312" w:name="Tc_SHCxdBOvEkqi65r1TehIxw_27_0"/>
      <w:bookmarkStart w:id="313" w:name="Tc_NJRO3fFQRUa7lPOu6WYoJw_26_11"/>
      <w:bookmarkStart w:id="314" w:name="Tc_jBdI7iUCt0Cymg9mhihAbw_26_5"/>
      <w:bookmarkStart w:id="315" w:name="Tc_8dV0_yw58UO7ssQTqEwkNA_26_0"/>
      <w:bookmarkStart w:id="316" w:name="Tc_sC1in0eT-Ua3Ylsvn-0f7w_25_11"/>
      <w:bookmarkStart w:id="317" w:name="Tc_FECHGkeo_U6SA_zKLBkrsg_25_0"/>
      <w:bookmarkStart w:id="318" w:name="Tc_VNx68agFOkS6VEEiU53UKQ_24_14"/>
      <w:bookmarkStart w:id="319" w:name="Tc_WObkrwIVAUGo4qRjAtJwUw_24_11"/>
      <w:bookmarkStart w:id="320" w:name="Tc_8s0LImqmcUS4osWpgQdq8A_24_8"/>
      <w:bookmarkStart w:id="321" w:name="Tc_Ut5jb6f1gECYsDSA3SYlTQ_24_5"/>
      <w:bookmarkStart w:id="322" w:name="Tc_6ZdRGbl_N0SLiV6wVKs7hQ_24_0"/>
      <w:bookmarkStart w:id="323" w:name="Tc_mU4CwogYKkuFN3JubGuvTQ_23_11"/>
      <w:bookmarkStart w:id="324" w:name="Tc_E_bNZ6C2yEKzeo6Yf7WaLg_23_5"/>
      <w:bookmarkStart w:id="325" w:name="Tc_Nc1L4HM9SESd7PubI4QmsQ_23_2"/>
      <w:bookmarkStart w:id="326" w:name="Tc_fJqRy2C_n0--cKq875azZg_23_0"/>
      <w:bookmarkStart w:id="327" w:name="Tc_fgdpjmMkhEWMU0GT2Si7Ow_22_13"/>
      <w:bookmarkStart w:id="328" w:name="Tc_kJ9Vrx6QQkuWfyhprK3Mmw_22_10"/>
      <w:bookmarkStart w:id="329" w:name="Tc_nLCpwAhUn0qNL8D3tP_mPg_22_7"/>
      <w:bookmarkStart w:id="330" w:name="Tc_wjUAqtSSy0mJnzE6n3s_Yg_22_4"/>
      <w:bookmarkStart w:id="331" w:name="Tc_L-k7CnB7kU6KONa-V-3ypg_22_0"/>
      <w:bookmarkStart w:id="332" w:name="Tc_1jYj6HAA_UmTPB3DBVd-SQ_21_13"/>
      <w:bookmarkStart w:id="333" w:name="Tc_4aMAW_n2CE28AWnlelXNZQ_21_10"/>
      <w:bookmarkStart w:id="334" w:name="Tc_Dy0mV-Eh5EKmeCum-cCDOQ_21_7"/>
      <w:bookmarkStart w:id="335" w:name="Tc_xhuzWeIFPketAg5XEPJcBw_21_4"/>
      <w:bookmarkStart w:id="336" w:name="Tc_6KNaL9eAmEOj2cDJExjxzA_21_2"/>
      <w:bookmarkStart w:id="337" w:name="Tc_fxnXuafoXUGvhGtkWAJwaA_20_13"/>
      <w:bookmarkStart w:id="338" w:name="Tc_23YPnU8C-06PfOhs0YEcWw_20_10"/>
      <w:bookmarkStart w:id="339" w:name="Tc_PXGSxZJPKU-f7vvJ9U5dAg_20_7"/>
      <w:bookmarkStart w:id="340" w:name="Tc_81An2Ul0yUyebETyDMWSdA_20_2"/>
      <w:bookmarkStart w:id="341" w:name="Tc_27hOdTnhPUuFDnu46mSMdg_19_13"/>
      <w:bookmarkStart w:id="342" w:name="Tc_OMEKcALrHE-DMvIkazhZ1Q_19_7"/>
      <w:bookmarkStart w:id="343" w:name="Tc_-U3RRZagxU6mqu0bWmY0Og_17_2"/>
      <w:bookmarkStart w:id="344" w:name="Tc_n4TxGc39zkK2_K3GDCFOIQ_15_13"/>
      <w:bookmarkStart w:id="345" w:name="Tc_MIh4idvpykOtaT4s84Atyw_15_10"/>
      <w:bookmarkStart w:id="346" w:name="Tc_dlzF64-1y02x4kKojAmmGQ_15_7"/>
      <w:bookmarkStart w:id="347" w:name="Tc_tmXrtC8yBkSKFcCn15AyMg_15_4"/>
      <w:bookmarkStart w:id="348" w:name="Tc_wh4ZuN0abkWGwkQQshnUEg_15_0"/>
      <w:bookmarkStart w:id="349" w:name="Tc_bHAuYt0aLUuTpVSHubB20g_14_8"/>
      <w:bookmarkStart w:id="350" w:name="Tc_1WSp45hl-0CZAMzp-lrLbw_14_5"/>
      <w:bookmarkStart w:id="351" w:name="Tc_DS1YBhwmFEOTJ1JOTCUkRw_14_2"/>
      <w:bookmarkStart w:id="352" w:name="Tc_S4iK_jNookOB1Uo1kevQfg_14_0"/>
      <w:bookmarkStart w:id="353" w:name="Tc_TGpiYWQ44kusTeFhUvi-kA_13_11"/>
      <w:bookmarkStart w:id="354" w:name="Tc_IdivYQpteUeJnrtu2rQ_UQ_13_8"/>
      <w:bookmarkStart w:id="355" w:name="Tc_oTlloCIES0CN0he0DtFwsw_13_0"/>
      <w:bookmarkStart w:id="356" w:name="Tc_eZdeltFBLEuh374RbFsW0A_12_14"/>
      <w:bookmarkStart w:id="357" w:name="Tc_l7cvXO6o0ky-n8NFNr8BtQ_12_11"/>
      <w:bookmarkStart w:id="358" w:name="Tc_Mq1l_6niNUKdBk4LAWDisg_12_8"/>
      <w:bookmarkStart w:id="359" w:name="Tc_sTaXhZkTBk-NFW_Qc2c32A_12_5"/>
      <w:bookmarkStart w:id="360" w:name="Tc_ESe1ER9ni0qY039Q6h0XqA_12_2"/>
      <w:bookmarkStart w:id="361" w:name="Tc_-YWArhgcsEa7S-6uoWY6FA_12_0"/>
      <w:bookmarkStart w:id="362" w:name="Tc_AB5bTpWofk-94lUYwzCwWA_11_14"/>
      <w:bookmarkStart w:id="363" w:name="Tc_Y6tdqocesUqGBVcvCjslgg_11_11"/>
      <w:bookmarkStart w:id="364" w:name="Tc_FtglseQriUeDf02YhmOlqQ_11_8"/>
      <w:bookmarkStart w:id="365" w:name="Tc__G313oXay0aGBmh-MZJHgg_11_5"/>
      <w:bookmarkStart w:id="366" w:name="Tc_VD2cXONplEO4f3oLPxkqnw_11_2"/>
      <w:bookmarkStart w:id="367" w:name="Tc_7fwFXCjRWUONThDL5dm_VQ_11_0"/>
      <w:bookmarkStart w:id="368" w:name="Tc_h-4Cx1arK021prFFYM8HXw_10_11"/>
      <w:bookmarkStart w:id="369" w:name="Tc_RxeiMNgfAEiF5i7fY3zR_A_10_5"/>
      <w:bookmarkStart w:id="370" w:name="Tc_mFSpIN-PikK720zbf68Rxg_10_0"/>
      <w:bookmarkStart w:id="371" w:name="Tc_JwURPFx6u0C0FdhoOWxd-Q_9_11"/>
      <w:bookmarkStart w:id="372" w:name="Tc_ouz12tApAUC-x_pDt7vNuw_9_0"/>
      <w:bookmarkStart w:id="373" w:name="Tc_umMqXhuyz0uYYDNJzxgUTg_8_14"/>
      <w:bookmarkStart w:id="374" w:name="Tc_Au5A1736g0ew3-ik_HJSUg_8_11"/>
      <w:bookmarkStart w:id="375" w:name="Tc_yb11C2U4L0iEyl0gxdNYyQ_8_8"/>
      <w:bookmarkStart w:id="376" w:name="Tc_Jc8LripwrUCC12DklNNH3A_8_5"/>
      <w:bookmarkStart w:id="377" w:name="Tc_l91tUTx5xkeuR1tBCL47uQ_8_0"/>
      <w:bookmarkStart w:id="378" w:name="Tc_ycHufA4Pz0SBDLZgwzAQMQ_7_11"/>
      <w:bookmarkStart w:id="379" w:name="Tc_34pVVCNCrEW5jhbfgnY8iQ_7_5"/>
      <w:bookmarkStart w:id="380" w:name="Tc_8PEBGiQ8KEGiDHqEcvGhAw_7_2"/>
      <w:bookmarkStart w:id="381" w:name="Tc_0tITFzgbQkahfPzdSk72GA_7_0"/>
      <w:bookmarkStart w:id="382" w:name="Tc_zDx3LK0J702xWLreG0IMcA_6_13"/>
      <w:bookmarkStart w:id="383" w:name="Tc_ghzwcwoi0U-TL3xUd8mCeg_6_10"/>
      <w:bookmarkStart w:id="384" w:name="Tc_zh1rQ2CiiUWZfwLvL9tD1A_6_7"/>
      <w:bookmarkStart w:id="385" w:name="Tc_n5ISPaxkbU-P8Zf2KVsjEQ_6_4"/>
      <w:bookmarkStart w:id="386" w:name="Tc_YjaSKIriKkGWQlMS2ZLTXQ_6_0"/>
      <w:bookmarkStart w:id="387" w:name="Tc_nfNehzMuuk-BvtAw2-dKsw_5_13"/>
      <w:bookmarkStart w:id="388" w:name="Tc_MuaZ_TDYo0WAxQoryiZd7A_5_10"/>
      <w:bookmarkStart w:id="389" w:name="Tc_LXAFy_LhpkaFc6Ncl0_GKg_5_7"/>
      <w:bookmarkStart w:id="390" w:name="Tc_hvNz7ktv6UOCSnamtCAhZw_5_4"/>
      <w:bookmarkStart w:id="391" w:name="Tc_hvRvAueYuEGDxwArbAyRyQ_5_2"/>
      <w:bookmarkStart w:id="392" w:name="Tc_hOtWp8rS2U-cQDwYBr08aQ_4_13"/>
      <w:bookmarkStart w:id="393" w:name="Tc_zoDD4LNKf0CHMRHHVBl-lw_4_10"/>
      <w:bookmarkStart w:id="394" w:name="Tc_G_zogqiGhUmCcuZD2tekOw_4_7"/>
      <w:bookmarkStart w:id="395" w:name="Tc_6nDMyvLNwkqJNeXcRvZNTw_4_2"/>
      <w:bookmarkStart w:id="396" w:name="Tc_kNiefIQHr0uyE-p97UK65A_3_13"/>
      <w:bookmarkStart w:id="397" w:name="Tc_bx3xsKYZeEWf5MbqQl35vQ_3_7"/>
      <w:bookmarkStart w:id="398" w:name="Tc_uWfrAA3xT0S2rnc4R6QUJQ_1_2"/>
      <w:bookmarkStart w:id="399" w:name="_5902a327_a9d7_4090_a1e7_5f72e3500b59"/>
      <w:bookmarkStart w:id="400" w:name="Tc_Dg1tmRce_0yvFF-7EZUg9Q_31_13"/>
      <w:bookmarkStart w:id="401" w:name="Tc_-YMic2t72EWEUBWS1tiGPw_31_10"/>
      <w:bookmarkStart w:id="402" w:name="Tc_RVfpA5j4YUa1wox9zG9RAw_31_7"/>
      <w:bookmarkStart w:id="403" w:name="Tc_13Ic04exw0KEEf16BSCaNw_31_4"/>
      <w:bookmarkStart w:id="404" w:name="Tc_sjEcVGTnEky97pBLKCKvcA_31_0"/>
      <w:bookmarkStart w:id="405" w:name="Tc_dObZyEyym0CHGMmLo3s1kA_30_8"/>
      <w:bookmarkStart w:id="406" w:name="Tc_9nOaoHrzgkSHBpjiwSOjyg_30_5"/>
      <w:bookmarkStart w:id="407" w:name="Tc_fO6QHtx2YESvBDZ9mwas8g_30_2"/>
      <w:bookmarkStart w:id="408" w:name="Tc_9W1SAvDvAUawkETeaOQUbw_30_0"/>
      <w:bookmarkStart w:id="409" w:name="Tc_O03l5-QplkmIKCQyTbSNIQ_29_14"/>
      <w:bookmarkStart w:id="410" w:name="Tc_5yzakVsgpUuarfljicNokg_29_11"/>
      <w:bookmarkStart w:id="411" w:name="Tc_t-a_ZZtUikim4aXHzFIsIw_29_8"/>
      <w:bookmarkStart w:id="412" w:name="Tc_LaSSx77jKUqd9ZRvbEbRGg_29_5"/>
      <w:bookmarkStart w:id="413" w:name="Tc_l36ZxsXJ7UegOrSZayw9YQ_29_0"/>
      <w:bookmarkStart w:id="414" w:name="Tc_Ry_h-oLkX0OLJqpV7WdVbw_28_11"/>
      <w:bookmarkStart w:id="415" w:name="Tc_uZywfTLVgU-s9J0X3-0EIQ_28_5"/>
      <w:bookmarkStart w:id="416" w:name="Tc_RNp9I8LcWUiBsfepN3rnXw_28_2"/>
      <w:bookmarkStart w:id="417" w:name="Tc_12129_uOSESQRV-zgPW1JQ_28_0"/>
      <w:bookmarkStart w:id="418" w:name="Tc_MM-b2tptqEq6yUleJ0td9A_27_11"/>
      <w:bookmarkStart w:id="419" w:name="Tc_SHCxdBOvEkqi65r1TehIxw_27_0"/>
      <w:bookmarkStart w:id="420" w:name="Tc_NJRO3fFQRUa7lPOu6WYoJw_26_11"/>
      <w:bookmarkStart w:id="421" w:name="Tc_jBdI7iUCt0Cymg9mhihAbw_26_5"/>
      <w:bookmarkStart w:id="422" w:name="Tc_8dV0_yw58UO7ssQTqEwkNA_26_0"/>
      <w:bookmarkStart w:id="423" w:name="Tc_sC1in0eT-Ua3Ylsvn-0f7w_25_11"/>
      <w:bookmarkStart w:id="424" w:name="Tc_FECHGkeo_U6SA_zKLBkrsg_25_0"/>
      <w:bookmarkStart w:id="425" w:name="Tc_VNx68agFOkS6VEEiU53UKQ_24_14"/>
      <w:bookmarkStart w:id="426" w:name="Tc_WObkrwIVAUGo4qRjAtJwUw_24_11"/>
      <w:bookmarkStart w:id="427" w:name="Tc_8s0LImqmcUS4osWpgQdq8A_24_8"/>
      <w:bookmarkStart w:id="428" w:name="Tc_Ut5jb6f1gECYsDSA3SYlTQ_24_5"/>
      <w:bookmarkStart w:id="429" w:name="Tc_6ZdRGbl_N0SLiV6wVKs7hQ_24_0"/>
      <w:bookmarkStart w:id="430" w:name="Tc_mU4CwogYKkuFN3JubGuvTQ_23_11"/>
      <w:bookmarkStart w:id="431" w:name="Tc_E_bNZ6C2yEKzeo6Yf7WaLg_23_5"/>
      <w:bookmarkStart w:id="432" w:name="Tc_Nc1L4HM9SESd7PubI4QmsQ_23_2"/>
      <w:bookmarkStart w:id="433" w:name="Tc_fJqRy2C_n0--cKq875azZg_23_0"/>
      <w:bookmarkStart w:id="434" w:name="Tc_fgdpjmMkhEWMU0GT2Si7Ow_22_13"/>
      <w:bookmarkStart w:id="435" w:name="Tc_kJ9Vrx6QQkuWfyhprK3Mmw_22_10"/>
      <w:bookmarkStart w:id="436" w:name="Tc_nLCpwAhUn0qNL8D3tP_mPg_22_7"/>
      <w:bookmarkStart w:id="437" w:name="Tc_wjUAqtSSy0mJnzE6n3s_Yg_22_4"/>
      <w:bookmarkStart w:id="438" w:name="Tc_L-k7CnB7kU6KONa-V-3ypg_22_0"/>
      <w:bookmarkStart w:id="439" w:name="Tc_1jYj6HAA_UmTPB3DBVd-SQ_21_13"/>
      <w:bookmarkStart w:id="440" w:name="Tc_4aMAW_n2CE28AWnlelXNZQ_21_10"/>
      <w:bookmarkStart w:id="441" w:name="Tc_Dy0mV-Eh5EKmeCum-cCDOQ_21_7"/>
      <w:bookmarkStart w:id="442" w:name="Tc_xhuzWeIFPketAg5XEPJcBw_21_4"/>
      <w:bookmarkStart w:id="443" w:name="Tc_6KNaL9eAmEOj2cDJExjxzA_21_2"/>
      <w:bookmarkStart w:id="444" w:name="Tc_fxnXuafoXUGvhGtkWAJwaA_20_13"/>
      <w:bookmarkStart w:id="445" w:name="Tc_23YPnU8C-06PfOhs0YEcWw_20_10"/>
      <w:bookmarkStart w:id="446" w:name="Tc_PXGSxZJPKU-f7vvJ9U5dAg_20_7"/>
      <w:bookmarkStart w:id="447" w:name="Tc_81An2Ul0yUyebETyDMWSdA_20_2"/>
      <w:bookmarkStart w:id="448" w:name="Tc_27hOdTnhPUuFDnu46mSMdg_19_13"/>
      <w:bookmarkStart w:id="449" w:name="Tc_OMEKcALrHE-DMvIkazhZ1Q_19_7"/>
      <w:bookmarkStart w:id="450" w:name="Tc_-U3RRZagxU6mqu0bWmY0Og_17_2"/>
      <w:bookmarkStart w:id="451" w:name="Tc_n4TxGc39zkK2_K3GDCFOIQ_15_13"/>
      <w:bookmarkStart w:id="452" w:name="Tc_MIh4idvpykOtaT4s84Atyw_15_10"/>
      <w:bookmarkStart w:id="453" w:name="Tc_dlzF64-1y02x4kKojAmmGQ_15_7"/>
      <w:bookmarkStart w:id="454" w:name="Tc_tmXrtC8yBkSKFcCn15AyMg_15_4"/>
      <w:bookmarkStart w:id="455" w:name="Tc_wh4ZuN0abkWGwkQQshnUEg_15_0"/>
      <w:bookmarkStart w:id="456" w:name="Tc_bHAuYt0aLUuTpVSHubB20g_14_8"/>
      <w:bookmarkStart w:id="457" w:name="Tc_1WSp45hl-0CZAMzp-lrLbw_14_5"/>
      <w:bookmarkStart w:id="458" w:name="Tc_DS1YBhwmFEOTJ1JOTCUkRw_14_2"/>
      <w:bookmarkStart w:id="459" w:name="Tc_S4iK_jNookOB1Uo1kevQfg_14_0"/>
      <w:bookmarkStart w:id="460" w:name="Tc_TGpiYWQ44kusTeFhUvi-kA_13_11"/>
      <w:bookmarkStart w:id="461" w:name="Tc_IdivYQpteUeJnrtu2rQ_UQ_13_8"/>
      <w:bookmarkStart w:id="462" w:name="Tc_oTlloCIES0CN0he0DtFwsw_13_0"/>
      <w:bookmarkStart w:id="463" w:name="Tc_eZdeltFBLEuh374RbFsW0A_12_14"/>
      <w:bookmarkStart w:id="464" w:name="Tc_l7cvXO6o0ky-n8NFNr8BtQ_12_11"/>
      <w:bookmarkStart w:id="465" w:name="Tc_Mq1l_6niNUKdBk4LAWDisg_12_8"/>
      <w:bookmarkStart w:id="466" w:name="Tc_sTaXhZkTBk-NFW_Qc2c32A_12_5"/>
      <w:bookmarkStart w:id="467" w:name="Tc_ESe1ER9ni0qY039Q6h0XqA_12_2"/>
      <w:bookmarkStart w:id="468" w:name="Tc_-YWArhgcsEa7S-6uoWY6FA_12_0"/>
      <w:bookmarkStart w:id="469" w:name="Tc_AB5bTpWofk-94lUYwzCwWA_11_14"/>
      <w:bookmarkStart w:id="470" w:name="Tc_Y6tdqocesUqGBVcvCjslgg_11_11"/>
      <w:bookmarkStart w:id="471" w:name="Tc_FtglseQriUeDf02YhmOlqQ_11_8"/>
      <w:bookmarkStart w:id="472" w:name="Tc__G313oXay0aGBmh-MZJHgg_11_5"/>
      <w:bookmarkStart w:id="473" w:name="Tc_VD2cXONplEO4f3oLPxkqnw_11_2"/>
      <w:bookmarkStart w:id="474" w:name="Tc_7fwFXCjRWUONThDL5dm_VQ_11_0"/>
      <w:bookmarkStart w:id="475" w:name="Tc_h-4Cx1arK021prFFYM8HXw_10_11"/>
      <w:bookmarkStart w:id="476" w:name="Tc_RxeiMNgfAEiF5i7fY3zR_A_10_5"/>
      <w:bookmarkStart w:id="477" w:name="Tc_mFSpIN-PikK720zbf68Rxg_10_0"/>
      <w:bookmarkStart w:id="478" w:name="Tc_JwURPFx6u0C0FdhoOWxd-Q_9_11"/>
      <w:bookmarkStart w:id="479" w:name="Tc_ouz12tApAUC-x_pDt7vNuw_9_0"/>
      <w:bookmarkStart w:id="480" w:name="Tc_umMqXhuyz0uYYDNJzxgUTg_8_14"/>
      <w:bookmarkStart w:id="481" w:name="Tc_Au5A1736g0ew3-ik_HJSUg_8_11"/>
      <w:bookmarkStart w:id="482" w:name="Tc_yb11C2U4L0iEyl0gxdNYyQ_8_8"/>
      <w:bookmarkStart w:id="483" w:name="Tc_Jc8LripwrUCC12DklNNH3A_8_5"/>
      <w:bookmarkStart w:id="484" w:name="Tc_l91tUTx5xkeuR1tBCL47uQ_8_0"/>
      <w:bookmarkStart w:id="485" w:name="Tc_ycHufA4Pz0SBDLZgwzAQMQ_7_11"/>
      <w:bookmarkStart w:id="486" w:name="Tc_34pVVCNCrEW5jhbfgnY8iQ_7_5"/>
      <w:bookmarkStart w:id="487" w:name="Tc_8PEBGiQ8KEGiDHqEcvGhAw_7_2"/>
      <w:bookmarkStart w:id="488" w:name="Tc_0tITFzgbQkahfPzdSk72GA_7_0"/>
      <w:bookmarkStart w:id="489" w:name="Tc_zDx3LK0J702xWLreG0IMcA_6_13"/>
      <w:bookmarkStart w:id="490" w:name="Tc_ghzwcwoi0U-TL3xUd8mCeg_6_10"/>
      <w:bookmarkStart w:id="491" w:name="Tc_zh1rQ2CiiUWZfwLvL9tD1A_6_7"/>
      <w:bookmarkStart w:id="492" w:name="Tc_n5ISPaxkbU-P8Zf2KVsjEQ_6_4"/>
      <w:bookmarkStart w:id="493" w:name="Tc_YjaSKIriKkGWQlMS2ZLTXQ_6_0"/>
      <w:bookmarkStart w:id="494" w:name="Tc_nfNehzMuuk-BvtAw2-dKsw_5_13"/>
      <w:bookmarkStart w:id="495" w:name="Tc_MuaZ_TDYo0WAxQoryiZd7A_5_10"/>
      <w:bookmarkStart w:id="496" w:name="Tc_LXAFy_LhpkaFc6Ncl0_GKg_5_7"/>
      <w:bookmarkStart w:id="497" w:name="Tc_hvNz7ktv6UOCSnamtCAhZw_5_4"/>
      <w:bookmarkStart w:id="498" w:name="Tc_hvRvAueYuEGDxwArbAyRyQ_5_2"/>
      <w:bookmarkStart w:id="499" w:name="Tc_hOtWp8rS2U-cQDwYBr08aQ_4_13"/>
      <w:bookmarkStart w:id="500" w:name="Tc_zoDD4LNKf0CHMRHHVBl-lw_4_10"/>
      <w:bookmarkStart w:id="501" w:name="Tc_G_zogqiGhUmCcuZD2tekOw_4_7"/>
      <w:bookmarkStart w:id="502" w:name="Tc_6nDMyvLNwkqJNeXcRvZNTw_4_2"/>
      <w:bookmarkStart w:id="503" w:name="Tc_kNiefIQHr0uyE-p97UK65A_3_13"/>
      <w:bookmarkStart w:id="504" w:name="Tc_bx3xsKYZeEWf5MbqQl35vQ_3_7"/>
      <w:bookmarkStart w:id="505" w:name="Tc_uWfrAA3xT0S2rnc4R6QUJQ_1_2"/>
      <w:bookmarkStart w:id="506" w:name="_5902a327_a9d7_4090_a1e7_5f72e3500b5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tbl>
      <w:tblPr>
        <w:tblW w:w="10205" w:type="dxa"/>
        <w:jc w:val="left"/>
        <w:tblInd w:w="0" w:type="dxa"/>
        <w:tblLayout w:type="fixed"/>
        <w:tblCellMar>
          <w:top w:w="0" w:type="dxa"/>
          <w:left w:w="0" w:type="dxa"/>
          <w:bottom w:w="0" w:type="dxa"/>
          <w:right w:w="0" w:type="dxa"/>
        </w:tblCellMar>
      </w:tblPr>
      <w:tblGrid>
        <w:gridCol w:w="3843"/>
        <w:gridCol w:w="326"/>
        <w:gridCol w:w="1036"/>
        <w:gridCol w:w="326"/>
        <w:gridCol w:w="230"/>
        <w:gridCol w:w="461"/>
        <w:gridCol w:w="326"/>
        <w:gridCol w:w="211"/>
        <w:gridCol w:w="781"/>
        <w:gridCol w:w="326"/>
        <w:gridCol w:w="211"/>
        <w:gridCol w:w="676"/>
        <w:gridCol w:w="326"/>
        <w:gridCol w:w="216"/>
        <w:gridCol w:w="910"/>
      </w:tblGrid>
      <w:tr>
        <w:trPr/>
        <w:tc>
          <w:tcPr>
            <w:tcW w:w="3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40305" cy="175260"/>
                      <wp:effectExtent l="0" t="0" r="0" b="0"/>
                      <wp:wrapNone/>
                      <wp:docPr id="71" name="Frame71"/>
                      <a:graphic xmlns:a="http://schemas.openxmlformats.org/drawingml/2006/main">
                        <a:graphicData uri="http://schemas.microsoft.com/office/word/2010/wordprocessingShape">
                          <wps:wsp>
                            <wps:cNvSpPr txBox="1"/>
                            <wps:spPr>
                              <a:xfrm>
                                <a:off x="0" y="0"/>
                                <a:ext cx="2440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57860" cy="175260"/>
                      <wp:effectExtent l="0" t="0" r="0" b="0"/>
                      <wp:wrapNone/>
                      <wp:docPr id="73" name="Frame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6050" cy="175260"/>
                      <wp:effectExtent l="0" t="0" r="0" b="0"/>
                      <wp:wrapNone/>
                      <wp:docPr id="75" name="Frame7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2735" cy="175260"/>
                      <wp:effectExtent l="0" t="0" r="0" b="0"/>
                      <wp:wrapNone/>
                      <wp:docPr id="76" name="Frame7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5935" cy="175260"/>
                      <wp:effectExtent l="0" t="0" r="0" b="0"/>
                      <wp:wrapNone/>
                      <wp:docPr id="79" name="Frame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7160" cy="175260"/>
                      <wp:effectExtent l="0" t="0" r="0" b="0"/>
                      <wp:wrapNone/>
                      <wp:docPr id="84" name="Frame8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7850" cy="175260"/>
                      <wp:effectExtent l="0" t="0" r="0" b="0"/>
                      <wp:wrapNone/>
                      <wp:docPr id="85" name="Frame85"/>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3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September 24, 2025</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center"/>
              <w:rPr/>
            </w:pPr>
            <w:r>
              <w:rPr/>
              <w:t>​</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25, 2025</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30,008,692</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274,178</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24, 2025</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29,999,694</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37,014</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282,932</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3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September 25, 2024</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  </w:t>
            </w:r>
          </w:p>
        </w:tc>
        <w:tc>
          <w:tcPr>
            <w:tcW w:w="910" w:type="dxa"/>
            <w:tcBorders/>
            <w:vAlign w:val="center"/>
          </w:tcPr>
          <w:p>
            <w:pPr>
              <w:pStyle w:val="TableContents"/>
              <w:bidi w:val="0"/>
              <w:spacing w:before="0" w:after="1"/>
              <w:ind w:left="0" w:right="0" w:hanging="0"/>
              <w:jc w:val="center"/>
              <w:rPr/>
            </w:pPr>
            <w:r>
              <w:rPr/>
              <w:t>​</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26, 2024</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29,988,771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248,578</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9,616</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pPr>
            <w:r>
              <w:rPr/>
              <w:t>—</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53,316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(92,043)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pPr>
            <w:r>
              <w:rPr/>
              <w:t>—</w:t>
            </w:r>
          </w:p>
        </w:tc>
      </w:tr>
      <w:tr>
        <w:trPr/>
        <w:tc>
          <w:tcPr>
            <w:tcW w:w="38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w:t>
            </w:r>
          </w:p>
        </w:tc>
      </w:tr>
      <w:tr>
        <w:trPr/>
        <w:tc>
          <w:tcPr>
            <w:tcW w:w="384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25, 2024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29,950,476</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221,218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255,210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07" w:name="Tc_I5rXzwRXeken0A1B-bpAnQ_31_13"/>
      <w:bookmarkStart w:id="508" w:name="Tc_3761zZ-n1EygiwBkL3rJQA_31_10"/>
      <w:bookmarkStart w:id="509" w:name="Tc_gDpmhLAX3EeXOIB7IMCBuw_31_7"/>
      <w:bookmarkStart w:id="510" w:name="Tc_xwizNSDpdEWtSlAqmoBnow_31_4"/>
      <w:bookmarkStart w:id="511" w:name="Tc_cfES3s36C0e56QGsVSxB2A_31_0"/>
      <w:bookmarkStart w:id="512" w:name="Tc_a65hL_14NE6kBreOv4Nv0Q_30_8"/>
      <w:bookmarkStart w:id="513" w:name="Tc_m--xmld-aE6ELaWyBmoa2Q_30_5"/>
      <w:bookmarkStart w:id="514" w:name="Tc_DM3SjEMnh0GsVoC1heEhEg_30_2"/>
      <w:bookmarkStart w:id="515" w:name="Tc_lWegcNGwb0KtmesIpG5JZQ_30_0"/>
      <w:bookmarkStart w:id="516" w:name="Tc_vQc2sIAA7USzu8YJ8tsPpw_29_14"/>
      <w:bookmarkStart w:id="517" w:name="Tc_j3Qb045oykasrTO3IVMaFA_29_11"/>
      <w:bookmarkStart w:id="518" w:name="Tc_vRBxnxTqTECYUUlXDTJN4w_29_0"/>
      <w:bookmarkStart w:id="519" w:name="Tc_gvxc2VTK-0CziHzSpZhRJQ_28_11"/>
      <w:bookmarkStart w:id="520" w:name="Tc_nd0X39Mp7kaVQ-N_Saz57w_28_5"/>
      <w:bookmarkStart w:id="521" w:name="Tc_WOyisuO6zkucoAGlNQ5mlQ_28_2"/>
      <w:bookmarkStart w:id="522" w:name="Tc_SvAaIrXCxUWXrrXtHc-w3A_28_0"/>
      <w:bookmarkStart w:id="523" w:name="Tc_gjfc_31Eq0icpUIz1pQUvg_27_11"/>
      <w:bookmarkStart w:id="524" w:name="Tc_gWnNBawI_0Gz3SGQn4bp5g_27_0"/>
      <w:bookmarkStart w:id="525" w:name="Tc_zpo8hiU4VUuTybTJVkQUPA_26_11"/>
      <w:bookmarkStart w:id="526" w:name="Tc_TLiNxkq3xUOuC6TJmyJgPA_26_5"/>
      <w:bookmarkStart w:id="527" w:name="Tc_HPYF3Na-hU61lLhVkSlFow_26_0"/>
      <w:bookmarkStart w:id="528" w:name="Tc_1Y23htfP6kqnRojnsxYO4w_25_11"/>
      <w:bookmarkStart w:id="529" w:name="Tc_QbhUtE9KcE-M671yymJRNw_25_0"/>
      <w:bookmarkStart w:id="530" w:name="Tc_q56O-RVYZ06-5W9s4p0vcw_24_14"/>
      <w:bookmarkStart w:id="531" w:name="Tc_e9Tn-N-uVUGmateJ_ZI9tQ_24_11"/>
      <w:bookmarkStart w:id="532" w:name="Tc_xsruiWPKA0aslLAKqV6Whg_24_0"/>
      <w:bookmarkStart w:id="533" w:name="Tc_ma54ag0IDkef5wTTXiZ6ZA_23_11"/>
      <w:bookmarkStart w:id="534" w:name="Tc_qQdIJusnxkq_UfppPdzOCA_23_5"/>
      <w:bookmarkStart w:id="535" w:name="Tc_uAT6ljbeVked56R-gqcH8w_23_2"/>
      <w:bookmarkStart w:id="536" w:name="Tc_vnch0CK7nkyF8Ur9_NKuIA_23_0"/>
      <w:bookmarkStart w:id="537" w:name="Tc_WOelGYnkmUm7JAZE-J_emw_22_13"/>
      <w:bookmarkStart w:id="538" w:name="Tc_92rmyEyxLEOHrsKV44PeVg_22_10"/>
      <w:bookmarkStart w:id="539" w:name="Tc_OgK1KagCeEWvYKEmk3TXKg_22_7"/>
      <w:bookmarkStart w:id="540" w:name="Tc_HXxCtxRkSUW2N0oObE_XvA_22_4"/>
      <w:bookmarkStart w:id="541" w:name="Tc_xXoCU6Ty0UKaHxsYzRZBIw_22_0"/>
      <w:bookmarkStart w:id="542" w:name="Tc_SjlIup2GdEyjJOSFk5TrEQ_21_13"/>
      <w:bookmarkStart w:id="543" w:name="Tc_p0vrYHyqaUqV_S8hwxuyEQ_21_10"/>
      <w:bookmarkStart w:id="544" w:name="Tc_zGl2Q4A1PEugV8kPzLElEg_21_7"/>
      <w:bookmarkStart w:id="545" w:name="Tc_0ISGjEP8Xkm_4XPvFtxejg_21_4"/>
      <w:bookmarkStart w:id="546" w:name="Tc_X2_vkTlGcESfbaBNWscH8w_21_2"/>
      <w:bookmarkStart w:id="547" w:name="Tc_3Ay4UNJePk-UTuEce0_7Eg_20_13"/>
      <w:bookmarkStart w:id="548" w:name="Tc_z2VS7hEltk69SoHHQTAXLQ_20_10"/>
      <w:bookmarkStart w:id="549" w:name="Tc_Hy2yKLh5CU2pNsglNM2Ufw_20_7"/>
      <w:bookmarkStart w:id="550" w:name="Tc_hY2_iE7FmkCv56UR6ZBkGA_20_2"/>
      <w:bookmarkStart w:id="551" w:name="Tc_cbUNFIjYpkq60UNBrGNuTA_19_13"/>
      <w:bookmarkStart w:id="552" w:name="Tc_AZaGBM6_ckmJkxAAG5__Xg_19_7"/>
      <w:bookmarkStart w:id="553" w:name="Tc_EEDcuvtWi0CDAhXLuZs-DQ_17_2"/>
      <w:bookmarkStart w:id="554" w:name="Tc_h7RCjtAz_UK-XMBkw5i7XQ_15_13"/>
      <w:bookmarkStart w:id="555" w:name="Tc_LreWal81tEa8acV8m-M7nQ_15_10"/>
      <w:bookmarkStart w:id="556" w:name="Tc_gkpXT_4XNkitJq1-C_xPaA_15_7"/>
      <w:bookmarkStart w:id="557" w:name="Tc_cm8RyeFiWUGgPMuFYRlhig_15_4"/>
      <w:bookmarkStart w:id="558" w:name="Tc_xDbMow_iMEC-Ij8Lfz127A_15_0"/>
      <w:bookmarkStart w:id="559" w:name="Tc_4smwIaNa5EKy6aplyDCLlg_14_8"/>
      <w:bookmarkStart w:id="560" w:name="Tc_th2Ik0-7fkKgTTvxummu5g_14_5"/>
      <w:bookmarkStart w:id="561" w:name="Tc_bkUiZWZ-nkq6iTgSQt1zNg_14_2"/>
      <w:bookmarkStart w:id="562" w:name="Tc_i52DsDTd5E2N8HPBFmXa2A_14_0"/>
      <w:bookmarkStart w:id="563" w:name="Tc_Qe97ytkYz0eohfSrJI0xuA_13_14"/>
      <w:bookmarkStart w:id="564" w:name="Tc_aRwBUJgJqUihakBoDfSMBg_13_11"/>
      <w:bookmarkStart w:id="565" w:name="Tc_k1haiyq58Ue2decL5S2oHA_13_0"/>
      <w:bookmarkStart w:id="566" w:name="Tc_s428IUYARkOUUsi7vIAWCQ_12_14"/>
      <w:bookmarkStart w:id="567" w:name="Tc_gSuett84NkO2NaSCZHuvrA_12_11"/>
      <w:bookmarkStart w:id="568" w:name="Tc_1tizS0m-2k69jHXeTxbmIg_12_8"/>
      <w:bookmarkStart w:id="569" w:name="Tc_tEB7FhJRI0KBb3aFRZeYIQ_12_5"/>
      <w:bookmarkStart w:id="570" w:name="Tc_MFTsD5nFykiq4fMrVD2cEg_12_2"/>
      <w:bookmarkStart w:id="571" w:name="Tc_2MdZ65B360GSfwOXg6VKxw_12_0"/>
      <w:bookmarkStart w:id="572" w:name="Tc_i6_CIJ-Sd0aFPtOhn3FJAQ_11_8"/>
      <w:bookmarkStart w:id="573" w:name="Tc_4boDVgaPIE-WRv5omHZ4-w_11_0"/>
      <w:bookmarkStart w:id="574" w:name="Tc_TCa-BSKBsEuXZ5EiFz3qzg_10_11"/>
      <w:bookmarkStart w:id="575" w:name="Tc_3AcO77Y45E2NPTiwNJURcg_10_0"/>
      <w:bookmarkStart w:id="576" w:name="Tc_t3ZQ1EvgoUKY2lkWN7d9Qg_9_11"/>
      <w:bookmarkStart w:id="577" w:name="Tc_spfi2lYGd0KZ_6VxcnKklg_9_0"/>
      <w:bookmarkStart w:id="578" w:name="Tc_YiIBOhOMTEOXp8LsjDwgiQ_8_14"/>
      <w:bookmarkStart w:id="579" w:name="Tc_hMnu85m_d0K3sJ7vz-dXdQ_8_11"/>
      <w:bookmarkStart w:id="580" w:name="Tc_3fiJrvcohEOOFzp-7Yidnw_8_0"/>
      <w:bookmarkStart w:id="581" w:name="Tc_IHMQpEB0EUiZrSDVKUZLNQ_7_11"/>
      <w:bookmarkStart w:id="582" w:name="Tc_px18PQdUzUmPpzn59rvyRA_7_5"/>
      <w:bookmarkStart w:id="583" w:name="Tc_jKNg24hzskuwpjEP-R-3ow_7_2"/>
      <w:bookmarkStart w:id="584" w:name="Tc_m31zXdYyaUmBYnXVp2Vllg_7_0"/>
      <w:bookmarkStart w:id="585" w:name="Tc_Ibn8xFd-OUGXsptrsc0nbQ_6_13"/>
      <w:bookmarkStart w:id="586" w:name="Tc_RpAzshj8v0qWguqSDTKAJw_6_10"/>
      <w:bookmarkStart w:id="587" w:name="Tc_oO1jRaSUV06N3lpJTSKgBw_6_7"/>
      <w:bookmarkStart w:id="588" w:name="Tc_00-HqwLwLUyPTLJWJbC-lA_6_4"/>
      <w:bookmarkStart w:id="589" w:name="Tc_tBMPXahcaEeebBDGc-SOrw_6_0"/>
      <w:bookmarkStart w:id="590" w:name="Tc_WFd58hTovk-OrkZReRKNfQ_5_13"/>
      <w:bookmarkStart w:id="591" w:name="Tc_0PIHxeQK6Ui1-w0HdGAl1w_5_10"/>
      <w:bookmarkStart w:id="592" w:name="Tc_hjmrNT1WQU-z441Fkxq3nw_5_7"/>
      <w:bookmarkStart w:id="593" w:name="Tc_uJbVQ53U9EK7q8E8Sycmyw_5_4"/>
      <w:bookmarkStart w:id="594" w:name="Tc_3Hgk1HBo80SCj66JfnNUog_5_2"/>
      <w:bookmarkStart w:id="595" w:name="Tc_74xtYc7t20mhNs_Z9SbpKQ_4_13"/>
      <w:bookmarkStart w:id="596" w:name="Tc_-oDnFS_jOEarnrBgbf3lAA_4_10"/>
      <w:bookmarkStart w:id="597" w:name="Tc_VEE0OXHlmUevpiyyKBFDNA_4_7"/>
      <w:bookmarkStart w:id="598" w:name="Tc_Oy_vWcgmx0yp4H85T86CVA_4_2"/>
      <w:bookmarkStart w:id="599" w:name="Tc_Xa8vywaXsEqOqGPikZzxEg_3_13"/>
      <w:bookmarkStart w:id="600" w:name="Tc_a53_HuvEU0aIdYVEVsrViQ_3_7"/>
      <w:bookmarkStart w:id="601" w:name="Tc_E6pLGzmX206ukjJjOxVtww_1_2"/>
      <w:bookmarkStart w:id="602" w:name="_144d4bd5_eda0_42e6_afe5_09bfd4ea1594"/>
      <w:bookmarkStart w:id="603" w:name="Tc_I5rXzwRXeken0A1B-bpAnQ_31_13"/>
      <w:bookmarkStart w:id="604" w:name="Tc_3761zZ-n1EygiwBkL3rJQA_31_10"/>
      <w:bookmarkStart w:id="605" w:name="Tc_gDpmhLAX3EeXOIB7IMCBuw_31_7"/>
      <w:bookmarkStart w:id="606" w:name="Tc_xwizNSDpdEWtSlAqmoBnow_31_4"/>
      <w:bookmarkStart w:id="607" w:name="Tc_cfES3s36C0e56QGsVSxB2A_31_0"/>
      <w:bookmarkStart w:id="608" w:name="Tc_a65hL_14NE6kBreOv4Nv0Q_30_8"/>
      <w:bookmarkStart w:id="609" w:name="Tc_m--xmld-aE6ELaWyBmoa2Q_30_5"/>
      <w:bookmarkStart w:id="610" w:name="Tc_DM3SjEMnh0GsVoC1heEhEg_30_2"/>
      <w:bookmarkStart w:id="611" w:name="Tc_lWegcNGwb0KtmesIpG5JZQ_30_0"/>
      <w:bookmarkStart w:id="612" w:name="Tc_vQc2sIAA7USzu8YJ8tsPpw_29_14"/>
      <w:bookmarkStart w:id="613" w:name="Tc_j3Qb045oykasrTO3IVMaFA_29_11"/>
      <w:bookmarkStart w:id="614" w:name="Tc_vRBxnxTqTECYUUlXDTJN4w_29_0"/>
      <w:bookmarkStart w:id="615" w:name="Tc_gvxc2VTK-0CziHzSpZhRJQ_28_11"/>
      <w:bookmarkStart w:id="616" w:name="Tc_nd0X39Mp7kaVQ-N_Saz57w_28_5"/>
      <w:bookmarkStart w:id="617" w:name="Tc_WOyisuO6zkucoAGlNQ5mlQ_28_2"/>
      <w:bookmarkStart w:id="618" w:name="Tc_SvAaIrXCxUWXrrXtHc-w3A_28_0"/>
      <w:bookmarkStart w:id="619" w:name="Tc_gjfc_31Eq0icpUIz1pQUvg_27_11"/>
      <w:bookmarkStart w:id="620" w:name="Tc_gWnNBawI_0Gz3SGQn4bp5g_27_0"/>
      <w:bookmarkStart w:id="621" w:name="Tc_zpo8hiU4VUuTybTJVkQUPA_26_11"/>
      <w:bookmarkStart w:id="622" w:name="Tc_TLiNxkq3xUOuC6TJmyJgPA_26_5"/>
      <w:bookmarkStart w:id="623" w:name="Tc_HPYF3Na-hU61lLhVkSlFow_26_0"/>
      <w:bookmarkStart w:id="624" w:name="Tc_1Y23htfP6kqnRojnsxYO4w_25_11"/>
      <w:bookmarkStart w:id="625" w:name="Tc_QbhUtE9KcE-M671yymJRNw_25_0"/>
      <w:bookmarkStart w:id="626" w:name="Tc_q56O-RVYZ06-5W9s4p0vcw_24_14"/>
      <w:bookmarkStart w:id="627" w:name="Tc_e9Tn-N-uVUGmateJ_ZI9tQ_24_11"/>
      <w:bookmarkStart w:id="628" w:name="Tc_xsruiWPKA0aslLAKqV6Whg_24_0"/>
      <w:bookmarkStart w:id="629" w:name="Tc_ma54ag0IDkef5wTTXiZ6ZA_23_11"/>
      <w:bookmarkStart w:id="630" w:name="Tc_qQdIJusnxkq_UfppPdzOCA_23_5"/>
      <w:bookmarkStart w:id="631" w:name="Tc_uAT6ljbeVked56R-gqcH8w_23_2"/>
      <w:bookmarkStart w:id="632" w:name="Tc_vnch0CK7nkyF8Ur9_NKuIA_23_0"/>
      <w:bookmarkStart w:id="633" w:name="Tc_WOelGYnkmUm7JAZE-J_emw_22_13"/>
      <w:bookmarkStart w:id="634" w:name="Tc_92rmyEyxLEOHrsKV44PeVg_22_10"/>
      <w:bookmarkStart w:id="635" w:name="Tc_OgK1KagCeEWvYKEmk3TXKg_22_7"/>
      <w:bookmarkStart w:id="636" w:name="Tc_HXxCtxRkSUW2N0oObE_XvA_22_4"/>
      <w:bookmarkStart w:id="637" w:name="Tc_xXoCU6Ty0UKaHxsYzRZBIw_22_0"/>
      <w:bookmarkStart w:id="638" w:name="Tc_SjlIup2GdEyjJOSFk5TrEQ_21_13"/>
      <w:bookmarkStart w:id="639" w:name="Tc_p0vrYHyqaUqV_S8hwxuyEQ_21_10"/>
      <w:bookmarkStart w:id="640" w:name="Tc_zGl2Q4A1PEugV8kPzLElEg_21_7"/>
      <w:bookmarkStart w:id="641" w:name="Tc_0ISGjEP8Xkm_4XPvFtxejg_21_4"/>
      <w:bookmarkStart w:id="642" w:name="Tc_X2_vkTlGcESfbaBNWscH8w_21_2"/>
      <w:bookmarkStart w:id="643" w:name="Tc_3Ay4UNJePk-UTuEce0_7Eg_20_13"/>
      <w:bookmarkStart w:id="644" w:name="Tc_z2VS7hEltk69SoHHQTAXLQ_20_10"/>
      <w:bookmarkStart w:id="645" w:name="Tc_Hy2yKLh5CU2pNsglNM2Ufw_20_7"/>
      <w:bookmarkStart w:id="646" w:name="Tc_hY2_iE7FmkCv56UR6ZBkGA_20_2"/>
      <w:bookmarkStart w:id="647" w:name="Tc_cbUNFIjYpkq60UNBrGNuTA_19_13"/>
      <w:bookmarkStart w:id="648" w:name="Tc_AZaGBM6_ckmJkxAAG5__Xg_19_7"/>
      <w:bookmarkStart w:id="649" w:name="Tc_EEDcuvtWi0CDAhXLuZs-DQ_17_2"/>
      <w:bookmarkStart w:id="650" w:name="Tc_h7RCjtAz_UK-XMBkw5i7XQ_15_13"/>
      <w:bookmarkStart w:id="651" w:name="Tc_LreWal81tEa8acV8m-M7nQ_15_10"/>
      <w:bookmarkStart w:id="652" w:name="Tc_gkpXT_4XNkitJq1-C_xPaA_15_7"/>
      <w:bookmarkStart w:id="653" w:name="Tc_cm8RyeFiWUGgPMuFYRlhig_15_4"/>
      <w:bookmarkStart w:id="654" w:name="Tc_xDbMow_iMEC-Ij8Lfz127A_15_0"/>
      <w:bookmarkStart w:id="655" w:name="Tc_4smwIaNa5EKy6aplyDCLlg_14_8"/>
      <w:bookmarkStart w:id="656" w:name="Tc_th2Ik0-7fkKgTTvxummu5g_14_5"/>
      <w:bookmarkStart w:id="657" w:name="Tc_bkUiZWZ-nkq6iTgSQt1zNg_14_2"/>
      <w:bookmarkStart w:id="658" w:name="Tc_i52DsDTd5E2N8HPBFmXa2A_14_0"/>
      <w:bookmarkStart w:id="659" w:name="Tc_Qe97ytkYz0eohfSrJI0xuA_13_14"/>
      <w:bookmarkStart w:id="660" w:name="Tc_aRwBUJgJqUihakBoDfSMBg_13_11"/>
      <w:bookmarkStart w:id="661" w:name="Tc_k1haiyq58Ue2decL5S2oHA_13_0"/>
      <w:bookmarkStart w:id="662" w:name="Tc_s428IUYARkOUUsi7vIAWCQ_12_14"/>
      <w:bookmarkStart w:id="663" w:name="Tc_gSuett84NkO2NaSCZHuvrA_12_11"/>
      <w:bookmarkStart w:id="664" w:name="Tc_1tizS0m-2k69jHXeTxbmIg_12_8"/>
      <w:bookmarkStart w:id="665" w:name="Tc_tEB7FhJRI0KBb3aFRZeYIQ_12_5"/>
      <w:bookmarkStart w:id="666" w:name="Tc_MFTsD5nFykiq4fMrVD2cEg_12_2"/>
      <w:bookmarkStart w:id="667" w:name="Tc_2MdZ65B360GSfwOXg6VKxw_12_0"/>
      <w:bookmarkStart w:id="668" w:name="Tc_i6_CIJ-Sd0aFPtOhn3FJAQ_11_8"/>
      <w:bookmarkStart w:id="669" w:name="Tc_4boDVgaPIE-WRv5omHZ4-w_11_0"/>
      <w:bookmarkStart w:id="670" w:name="Tc_TCa-BSKBsEuXZ5EiFz3qzg_10_11"/>
      <w:bookmarkStart w:id="671" w:name="Tc_3AcO77Y45E2NPTiwNJURcg_10_0"/>
      <w:bookmarkStart w:id="672" w:name="Tc_t3ZQ1EvgoUKY2lkWN7d9Qg_9_11"/>
      <w:bookmarkStart w:id="673" w:name="Tc_spfi2lYGd0KZ_6VxcnKklg_9_0"/>
      <w:bookmarkStart w:id="674" w:name="Tc_YiIBOhOMTEOXp8LsjDwgiQ_8_14"/>
      <w:bookmarkStart w:id="675" w:name="Tc_hMnu85m_d0K3sJ7vz-dXdQ_8_11"/>
      <w:bookmarkStart w:id="676" w:name="Tc_3fiJrvcohEOOFzp-7Yidnw_8_0"/>
      <w:bookmarkStart w:id="677" w:name="Tc_IHMQpEB0EUiZrSDVKUZLNQ_7_11"/>
      <w:bookmarkStart w:id="678" w:name="Tc_px18PQdUzUmPpzn59rvyRA_7_5"/>
      <w:bookmarkStart w:id="679" w:name="Tc_jKNg24hzskuwpjEP-R-3ow_7_2"/>
      <w:bookmarkStart w:id="680" w:name="Tc_m31zXdYyaUmBYnXVp2Vllg_7_0"/>
      <w:bookmarkStart w:id="681" w:name="Tc_Ibn8xFd-OUGXsptrsc0nbQ_6_13"/>
      <w:bookmarkStart w:id="682" w:name="Tc_RpAzshj8v0qWguqSDTKAJw_6_10"/>
      <w:bookmarkStart w:id="683" w:name="Tc_oO1jRaSUV06N3lpJTSKgBw_6_7"/>
      <w:bookmarkStart w:id="684" w:name="Tc_00-HqwLwLUyPTLJWJbC-lA_6_4"/>
      <w:bookmarkStart w:id="685" w:name="Tc_tBMPXahcaEeebBDGc-SOrw_6_0"/>
      <w:bookmarkStart w:id="686" w:name="Tc_WFd58hTovk-OrkZReRKNfQ_5_13"/>
      <w:bookmarkStart w:id="687" w:name="Tc_0PIHxeQK6Ui1-w0HdGAl1w_5_10"/>
      <w:bookmarkStart w:id="688" w:name="Tc_hjmrNT1WQU-z441Fkxq3nw_5_7"/>
      <w:bookmarkStart w:id="689" w:name="Tc_uJbVQ53U9EK7q8E8Sycmyw_5_4"/>
      <w:bookmarkStart w:id="690" w:name="Tc_3Hgk1HBo80SCj66JfnNUog_5_2"/>
      <w:bookmarkStart w:id="691" w:name="Tc_74xtYc7t20mhNs_Z9SbpKQ_4_13"/>
      <w:bookmarkStart w:id="692" w:name="Tc_-oDnFS_jOEarnrBgbf3lAA_4_10"/>
      <w:bookmarkStart w:id="693" w:name="Tc_VEE0OXHlmUevpiyyKBFDNA_4_7"/>
      <w:bookmarkStart w:id="694" w:name="Tc_Oy_vWcgmx0yp4H85T86CVA_4_2"/>
      <w:bookmarkStart w:id="695" w:name="Tc_Xa8vywaXsEqOqGPikZzxEg_3_13"/>
      <w:bookmarkStart w:id="696" w:name="Tc_a53_HuvEU0aIdYVEVsrViQ_3_7"/>
      <w:bookmarkStart w:id="697" w:name="Tc_E6pLGzmX206ukjJjOxVtww_1_2"/>
      <w:bookmarkStart w:id="698" w:name="_144d4bd5_eda0_42e6_afe5_09bfd4ea1594"/>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tbl>
      <w:tblPr>
        <w:tblW w:w="10205" w:type="dxa"/>
        <w:jc w:val="left"/>
        <w:tblInd w:w="0" w:type="dxa"/>
        <w:tblLayout w:type="fixed"/>
        <w:tblCellMar>
          <w:top w:w="0" w:type="dxa"/>
          <w:left w:w="0" w:type="dxa"/>
          <w:bottom w:w="0" w:type="dxa"/>
          <w:right w:w="0" w:type="dxa"/>
        </w:tblCellMar>
      </w:tblPr>
      <w:tblGrid>
        <w:gridCol w:w="3813"/>
        <w:gridCol w:w="326"/>
        <w:gridCol w:w="1045"/>
        <w:gridCol w:w="326"/>
        <w:gridCol w:w="230"/>
        <w:gridCol w:w="461"/>
        <w:gridCol w:w="326"/>
        <w:gridCol w:w="211"/>
        <w:gridCol w:w="790"/>
        <w:gridCol w:w="326"/>
        <w:gridCol w:w="211"/>
        <w:gridCol w:w="685"/>
        <w:gridCol w:w="326"/>
        <w:gridCol w:w="216"/>
        <w:gridCol w:w="913"/>
      </w:tblGrid>
      <w:tr>
        <w:trPr/>
        <w:tc>
          <w:tcPr>
            <w:tcW w:w="3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21255" cy="175260"/>
                      <wp:effectExtent l="0" t="0" r="0" b="0"/>
                      <wp:wrapNone/>
                      <wp:docPr id="86" name="Frame86"/>
                      <a:graphic xmlns:a="http://schemas.openxmlformats.org/drawingml/2006/main">
                        <a:graphicData uri="http://schemas.microsoft.com/office/word/2010/wordprocessingShape">
                          <wps:wsp>
                            <wps:cNvSpPr txBox="1"/>
                            <wps:spPr>
                              <a:xfrm>
                                <a:off x="0" y="0"/>
                                <a:ext cx="2421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3575" cy="175260"/>
                      <wp:effectExtent l="0" t="0" r="0" b="0"/>
                      <wp:wrapNone/>
                      <wp:docPr id="88" name="Frame88"/>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6050" cy="175260"/>
                      <wp:effectExtent l="0" t="0" r="0" b="0"/>
                      <wp:wrapNone/>
                      <wp:docPr id="90" name="Frame9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92735" cy="175260"/>
                      <wp:effectExtent l="0" t="0" r="0" b="0"/>
                      <wp:wrapNone/>
                      <wp:docPr id="91" name="Frame9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1650" cy="175260"/>
                      <wp:effectExtent l="0" t="0" r="0" b="0"/>
                      <wp:wrapNone/>
                      <wp:docPr id="94" name="Frame9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34975" cy="175260"/>
                      <wp:effectExtent l="0" t="0" r="0" b="0"/>
                      <wp:wrapNone/>
                      <wp:docPr id="97" name="Frame9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7160" cy="175260"/>
                      <wp:effectExtent l="0" t="0" r="0" b="0"/>
                      <wp:wrapNone/>
                      <wp:docPr id="99" name="Frame9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9755" cy="175260"/>
                      <wp:effectExtent l="0" t="0" r="0" b="0"/>
                      <wp:wrapNone/>
                      <wp:docPr id="100" name="Frame100"/>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6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24, 2025</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center"/>
              <w:rPr/>
            </w:pPr>
            <w:r>
              <w:rPr/>
              <w:t>​</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25, 2024</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29,839,721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260,669</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404,701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(49,493)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(163,229)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(86,359)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19,946</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19,946</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24, 2025</w:t>
            </w:r>
          </w:p>
        </w:tc>
        <w:tc>
          <w:tcPr>
            <w:tcW w:w="326" w:type="dxa"/>
            <w:tcBorders/>
            <w:vAlign w:val="center"/>
          </w:tcPr>
          <w:p>
            <w:pPr>
              <w:pStyle w:val="TableContents"/>
              <w:bidi w:val="0"/>
              <w:spacing w:before="0" w:after="1"/>
              <w:ind w:left="0" w:right="0" w:hanging="0"/>
              <w:jc w:val="left"/>
              <w:rPr/>
            </w:pPr>
            <w:r>
              <w:rPr/>
              <w:t>​</w:t>
            </w:r>
          </w:p>
        </w:tc>
        <w:tc>
          <w:tcPr>
            <w:tcW w:w="10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29,999,694</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37,014</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282,932</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6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 September 25, 2024</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1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center"/>
              <w:rPr/>
            </w:pPr>
            <w:r>
              <w:rPr/>
              <w:t>​</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112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27, 2023</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31,353,223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236,421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250,696</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related to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503,112</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 net</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163,696</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 for employee tax withholdings</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(19,025)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(1,966,229)</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(19,292)</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 - excise tax</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 of common stock related to restricted shares</w:t>
            </w:r>
          </w:p>
        </w:tc>
        <w:tc>
          <w:tcPr>
            <w:tcW w:w="326" w:type="dxa"/>
            <w:tcBorders/>
            <w:vAlign w:val="center"/>
          </w:tcPr>
          <w:p>
            <w:pPr>
              <w:pStyle w:val="TableContents"/>
              <w:bidi w:val="0"/>
              <w:spacing w:before="0" w:after="1"/>
              <w:ind w:left="0" w:right="0" w:hanging="0"/>
              <w:jc w:val="left"/>
              <w:rPr/>
            </w:pPr>
            <w:r>
              <w:rPr/>
              <w:t>​</w:t>
            </w:r>
          </w:p>
        </w:tc>
        <w:tc>
          <w:tcPr>
            <w:tcW w:w="10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(84,301)</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r>
      <w:tr>
        <w:trPr/>
        <w:tc>
          <w:tcPr>
            <w:tcW w:w="38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19,731</w:t>
            </w:r>
          </w:p>
        </w:tc>
      </w:tr>
      <w:tr>
        <w:trPr/>
        <w:tc>
          <w:tcPr>
            <w:tcW w:w="381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25, 2024</w:t>
            </w:r>
          </w:p>
        </w:tc>
        <w:tc>
          <w:tcPr>
            <w:tcW w:w="326" w:type="dxa"/>
            <w:tcBorders/>
            <w:vAlign w:val="center"/>
          </w:tcPr>
          <w:p>
            <w:pPr>
              <w:pStyle w:val="TableContents"/>
              <w:bidi w:val="0"/>
              <w:spacing w:before="0" w:after="1"/>
              <w:ind w:left="0" w:right="0" w:hanging="0"/>
              <w:jc w:val="left"/>
              <w:rPr/>
            </w:pPr>
            <w:r>
              <w:rPr/>
              <w:t>​</w:t>
            </w:r>
          </w:p>
        </w:tc>
        <w:tc>
          <w:tcPr>
            <w:tcW w:w="10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29,950,476</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221,218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255,210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99" w:name="_90759126_63d7_4df5_9ce2_66f29e455421"/>
      <w:bookmarkEnd w:id="699"/>
      <w:r>
        <w:rPr>
          <w:rFonts w:ascii="Times New Roman;Times;serif" w:hAnsi="Times New Roman;Times;serif"/>
          <w:b/>
          <w:sz w:val="20"/>
        </w:rPr>
        <w:t>EL POLLO LOCO HOLDINGS, INC.</w:t>
      </w:r>
    </w:p>
    <w:p>
      <w:pPr>
        <w:pStyle w:val="TextBody"/>
        <w:bidi w:val="0"/>
        <w:spacing w:before="0" w:after="120"/>
        <w:ind w:left="0" w:right="0" w:hanging="0"/>
        <w:jc w:val="center"/>
        <w:rPr>
          <w:rFonts w:ascii="Times New Roman;Times;serif" w:hAnsi="Times New Roman;Times;serif"/>
          <w:b/>
          <w:sz w:val="20"/>
        </w:rPr>
      </w:pPr>
      <w:bookmarkStart w:id="700" w:name="CONDENSEDCONSOLIDATEDSTATEMENTSOFCASHFLO"/>
      <w:bookmarkEnd w:id="700"/>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01" w:name="Tc_T1P2zcJgtEqseXk5oSAo3A_43_5"/>
      <w:bookmarkStart w:id="702" w:name="Tc_zTs5qOftKUuFmxEsncnACw_43_2"/>
      <w:bookmarkStart w:id="703" w:name="Tc_l-861DXw0EudxLOSdqlK7w_43_0"/>
      <w:bookmarkStart w:id="704" w:name="Tc_qPbGpnjt2U-RkucoyB13VQ_42_0"/>
      <w:bookmarkStart w:id="705" w:name="Tc_9OIGLUkOD0yD-4uWmJGX1w_41_0"/>
      <w:bookmarkStart w:id="706" w:name="Tc_4TFwthYlhEe3W4dhPuduwQ_40_0"/>
      <w:bookmarkStart w:id="707" w:name="Tc_wfQcJEgHDkeXZIDYTLaN2A_39_0"/>
      <w:bookmarkStart w:id="708" w:name="Tc_mAQl6hP6zECiL5qTCwbWvw_38_0"/>
      <w:bookmarkStart w:id="709" w:name="Tc_BeYBKD83K0-saYejgDtMRg_37_0"/>
      <w:bookmarkStart w:id="710" w:name="Tc_oTiIpudj-E6mPxSjZQag1A_36_0"/>
      <w:bookmarkStart w:id="711" w:name="Tc_YwthPkzI3kuR8Pm4gCOzww_35_0"/>
      <w:bookmarkStart w:id="712" w:name="Tc_5fPfoBVmG06eres8_PXfpw_34_0"/>
      <w:bookmarkStart w:id="713" w:name="Tc_Hq3h0MjaR0aSdDOAR8OPCw_33_0"/>
      <w:bookmarkStart w:id="714" w:name="Tc_eQ92QElxbk-2shQFwvdxvg_32_0"/>
      <w:bookmarkStart w:id="715" w:name="Tc_Q-hpnCbpyEim33FWirUrCg_31_0"/>
      <w:bookmarkStart w:id="716" w:name="Tc_CnKoFjX4t0OnmtWQHBnxbg_30_3"/>
      <w:bookmarkStart w:id="717" w:name="Tc__BMmsbno-EWv_TM1mNpYUg_30_0"/>
      <w:bookmarkStart w:id="718" w:name="Tc_53HK30YCUkSrrOa--6dQ4Q_29_3"/>
      <w:bookmarkStart w:id="719" w:name="Tc_YDXFKHDv-UKWH6guC6ISMg_29_0"/>
      <w:bookmarkStart w:id="720" w:name="Tc_ZEx1wtjy0UmomBPixCxv8g_28_0"/>
      <w:bookmarkStart w:id="721" w:name="Tc_RGR3T5bLWkm05zdNCcaMEA_27_0"/>
      <w:bookmarkStart w:id="722" w:name="Tc_R_hHsHNnHkW6GnKC9XQ1bw_26_0"/>
      <w:bookmarkStart w:id="723" w:name="Tc_Mz5ol6cfUUKhzJKIPrZwyA_25_0"/>
      <w:bookmarkStart w:id="724" w:name="Tc_Q4GKxpvQNkqIagdnpV00lQ_24_3"/>
      <w:bookmarkStart w:id="725" w:name="Tc_IcregH_wPEWJ218EEKM2xQ_24_0"/>
      <w:bookmarkStart w:id="726" w:name="Tc_Hhop98_5zUayTEEQ4w3rJA_23_0"/>
      <w:bookmarkStart w:id="727" w:name="Tc_NXmcf0J5DkemCeN3Yg7U-A_22_0"/>
      <w:bookmarkStart w:id="728" w:name="Tc_KUfbe82faEiKe-GiEjlQXw_21_0"/>
      <w:bookmarkStart w:id="729" w:name="Tc_GVMnurBKA0ae4jLq9JvpYw_20_0"/>
      <w:bookmarkStart w:id="730" w:name="Tc_ZMfD0x1bUUyeHeEL5X1Rpw_19_0"/>
      <w:bookmarkStart w:id="731" w:name="Tc_vT26qF5m8EG9UvtMQ8e14w_18_0"/>
      <w:bookmarkStart w:id="732" w:name="Tc_JNXCIkVHYEemNevhfHypIg_17_0"/>
      <w:bookmarkStart w:id="733" w:name="Tc_PuL8gSnxWk25Db0vOhx2VA_16_0"/>
      <w:bookmarkStart w:id="734" w:name="Tc_XUJbfPvkPUKBv7JFYXW9Jg_15_0"/>
      <w:bookmarkStart w:id="735" w:name="Tc_KziFpMQnT0iHychTbZ_9TA_14_0"/>
      <w:bookmarkStart w:id="736" w:name="Tc_tp0dPAgs5k-x_Vg6OZxZHw_13_0"/>
      <w:bookmarkStart w:id="737" w:name="Tc_7UktPMLuOUu8iNHMCXPJsA_12_0"/>
      <w:bookmarkStart w:id="738" w:name="Tc_ombYlPchWEa8rwlXARH9Jg_11_3"/>
      <w:bookmarkStart w:id="739" w:name="Tc__0X9VnwOZUS5T-NDxPeLUA_11_0"/>
      <w:bookmarkStart w:id="740" w:name="Tc_fcwubSylg0KkrkSbIvmleQ_10_0"/>
      <w:bookmarkStart w:id="741" w:name="Tc_9rfuHbpsSU2rYAyglZ3PdA_9_3"/>
      <w:bookmarkStart w:id="742" w:name="Tc_fwDwEtADM0mJwaOt-b2PUw_9_0"/>
      <w:bookmarkStart w:id="743" w:name="Tc_hDB-FJ3sLkW5hXuPEaL5DA_8_0"/>
      <w:bookmarkStart w:id="744" w:name="Tc_V3FRQcJx_UiDr01o1gu11A_7_0"/>
      <w:bookmarkStart w:id="745" w:name="Tc_H8pfSBVhv0-rBD9WrBVC1A_6_0"/>
      <w:bookmarkStart w:id="746" w:name="Tc_6GoDNDrTNUC2Sm5XngYJTQ_5_5"/>
      <w:bookmarkStart w:id="747" w:name="Tc_-_r_ueo7kEOZuPB40vqU1Q_5_2"/>
      <w:bookmarkStart w:id="748" w:name="Tc_jii7asMt9EC7W9FytOjqiA_5_0"/>
      <w:bookmarkStart w:id="749" w:name="Tc_iyhztNWfRUua5QMs0ZF7vg_4_0"/>
      <w:bookmarkStart w:id="750" w:name="Tc_xHAnWuXv9Uuhf4aTWyn7ew_3_5"/>
      <w:bookmarkStart w:id="751" w:name="Tc_q_XEKqo60k2VD31boMembw_3_2"/>
      <w:bookmarkStart w:id="752" w:name="Tc_4W4kh6fW60G2iM0PeVIM2w_2_2"/>
      <w:bookmarkStart w:id="753" w:name="_3c40fc06_aba3_474c_9d37_5388fc82aaee"/>
      <w:bookmarkStart w:id="754" w:name="Tc_T1P2zcJgtEqseXk5oSAo3A_43_5"/>
      <w:bookmarkStart w:id="755" w:name="Tc_zTs5qOftKUuFmxEsncnACw_43_2"/>
      <w:bookmarkStart w:id="756" w:name="Tc_l-861DXw0EudxLOSdqlK7w_43_0"/>
      <w:bookmarkStart w:id="757" w:name="Tc_qPbGpnjt2U-RkucoyB13VQ_42_0"/>
      <w:bookmarkStart w:id="758" w:name="Tc_9OIGLUkOD0yD-4uWmJGX1w_41_0"/>
      <w:bookmarkStart w:id="759" w:name="Tc_4TFwthYlhEe3W4dhPuduwQ_40_0"/>
      <w:bookmarkStart w:id="760" w:name="Tc_wfQcJEgHDkeXZIDYTLaN2A_39_0"/>
      <w:bookmarkStart w:id="761" w:name="Tc_mAQl6hP6zECiL5qTCwbWvw_38_0"/>
      <w:bookmarkStart w:id="762" w:name="Tc_BeYBKD83K0-saYejgDtMRg_37_0"/>
      <w:bookmarkStart w:id="763" w:name="Tc_oTiIpudj-E6mPxSjZQag1A_36_0"/>
      <w:bookmarkStart w:id="764" w:name="Tc_YwthPkzI3kuR8Pm4gCOzww_35_0"/>
      <w:bookmarkStart w:id="765" w:name="Tc_5fPfoBVmG06eres8_PXfpw_34_0"/>
      <w:bookmarkStart w:id="766" w:name="Tc_Hq3h0MjaR0aSdDOAR8OPCw_33_0"/>
      <w:bookmarkStart w:id="767" w:name="Tc_eQ92QElxbk-2shQFwvdxvg_32_0"/>
      <w:bookmarkStart w:id="768" w:name="Tc_Q-hpnCbpyEim33FWirUrCg_31_0"/>
      <w:bookmarkStart w:id="769" w:name="Tc_CnKoFjX4t0OnmtWQHBnxbg_30_3"/>
      <w:bookmarkStart w:id="770" w:name="Tc__BMmsbno-EWv_TM1mNpYUg_30_0"/>
      <w:bookmarkStart w:id="771" w:name="Tc_53HK30YCUkSrrOa--6dQ4Q_29_3"/>
      <w:bookmarkStart w:id="772" w:name="Tc_YDXFKHDv-UKWH6guC6ISMg_29_0"/>
      <w:bookmarkStart w:id="773" w:name="Tc_ZEx1wtjy0UmomBPixCxv8g_28_0"/>
      <w:bookmarkStart w:id="774" w:name="Tc_RGR3T5bLWkm05zdNCcaMEA_27_0"/>
      <w:bookmarkStart w:id="775" w:name="Tc_R_hHsHNnHkW6GnKC9XQ1bw_26_0"/>
      <w:bookmarkStart w:id="776" w:name="Tc_Mz5ol6cfUUKhzJKIPrZwyA_25_0"/>
      <w:bookmarkStart w:id="777" w:name="Tc_Q4GKxpvQNkqIagdnpV00lQ_24_3"/>
      <w:bookmarkStart w:id="778" w:name="Tc_IcregH_wPEWJ218EEKM2xQ_24_0"/>
      <w:bookmarkStart w:id="779" w:name="Tc_Hhop98_5zUayTEEQ4w3rJA_23_0"/>
      <w:bookmarkStart w:id="780" w:name="Tc_NXmcf0J5DkemCeN3Yg7U-A_22_0"/>
      <w:bookmarkStart w:id="781" w:name="Tc_KUfbe82faEiKe-GiEjlQXw_21_0"/>
      <w:bookmarkStart w:id="782" w:name="Tc_GVMnurBKA0ae4jLq9JvpYw_20_0"/>
      <w:bookmarkStart w:id="783" w:name="Tc_ZMfD0x1bUUyeHeEL5X1Rpw_19_0"/>
      <w:bookmarkStart w:id="784" w:name="Tc_vT26qF5m8EG9UvtMQ8e14w_18_0"/>
      <w:bookmarkStart w:id="785" w:name="Tc_JNXCIkVHYEemNevhfHypIg_17_0"/>
      <w:bookmarkStart w:id="786" w:name="Tc_PuL8gSnxWk25Db0vOhx2VA_16_0"/>
      <w:bookmarkStart w:id="787" w:name="Tc_XUJbfPvkPUKBv7JFYXW9Jg_15_0"/>
      <w:bookmarkStart w:id="788" w:name="Tc_KziFpMQnT0iHychTbZ_9TA_14_0"/>
      <w:bookmarkStart w:id="789" w:name="Tc_tp0dPAgs5k-x_Vg6OZxZHw_13_0"/>
      <w:bookmarkStart w:id="790" w:name="Tc_7UktPMLuOUu8iNHMCXPJsA_12_0"/>
      <w:bookmarkStart w:id="791" w:name="Tc_ombYlPchWEa8rwlXARH9Jg_11_3"/>
      <w:bookmarkStart w:id="792" w:name="Tc__0X9VnwOZUS5T-NDxPeLUA_11_0"/>
      <w:bookmarkStart w:id="793" w:name="Tc_fcwubSylg0KkrkSbIvmleQ_10_0"/>
      <w:bookmarkStart w:id="794" w:name="Tc_9rfuHbpsSU2rYAyglZ3PdA_9_3"/>
      <w:bookmarkStart w:id="795" w:name="Tc_fwDwEtADM0mJwaOt-b2PUw_9_0"/>
      <w:bookmarkStart w:id="796" w:name="Tc_hDB-FJ3sLkW5hXuPEaL5DA_8_0"/>
      <w:bookmarkStart w:id="797" w:name="Tc_V3FRQcJx_UiDr01o1gu11A_7_0"/>
      <w:bookmarkStart w:id="798" w:name="Tc_H8pfSBVhv0-rBD9WrBVC1A_6_0"/>
      <w:bookmarkStart w:id="799" w:name="Tc_6GoDNDrTNUC2Sm5XngYJTQ_5_5"/>
      <w:bookmarkStart w:id="800" w:name="Tc_-_r_ueo7kEOZuPB40vqU1Q_5_2"/>
      <w:bookmarkStart w:id="801" w:name="Tc_jii7asMt9EC7W9FytOjqiA_5_0"/>
      <w:bookmarkStart w:id="802" w:name="Tc_iyhztNWfRUua5QMs0ZF7vg_4_0"/>
      <w:bookmarkStart w:id="803" w:name="Tc_xHAnWuXv9Uuhf4aTWyn7ew_3_5"/>
      <w:bookmarkStart w:id="804" w:name="Tc_q_XEKqo60k2VD31boMembw_3_2"/>
      <w:bookmarkStart w:id="805" w:name="Tc_4W4kh6fW60G2iM0PeVIM2w_2_2"/>
      <w:bookmarkStart w:id="806" w:name="_3c40fc06_aba3_474c_9d37_5388fc82aaee"/>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W w:w="9889" w:type="dxa"/>
        <w:jc w:val="left"/>
        <w:tblInd w:w="0" w:type="dxa"/>
        <w:tblLayout w:type="fixed"/>
        <w:tblCellMar>
          <w:top w:w="0" w:type="dxa"/>
          <w:left w:w="0" w:type="dxa"/>
          <w:bottom w:w="0" w:type="dxa"/>
          <w:right w:w="0" w:type="dxa"/>
        </w:tblCellMar>
      </w:tblPr>
      <w:tblGrid>
        <w:gridCol w:w="6316"/>
        <w:gridCol w:w="326"/>
        <w:gridCol w:w="353"/>
        <w:gridCol w:w="1193"/>
        <w:gridCol w:w="110"/>
        <w:gridCol w:w="345"/>
        <w:gridCol w:w="1246"/>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010660" cy="175260"/>
                      <wp:effectExtent l="0" t="0" r="0" b="0"/>
                      <wp:wrapNone/>
                      <wp:docPr id="101" name="Frame101"/>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24155" cy="175260"/>
                      <wp:effectExtent l="0" t="0" r="0" b="0"/>
                      <wp:wrapNone/>
                      <wp:docPr id="103" name="Frame10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57555" cy="175260"/>
                      <wp:effectExtent l="0" t="0" r="0" b="0"/>
                      <wp:wrapNone/>
                      <wp:docPr id="104" name="Frame104"/>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850" cy="175260"/>
                      <wp:effectExtent l="0" t="0" r="0" b="0"/>
                      <wp:wrapNone/>
                      <wp:docPr id="105" name="Frame105"/>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075" cy="175260"/>
                      <wp:effectExtent l="0" t="0" r="0" b="0"/>
                      <wp:wrapNone/>
                      <wp:docPr id="106" name="Frame106"/>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91210" cy="175260"/>
                      <wp:effectExtent l="0" t="0" r="0" b="0"/>
                      <wp:wrapNone/>
                      <wp:docPr id="107" name="Frame10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center"/>
              <w:rPr/>
            </w:pPr>
            <w:r>
              <w:rPr/>
              <w:t>​</w:t>
            </w:r>
          </w:p>
        </w:tc>
        <w:tc>
          <w:tcPr>
            <w:tcW w:w="1193" w:type="dxa"/>
            <w:tcBorders/>
            <w:vAlign w:val="center"/>
          </w:tcPr>
          <w:p>
            <w:pPr>
              <w:pStyle w:val="TableContents"/>
              <w:bidi w:val="0"/>
              <w:spacing w:before="0" w:after="0"/>
              <w:ind w:left="0" w:right="0" w:hanging="0"/>
              <w:jc w:val="center"/>
              <w:rPr/>
            </w:pPr>
            <w:r>
              <w:rPr/>
              <w:t>​</w:t>
            </w:r>
          </w:p>
        </w:tc>
        <w:tc>
          <w:tcPr>
            <w:tcW w:w="110"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pPr>
            <w:r>
              <w:rPr/>
              <w:t>​</w:t>
            </w:r>
          </w:p>
        </w:tc>
      </w:tr>
      <w:tr>
        <w:trPr/>
        <w:tc>
          <w:tcPr>
            <w:tcW w:w="63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10"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  </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19,946</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19,731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  </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11,789</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11,755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4,116</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2,897</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disposition of restaurants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recovery of insurance proceeds, net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  </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and other receivables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2,161</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(3,851)</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14,499</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14,422</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salaries and vacation</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(3,123)</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insurance</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related to tax receivable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(14,502)</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(14,217)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1,707</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provided by operating activities</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34,166</w:t>
            </w:r>
          </w:p>
        </w:tc>
        <w:tc>
          <w:tcPr>
            <w:tcW w:w="110"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41,146</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restaurants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fire insurance for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(13,811)</w:t>
            </w:r>
          </w:p>
        </w:tc>
        <w:tc>
          <w:tcPr>
            <w:tcW w:w="110"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(14,578)</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(13,811)</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(14,437)</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pPr>
            <w:r>
              <w:rPr/>
              <w:t>  </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  </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revolver and swingline loans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9,000</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14,000</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revolver and swingline loan</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(19,000)</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(22,000)</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Minimum tax withholdings related to net share settlements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upon exercise of stock options, net of expenses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obligations under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Repurchases of common stock</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c>
          <w:tcPr>
            <w:tcW w:w="110"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(19,292)</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flows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(11,967)</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(26,102)</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Increase in cash and cash equivalents</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8,388</w:t>
            </w:r>
          </w:p>
        </w:tc>
        <w:tc>
          <w:tcPr>
            <w:tcW w:w="110"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Cash and cash equivalents,</w:t>
            </w:r>
            <w:r>
              <w:rPr>
                <w:rFonts w:ascii="Times New Roman;Times;serif" w:hAnsi="Times New Roman;Times;serif"/>
                <w:sz w:val="16"/>
              </w:rPr>
              <w:t xml:space="preserve">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2,484</w:t>
            </w:r>
          </w:p>
        </w:tc>
        <w:tc>
          <w:tcPr>
            <w:tcW w:w="110"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7,288</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 xml:space="preserve">Cash and cash equivalents, </w:t>
            </w:r>
            <w:r>
              <w:rPr>
                <w:rFonts w:ascii="Times New Roman;Times;serif" w:hAnsi="Times New Roman;Times;serif"/>
                <w:sz w:val="16"/>
              </w:rPr>
              <w:t>end of period</w:t>
            </w:r>
          </w:p>
        </w:tc>
        <w:tc>
          <w:tcPr>
            <w:tcW w:w="326" w:type="dxa"/>
            <w:tcBorders/>
            <w:vAlign w:val="center"/>
          </w:tcPr>
          <w:p>
            <w:pPr>
              <w:pStyle w:val="TableContents"/>
              <w:bidi w:val="0"/>
              <w:spacing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10,872</w:t>
            </w:r>
          </w:p>
        </w:tc>
        <w:tc>
          <w:tcPr>
            <w:tcW w:w="110"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7,895</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07" w:name="Tc_zlEJPksKIE6low8_OTUJyg_8_5"/>
      <w:bookmarkStart w:id="808" w:name="Tc_zEUcXIGbNE6TFcfwwt708g_8_3"/>
      <w:bookmarkStart w:id="809" w:name="Tc_rLcOJ8W0-kOgZN6XrICK9Q_8_2"/>
      <w:bookmarkStart w:id="810" w:name="Tc_Q22TuSN_D0eXdDl_z3v0mg_8_0"/>
      <w:bookmarkStart w:id="811" w:name="Tc_OaDNHW2KW0idcUWtTmaXvg_7_5"/>
      <w:bookmarkStart w:id="812" w:name="Tc_y4oY_IWkI0aIi2QGT0fCAw_7_2"/>
      <w:bookmarkStart w:id="813" w:name="Tc_cck8_vehFUCg51P0YHhmCQ_7_0"/>
      <w:bookmarkStart w:id="814" w:name="Tc_mAFTTYQsb066jNyQz-LLFg_6_5"/>
      <w:bookmarkStart w:id="815" w:name="Tc_qmvDc0I_p0-tROroQLR_sQ_6_2"/>
      <w:bookmarkStart w:id="816" w:name="Tc_0We8jc1hO0e32bixJ8ZUgw_6_0"/>
      <w:bookmarkStart w:id="817" w:name="Tc_QUZ226meyEyg2nMjvkEuRw_5_5"/>
      <w:bookmarkStart w:id="818" w:name="Tc_f-bbLzbFcEmFisqO8hblAg_5_2"/>
      <w:bookmarkStart w:id="819" w:name="Tc_7LlwRYgLZEanct2TfbiLDw_5_0"/>
      <w:bookmarkStart w:id="820" w:name="Tc_N8plE9qXbUWZKMYfLcOaAA_4_0"/>
      <w:bookmarkStart w:id="821" w:name="Tc_RIthqK_bukeuTCCXPB5xOQ_3_5"/>
      <w:bookmarkStart w:id="822" w:name="Tc_xiVNuwsVekiXVrZtvZHV_g_3_2"/>
      <w:bookmarkStart w:id="823" w:name="Tc_XtEzEEUFqkG7T7adePAAGA_2_2"/>
      <w:bookmarkStart w:id="824" w:name="_697e80b8_cbd1_4aa2_a313_ff918e7efa59"/>
      <w:bookmarkStart w:id="825" w:name="Tc_zlEJPksKIE6low8_OTUJyg_8_5"/>
      <w:bookmarkStart w:id="826" w:name="Tc_zEUcXIGbNE6TFcfwwt708g_8_3"/>
      <w:bookmarkStart w:id="827" w:name="Tc_rLcOJ8W0-kOgZN6XrICK9Q_8_2"/>
      <w:bookmarkStart w:id="828" w:name="Tc_Q22TuSN_D0eXdDl_z3v0mg_8_0"/>
      <w:bookmarkStart w:id="829" w:name="Tc_OaDNHW2KW0idcUWtTmaXvg_7_5"/>
      <w:bookmarkStart w:id="830" w:name="Tc_y4oY_IWkI0aIi2QGT0fCAw_7_2"/>
      <w:bookmarkStart w:id="831" w:name="Tc_cck8_vehFUCg51P0YHhmCQ_7_0"/>
      <w:bookmarkStart w:id="832" w:name="Tc_mAFTTYQsb066jNyQz-LLFg_6_5"/>
      <w:bookmarkStart w:id="833" w:name="Tc_qmvDc0I_p0-tROroQLR_sQ_6_2"/>
      <w:bookmarkStart w:id="834" w:name="Tc_0We8jc1hO0e32bixJ8ZUgw_6_0"/>
      <w:bookmarkStart w:id="835" w:name="Tc_QUZ226meyEyg2nMjvkEuRw_5_5"/>
      <w:bookmarkStart w:id="836" w:name="Tc_f-bbLzbFcEmFisqO8hblAg_5_2"/>
      <w:bookmarkStart w:id="837" w:name="Tc_7LlwRYgLZEanct2TfbiLDw_5_0"/>
      <w:bookmarkStart w:id="838" w:name="Tc_N8plE9qXbUWZKMYfLcOaAA_4_0"/>
      <w:bookmarkStart w:id="839" w:name="Tc_RIthqK_bukeuTCCXPB5xOQ_3_5"/>
      <w:bookmarkStart w:id="840" w:name="Tc_xiVNuwsVekiXVrZtvZHV_g_3_2"/>
      <w:bookmarkStart w:id="841" w:name="Tc_XtEzEEUFqkG7T7adePAAGA_2_2"/>
      <w:bookmarkStart w:id="842" w:name="_697e80b8_cbd1_4aa2_a313_ff918e7efa59"/>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tbl>
      <w:tblPr>
        <w:tblW w:w="7411" w:type="dxa"/>
        <w:jc w:val="left"/>
        <w:tblInd w:w="0" w:type="dxa"/>
        <w:tblLayout w:type="fixed"/>
        <w:tblCellMar>
          <w:top w:w="0" w:type="dxa"/>
          <w:left w:w="0" w:type="dxa"/>
          <w:bottom w:w="0" w:type="dxa"/>
          <w:right w:w="0" w:type="dxa"/>
        </w:tblCellMar>
      </w:tblPr>
      <w:tblGrid>
        <w:gridCol w:w="3766"/>
        <w:gridCol w:w="326"/>
        <w:gridCol w:w="428"/>
        <w:gridCol w:w="1118"/>
        <w:gridCol w:w="182"/>
        <w:gridCol w:w="414"/>
        <w:gridCol w:w="1177"/>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91410" cy="175260"/>
                      <wp:effectExtent l="0" t="0" r="0" b="0"/>
                      <wp:wrapNone/>
                      <wp:docPr id="108" name="Frame10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71780" cy="175260"/>
                      <wp:effectExtent l="0" t="0" r="0" b="0"/>
                      <wp:wrapNone/>
                      <wp:docPr id="110" name="Frame11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09930" cy="175260"/>
                      <wp:effectExtent l="0" t="0" r="0" b="0"/>
                      <wp:wrapNone/>
                      <wp:docPr id="111" name="Frame111"/>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5570" cy="175260"/>
                      <wp:effectExtent l="0" t="0" r="0" b="0"/>
                      <wp:wrapNone/>
                      <wp:docPr id="112" name="Frame112"/>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62890" cy="175260"/>
                      <wp:effectExtent l="0" t="0" r="0" b="0"/>
                      <wp:wrapNone/>
                      <wp:docPr id="113" name="Frame113"/>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47395" cy="175260"/>
                      <wp:effectExtent l="0" t="0" r="0" b="0"/>
                      <wp:wrapNone/>
                      <wp:docPr id="114" name="Frame114"/>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1118"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177"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82"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 </w:t>
            </w:r>
          </w:p>
        </w:tc>
        <w:tc>
          <w:tcPr>
            <w:tcW w:w="428" w:type="dxa"/>
            <w:tcBorders/>
            <w:shd w:fill="CCEEFF" w:val="clear"/>
            <w:vAlign w:val="center"/>
          </w:tcPr>
          <w:p>
            <w:pPr>
              <w:pStyle w:val="TableContents"/>
              <w:bidi w:val="0"/>
              <w:spacing w:before="0" w:after="0"/>
              <w:ind w:left="0" w:right="0" w:hanging="0"/>
              <w:jc w:val="left"/>
              <w:rPr/>
            </w:pPr>
            <w:r>
              <w:rPr/>
              <w:t>​</w:t>
            </w:r>
          </w:p>
        </w:tc>
        <w:tc>
          <w:tcPr>
            <w:tcW w:w="1118" w:type="dxa"/>
            <w:tcBorders/>
            <w:shd w:fill="CCEEFF" w:val="clear"/>
            <w:vAlign w:val="center"/>
          </w:tcPr>
          <w:p>
            <w:pPr>
              <w:pStyle w:val="TableContents"/>
              <w:bidi w:val="0"/>
              <w:spacing w:before="0" w:after="0"/>
              <w:ind w:left="0" w:right="0" w:hanging="0"/>
              <w:jc w:val="righ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1177" w:type="dxa"/>
            <w:tcBorders/>
            <w:shd w:fill="CCEEFF" w:val="clear"/>
            <w:vAlign w:val="center"/>
          </w:tcPr>
          <w:p>
            <w:pPr>
              <w:pStyle w:val="TableContents"/>
              <w:bidi w:val="0"/>
              <w:spacing w:before="0" w:after="0"/>
              <w:ind w:left="0" w:right="0" w:hanging="0"/>
              <w:jc w:val="right"/>
              <w:rPr/>
            </w:pPr>
            <w:r>
              <w:rPr/>
              <w:t>  </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interest</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3,356</w:t>
            </w:r>
          </w:p>
        </w:tc>
        <w:tc>
          <w:tcPr>
            <w:tcW w:w="182"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4,693</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9,924</w:t>
            </w:r>
          </w:p>
        </w:tc>
        <w:tc>
          <w:tcPr>
            <w:tcW w:w="182"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6,912</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purchases of property and equipment</w:t>
            </w:r>
          </w:p>
        </w:tc>
        <w:tc>
          <w:tcPr>
            <w:tcW w:w="326" w:type="dxa"/>
            <w:tcBorders/>
            <w:vAlign w:val="center"/>
          </w:tcPr>
          <w:p>
            <w:pPr>
              <w:pStyle w:val="TableContents"/>
              <w:bidi w:val="0"/>
              <w:spacing w:before="0" w:after="0"/>
              <w:ind w:left="0" w:right="0" w:hanging="0"/>
              <w:jc w:val="left"/>
              <w:rPr/>
            </w:pPr>
            <w:r>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4,697</w:t>
            </w:r>
          </w:p>
        </w:tc>
        <w:tc>
          <w:tcPr>
            <w:tcW w:w="182"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3,252</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Unpaid repurchases of common stock and excise tax</w:t>
            </w:r>
          </w:p>
        </w:tc>
        <w:tc>
          <w:tcPr>
            <w:tcW w:w="326" w:type="dxa"/>
            <w:tcBorders/>
            <w:shd w:fill="CCEEFF" w:val="clear"/>
            <w:vAlign w:val="center"/>
          </w:tcPr>
          <w:p>
            <w:pPr>
              <w:pStyle w:val="TableContents"/>
              <w:bidi w:val="0"/>
              <w:spacing w:before="0" w:after="0"/>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721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843" w:name="_8f2023cc_eaf6_44fb_b2dd_1496aa1269d9"/>
      <w:bookmarkEnd w:id="843"/>
      <w:r>
        <w:rPr>
          <w:rFonts w:ascii="Times New Roman;Times;serif" w:hAnsi="Times New Roman;Times;serif"/>
          <w:b/>
          <w:sz w:val="20"/>
        </w:rPr>
        <w:t>EL POLLO LOCO HOLDINGS, INC.</w:t>
      </w:r>
    </w:p>
    <w:p>
      <w:pPr>
        <w:pStyle w:val="TextBody"/>
        <w:bidi w:val="0"/>
        <w:spacing w:before="0" w:after="240"/>
        <w:ind w:left="0" w:right="0" w:hanging="0"/>
        <w:jc w:val="center"/>
        <w:rPr>
          <w:rFonts w:ascii="Times New Roman;Times;serif" w:hAnsi="Times New Roman;Times;serif"/>
          <w:b/>
          <w:sz w:val="20"/>
        </w:rPr>
      </w:pPr>
      <w:bookmarkStart w:id="844" w:name="NOTESTOCONDENSEDCONSOLIDATEDFINANCIALSTA"/>
      <w:bookmarkEnd w:id="844"/>
      <w:r>
        <w:rPr>
          <w:rFonts w:ascii="Times New Roman;Times;serif" w:hAnsi="Times New Roman;Times;serif"/>
          <w:b/>
          <w:sz w:val="20"/>
        </w:rPr>
        <w:t>NOTES TO CONDENSED CONSOLIDATED FINANCIAL STATEMENTS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 AND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El Pollo Loco Holdings, Inc. (“Holdings” or “Company”) is a Delaware corporation headquartered in Costa Mesa, California. Holdings and its direct and indirect subsidiaries are collectively referred to herein as the “Company.” The Company’s activities are conducted principally through its indirect wholly owned subsidiary, El Pollo Loco, Inc. (“EPL”), which develops, franchises, licenses, and operates quick-service restaurants under the name El Pollo Loco® and operates under one operating segment. At September 24, 2025, the Company operated 174 and franchised 324 El Pollo Loco restaurants in the United States. As of September 24, 2025, the Company licenses eight restaurants in the Philippines. This total reflects the closure of two licensed restaurants during the thirty-nine weeks ended September 24,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25, 2024.</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2025 is a 53-week year ending on December 31, 2025. Fiscal 2024 was a 52-week year ended on December 25, 2024. Revenues, expenses, and other financial and operational figures may be elevated in a 53-week year.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prior year amounts in the accompanying condensed consolidated financial statements have been reclassified to conform with the current year presentation.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Holdings has no material assets or operations. Holdings and Holdings’ direct subsidiary, EPL Intermediate, Inc. (“Intermediate”), guarantee EPL’s 2022 Revolver (as defined in Note 5 below)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include the accounts of Holdings and its wholly owned subsidiaries. All intercompany balances and transactions have been eliminated in consolidation.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estimates for impairment of goodwill, intangible assets and property and equipment, insurance reserves, lease accounting matters and contingent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considers all liquid instruments with an original maturity of three months or less at the date of purchase to be cash equivalents.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principal liquidity and capital requirements are new restaurants, existing restaurant capital investments (remodels and maintenance), interest payments on its debt, lease obligations and working capital and general corporate needs. At September 24, 2025, the Company’s total outstanding balance on its Revolver was $61.0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$10.9 million at September 24, 2025, and the outstanding borrowing availability under the 2022 Revolver will be adequate to meet the Company’s liquidity needs for the next twelve months from the date of filing of these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Subsequent to the quarter-end, the Company paid down an additional $6.0 million on its 2022 Revolver resulting in outstanding borrowings of $55.0 million as of October 30, 2025.</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Concentration of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are maintained at financial institutions and, at times, these balances may exceed federally-insured limits. The Company has never experienced any losses related to these balances.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no suppliers for which amounts due totaled more than 10% of the Company’s accounts payable at September 24, 2025. The Company had one supplier to whom amounts due totaled 19.7% of the Company’s accounts payable at December 25, 2024. Purchases from the Company’s largest supplier totaled 24.7% and 18.9% of total expenses for the thirteen and thirty-nine weeks ended September 24, 2025, respectively, and 24.0% and 24.3% of total expenses for the thirteen and thirty-nine weeks ended September 25, 2024,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and franchised restaurants in the greater Los Angeles area generated, in the aggregate, approximately 72.2% and 71.9% of total revenue for the thirteen and thirty-nine weeks ended September 24, 2025, respectively, and 72.5% and 71.9% of total revenue for the thirteen and thirty-nine weeks ended September 25, 2024,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 and Indefinite Lived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royalties from those restaurants currently being refranchised, future royalties from existing franchise businesses and company restaurant operations. The Company did not record any decrement to goodwill related to the disposition of restaurants in fiscal 2024 or the thirty-nine weeks ended September 24,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goodwill during the fourth fiscal quarter of each year, or more frequently if impairment indicators arise.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determined that there were no indicators of potential impairment of its goodwill and indefinite-lived intangible assets during the thirteen and thirty-nine weeks ended September 24, 2025. Accordingly, the Company did not record any impairment to its goodwill or indefinite-lived intangible assets during the thirteen and thirty-nine weeks ended September 24,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for identical instruments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for similar instruments in active markets; quoted prices for identical or similar instruments in markets that are not active; and model-derived valuations whose inputs or significant value drivers are observable.</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used when little or no market data is available.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non-financial instruments measured at fair value on a nonrecurring basis as of and for the thirteen and thirty-nine weeks ended September 24, 2025 and September 25,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Property and Equipment and ROU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reviews its property and equipment and right-of-use assets (“ROU assets”) for impairment on a restaurant-by-restaurant basis whenever events or changes in circumstances indicate that the carrying value of certain property and equipment and ROU assets may not be recoverable. The Company considers a triggering event,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property and equipment assets or ROU assets in a net asset position to have occurred related to a specific restaurant if the restaurant’s average unit volume (“AUV”)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closed or subleased and future estimated sublease income is less than current lease payments.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stores during the thirty-nine weeks ended September 24, 2025 that required an impairment review of certain of the Company’s property and equipment and ROU assets. Based on the results of this analysis, the Company did not record any non-cash impairment charges for the thirteen and thirty-nine weeks ended September 24, 2025 and September 25,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both the thirteen and thirty-nine weeks ended September 24, 2025 and September 25, 2024, the Company recognized less than $0.1 million of closed-store reserve expense related to the amortization of ROU assets, property taxes and CAM payments for its closed location.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Gain on Recovery of Insurance Proceeds and Lost Profits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thirty-nine weeks ended September 25, 2024, the Company recognized gains of less than $0.1 million related to the reimbursement of property and equipment and expenses. The gain on recovery of insurance proceeds and lost profits, net of the related costs, is included in the accompanying condensed consolidated statements of income, for the thirty-nine weeks ended September 25, 2024, as a reduction of company restaurant expenses. </w:t>
      </w:r>
    </w:p>
    <w:p>
      <w:pPr>
        <w:pStyle w:val="TextBody"/>
        <w:bidi w:val="0"/>
        <w:spacing w:before="0" w:after="240"/>
        <w:ind w:left="0" w:right="0" w:hanging="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Loss on Disposition of Restaurants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During the thirty-nine weeks ended September 25, 2024, the Company completed the sale of </w:t>
      </w:r>
      <w:r>
        <w:rPr>
          <w:rFonts w:ascii="Times New Roman;Times;serif" w:hAnsi="Times New Roman;Times;serif"/>
          <w:color w:val="212529"/>
          <w:sz w:val="20"/>
        </w:rPr>
        <w:t>one</w:t>
      </w:r>
      <w:r>
        <w:rPr>
          <w:rFonts w:ascii="Times New Roman;Times;serif" w:hAnsi="Times New Roman;Times;serif"/>
          <w:color w:val="212529"/>
          <w:sz w:val="20"/>
          <w:shd w:fill="FFFFFF" w:val="clear"/>
        </w:rPr>
        <w:t> restaurant within California to an existing franchisee due to an expiring lease term on April 30, 2024. This sale resulted in cash proceeds of $</w:t>
      </w:r>
      <w:r>
        <w:rPr>
          <w:rFonts w:ascii="Times New Roman;Times;serif" w:hAnsi="Times New Roman;Times;serif"/>
          <w:color w:val="212529"/>
          <w:sz w:val="20"/>
        </w:rPr>
        <w:t>0.1</w:t>
      </w:r>
      <w:r>
        <w:rPr>
          <w:rFonts w:ascii="Times New Roman;Times;serif" w:hAnsi="Times New Roman;Times;serif"/>
          <w:color w:val="212529"/>
          <w:sz w:val="20"/>
          <w:shd w:fill="FFFFFF" w:val="clear"/>
        </w:rPr>
        <w:t> million and a net loss on sale of restaurant of less than $</w:t>
      </w:r>
      <w:r>
        <w:rPr>
          <w:rFonts w:ascii="Times New Roman;Times;serif" w:hAnsi="Times New Roman;Times;serif"/>
          <w:color w:val="212529"/>
          <w:sz w:val="20"/>
        </w:rPr>
        <w:t>0.1</w:t>
      </w:r>
      <w:r>
        <w:rPr>
          <w:rFonts w:ascii="Times New Roman;Times;serif" w:hAnsi="Times New Roman;Times;serif"/>
          <w:color w:val="212529"/>
          <w:sz w:val="20"/>
          <w:shd w:fill="FFFFFF" w:val="clear"/>
        </w:rPr>
        <w:t> million during the thirty-nine weeks ended September 25,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reviews its filing positions for all open tax years in all U.S. federal and state jurisdictions where the Company is required to file.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policy is to recognize interest and penalties related to income tax matters in income tax expense. The Company had no accrual for interest or penalties at September 24, 2025 or at December 25, 2024. The Company did not recognize interest or penalties during the thirteen and thirty-nine weeks ended September 24, 2025 and September 25, 2024, since there were no material unrecognized tax benefits. Management believes no significant changes to the amount of unrecognized tax benefits will occur within the next twelve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thirteen weeks ended September 24, 2025, the Company recorded an income tax provision of $3.0 million, reflecting an estimated effective tax rate of 28.8%. For the thirteen weeks ended September 25, 2024, the Company recorded an income tax provision of $2.4 million, reflecting an estimated effective tax rate of approximately 28.1%. For the thirty-nine weeks ended September 24, 2025, the Company recorded an income tax provision of $8.3 million, reflecting an estimated effective tax rate of approximately 29.3%. For the thirty-nine weeks ended September 25, 2024, the Company recorded an income tax provision of $7.8 million, reflecting an estimated effective tax rate of approximately 28.3%. The difference between the 21.0% statutory rate and the effective tax rate of 29.3% for the thirty-nine </w:t>
      </w:r>
      <w:r>
        <w:rPr>
          <w:rFonts w:ascii="Times New Roman;Times;serif" w:hAnsi="Times New Roman;Times;serif"/>
          <w:sz w:val="20"/>
          <w:shd w:fill="FFFFFF" w:val="clear"/>
        </w:rPr>
        <w:t xml:space="preserve">weeks </w:t>
      </w:r>
      <w:r>
        <w:rPr>
          <w:rFonts w:ascii="Times New Roman;Times;serif" w:hAnsi="Times New Roman;Times;serif"/>
          <w:sz w:val="20"/>
        </w:rPr>
        <w:t xml:space="preserve">ended September 24, 2025 is primarily a result </w:t>
      </w:r>
      <w:r>
        <w:rPr>
          <w:rFonts w:ascii="Times New Roman;Times;serif" w:hAnsi="Times New Roman;Times;serif"/>
          <w:sz w:val="20"/>
          <w:shd w:fill="FFFFFF" w:val="clear"/>
        </w:rPr>
        <w:t>of state taxes,</w:t>
      </w:r>
      <w:r>
        <w:rPr>
          <w:rFonts w:ascii="Times New Roman;Times;serif" w:hAnsi="Times New Roman;Times;serif"/>
          <w:sz w:val="20"/>
        </w:rPr>
        <w:t xml:space="preserve"> the impact of non-tax deductible executive compensation, and the impact of lower stock compensation expense related to vesting of restricted stock awards deductible for tax as compared to the cumulative amount recorded as stock-based compensation expense, partially offset by a federal Work Opportunity Tax Credit benefit</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Recently Issued Accounting Pronouncements </w:t>
      </w:r>
    </w:p>
    <w:p>
      <w:pPr>
        <w:pStyle w:val="TextBody"/>
        <w:bidi w:val="0"/>
        <w:spacing w:before="24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December 2023, the Financial Accounting Standard Board (“FASB”) issued ASU No. 2023-09, “Income Taxes (Topic 740): Improvements to Income Tax Disclosures” (“ASU 2023-09”). ASU 2023-09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prospectively with the option of retrospective application. The Company is currently evaluating the impact of adopting ASU 2023-09 on its disclosures.</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November 2024, the FASB issued ASU No. 2024-03, “Income Statement Reporting Comprehensive Income/Expense Disaggregation Disclosures” (“ASU 2024-03”). ASU 2024-03 requires disaggregated disclosure of income statement expenses at interim and annual reporting periods. In January 2025, the FASB issued ASU No. 2025-01, “Income Statement—Reporting Comprehensive Income—Expense Disaggregation Disclosures: Clarifying the Effective Date”, which clarifies that the ASU 2024-03 is effective for fiscal year beginning after December 15, 2026, and interim periods beginning after December 15, 2027, with early adoption permitted. ASU 2024-03 can be adopted prospectively or retrospectively at the option of the Company. The Company is currently evaluating the impact of adopting ASU 2024-03 on its disclosures.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The Company reviewed all other recently issued accounting pronouncements and concluded that they were either not applicable or not expected to have a significant impact to the condensed consolidated financial statements.</w:t>
      </w:r>
    </w:p>
    <w:p>
      <w:pPr>
        <w:pStyle w:val="TextBody"/>
        <w:bidi w:val="0"/>
        <w:spacing w:before="240" w:after="240"/>
        <w:ind w:left="0" w:right="0" w:hanging="0"/>
        <w:jc w:val="left"/>
        <w:rPr>
          <w:rFonts w:ascii="Times New Roman;Times;serif" w:hAnsi="Times New Roman;Times;serif"/>
          <w:b/>
          <w:sz w:val="20"/>
        </w:rPr>
      </w:pPr>
      <w:bookmarkStart w:id="845" w:name="Tc_vrT2IheRNkSy3afG3P9zaw_5_5"/>
      <w:bookmarkStart w:id="846" w:name="Tc_p7UQS1dbLEC7n9lyhd7gTg_5_2"/>
      <w:bookmarkStart w:id="847" w:name="Tc_g9AxOP7ylUKUyPjhWC4kFQ_5_0"/>
      <w:bookmarkStart w:id="848" w:name="Tc_NOwE7BxiiUWwnhclzBhlvA_4_0"/>
      <w:bookmarkStart w:id="849" w:name="Tc_aUyR6mcOw0iYP2nn-RmYbw_3_0"/>
      <w:bookmarkStart w:id="850" w:name="Tc_NB-20hb_oEikzngH9wShbQ_2_5"/>
      <w:bookmarkStart w:id="851" w:name="Tc_l8uIaBlY-UGUj4bv763-_A_2_2"/>
      <w:bookmarkStart w:id="852" w:name="Tc_6rbedWwYRU224RyToIENsw_2_0"/>
      <w:bookmarkStart w:id="853" w:name="Tc_XLkUYsIMzkuc4ntrvywk_Q_1_5"/>
      <w:bookmarkStart w:id="854" w:name="Tc_5lBtj_U2O0OSL9QPt_Q8aw_1_2"/>
      <w:bookmarkStart w:id="855" w:name="_9aa12241_12c7_4b76_bda6_ee3dc220822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b/>
          <w:sz w:val="20"/>
        </w:rPr>
        <w:t>2. PREPAID EXPENSES AND OTHER CURRENT ASSETS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7674" w:type="dxa"/>
        <w:jc w:val="left"/>
        <w:tblInd w:w="0" w:type="dxa"/>
        <w:tblLayout w:type="fixed"/>
        <w:tblCellMar>
          <w:top w:w="0" w:type="dxa"/>
          <w:left w:w="0" w:type="dxa"/>
          <w:bottom w:w="0" w:type="dxa"/>
          <w:right w:w="0" w:type="dxa"/>
        </w:tblCellMar>
      </w:tblPr>
      <w:tblGrid>
        <w:gridCol w:w="3931"/>
        <w:gridCol w:w="326"/>
        <w:gridCol w:w="417"/>
        <w:gridCol w:w="1129"/>
        <w:gridCol w:w="326"/>
        <w:gridCol w:w="367"/>
        <w:gridCol w:w="1178"/>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96185" cy="175260"/>
                      <wp:effectExtent l="0" t="0" r="0" b="0"/>
                      <wp:wrapNone/>
                      <wp:docPr id="115" name="Frame11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4795" cy="175260"/>
                      <wp:effectExtent l="0" t="0" r="0" b="0"/>
                      <wp:wrapNone/>
                      <wp:docPr id="117" name="Frame11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16915" cy="175260"/>
                      <wp:effectExtent l="0" t="0" r="0" b="0"/>
                      <wp:wrapNone/>
                      <wp:docPr id="118" name="Frame118"/>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3045" cy="175260"/>
                      <wp:effectExtent l="0" t="0" r="0" b="0"/>
                      <wp:wrapNone/>
                      <wp:docPr id="120" name="Frame12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48030" cy="175260"/>
                      <wp:effectExtent l="0" t="0" r="0" b="0"/>
                      <wp:wrapNone/>
                      <wp:docPr id="121" name="Frame121"/>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25, 2024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2,574</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service fees</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5,509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6" w:name="Tc_RZmnhut_i0qMEza-TSZmdg_8_5"/>
      <w:bookmarkStart w:id="857" w:name="Tc_o2wTlEGdVE2zXT6fWw9B4w_8_2"/>
      <w:bookmarkStart w:id="858" w:name="Tc_eamy26IZA0aqtqmi0j6Kaw_8_0"/>
      <w:bookmarkStart w:id="859" w:name="Tc_60JARm3maUew9AFb8o0LCQ_7_0"/>
      <w:bookmarkStart w:id="860" w:name="Tc_SA7FA0ncNEKllv0riAoSDw_5_0"/>
      <w:bookmarkStart w:id="861" w:name="Tc_a7AwNPdnu0W6FgxAt9E5_g_4_0"/>
      <w:bookmarkStart w:id="862" w:name="Tc_7rBwt28yEUm7ePbLBvf7-Q_3_0"/>
      <w:bookmarkStart w:id="863" w:name="Tc_2tHhMGQH8EOrI1zguhw68A_2_5"/>
      <w:bookmarkStart w:id="864" w:name="Tc_KdmSctzeFk-3FJ6MbYJDOg_2_2"/>
      <w:bookmarkStart w:id="865" w:name="Tc_XiscsI5ZqEelCih0x80QJw_2_0"/>
      <w:bookmarkStart w:id="866" w:name="Tc_ERXYV_dtBU6aJA6Rvb6LjA_1_5"/>
      <w:bookmarkStart w:id="867" w:name="Tc_AXyYEZX9jU20d_JwSSTzDg_1_2"/>
      <w:bookmarkStart w:id="868" w:name="_18a3f819_26f2_4ccb_beee_6b08219d4cef"/>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Times New Roman;Times;serif" w:hAnsi="Times New Roman;Times;serif"/>
          <w:b/>
          <w:sz w:val="20"/>
        </w:rPr>
        <w:t>3.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costs and related accumulated depreciation and amortization of major classes of property and equipment are as follows (in thousands):</w:t>
      </w:r>
    </w:p>
    <w:p>
      <w:pPr>
        <w:pStyle w:val="TextBody"/>
        <w:bidi w:val="0"/>
        <w:spacing w:before="0" w:after="240"/>
        <w:ind w:left="0" w:right="0" w:hanging="0"/>
        <w:jc w:val="left"/>
        <w:rPr/>
      </w:pPr>
      <w:r>
        <w:rPr/>
        <w:t>​</w:t>
      </w:r>
    </w:p>
    <w:tbl>
      <w:tblPr>
        <w:tblW w:w="7854" w:type="dxa"/>
        <w:jc w:val="left"/>
        <w:tblInd w:w="0" w:type="dxa"/>
        <w:tblLayout w:type="fixed"/>
        <w:tblCellMar>
          <w:top w:w="0" w:type="dxa"/>
          <w:left w:w="0" w:type="dxa"/>
          <w:bottom w:w="0" w:type="dxa"/>
          <w:right w:w="0" w:type="dxa"/>
        </w:tblCellMar>
      </w:tblPr>
      <w:tblGrid>
        <w:gridCol w:w="4111"/>
        <w:gridCol w:w="326"/>
        <w:gridCol w:w="310"/>
        <w:gridCol w:w="1236"/>
        <w:gridCol w:w="326"/>
        <w:gridCol w:w="281"/>
        <w:gridCol w:w="1264"/>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10485" cy="175260"/>
                      <wp:effectExtent l="0" t="0" r="0" b="0"/>
                      <wp:wrapNone/>
                      <wp:docPr id="122" name="Frame122"/>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96850" cy="175260"/>
                      <wp:effectExtent l="0" t="0" r="0" b="0"/>
                      <wp:wrapNone/>
                      <wp:docPr id="124" name="Frame12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784860" cy="175260"/>
                      <wp:effectExtent l="0" t="0" r="0" b="0"/>
                      <wp:wrapNone/>
                      <wp:docPr id="125" name="Frame125"/>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8435" cy="175260"/>
                      <wp:effectExtent l="0" t="0" r="0" b="0"/>
                      <wp:wrapNone/>
                      <wp:docPr id="127" name="Frame12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802640" cy="175260"/>
                      <wp:effectExtent l="0" t="0" r="0" b="0"/>
                      <wp:wrapNone/>
                      <wp:docPr id="128" name="Frame128"/>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25, 2024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154,518</w:t>
            </w:r>
          </w:p>
        </w:tc>
        <w:tc>
          <w:tcPr>
            <w:tcW w:w="32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152,410</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property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94,586</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91,352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15,726</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9,882</w:t>
            </w:r>
          </w:p>
        </w:tc>
      </w:tr>
      <w:tr>
        <w:trPr/>
        <w:tc>
          <w:tcPr>
            <w:tcW w:w="41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277,153</w:t>
            </w:r>
          </w:p>
        </w:tc>
        <w:tc>
          <w:tcPr>
            <w:tcW w:w="326" w:type="dxa"/>
            <w:tcBorders/>
            <w:shd w:fill="CCEEFF" w:val="clear"/>
            <w:vAlign w:val="center"/>
          </w:tcPr>
          <w:p>
            <w:pPr>
              <w:pStyle w:val="TableContents"/>
              <w:bidi w:val="0"/>
              <w:spacing w:before="0" w:after="0"/>
              <w:ind w:left="0" w:right="0" w:hanging="0"/>
              <w:jc w:val="left"/>
              <w:rPr/>
            </w:pPr>
            <w:r>
              <w:rPr/>
              <w:t> </w:t>
            </w:r>
          </w:p>
        </w:tc>
        <w:tc>
          <w:tcPr>
            <w:tcW w:w="281" w:type="dxa"/>
            <w:tcBorders/>
            <w:shd w:fill="CCEEFF" w:val="clear"/>
            <w:vAlign w:val="center"/>
          </w:tcPr>
          <w:p>
            <w:pPr>
              <w:pStyle w:val="TableContents"/>
              <w:bidi w:val="0"/>
              <w:spacing w:before="0" w:after="0"/>
              <w:ind w:left="0" w:right="0" w:hanging="0"/>
              <w:jc w:val="left"/>
              <w:rPr/>
            </w:pPr>
            <w:r>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265,967</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(188,260)</w:t>
            </w:r>
          </w:p>
        </w:tc>
        <w:tc>
          <w:tcPr>
            <w:tcW w:w="326" w:type="dxa"/>
            <w:tcBorders/>
            <w:vAlign w:val="center"/>
          </w:tcPr>
          <w:p>
            <w:pPr>
              <w:pStyle w:val="TableContents"/>
              <w:bidi w:val="0"/>
              <w:spacing w:before="0" w:after="0"/>
              <w:ind w:left="0" w:right="0" w:hanging="0"/>
              <w:jc w:val="left"/>
              <w:rPr/>
            </w:pPr>
            <w:r>
              <w:rPr/>
              <w:t> </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(179,818)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88,893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86,149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expense was </w:t>
      </w:r>
      <w:r>
        <w:rPr>
          <w:rFonts w:ascii="Times New Roman;Times;serif" w:hAnsi="Times New Roman;Times;serif"/>
          <w:sz w:val="20"/>
          <w:shd w:fill="FFFFFF" w:val="clear"/>
        </w:rPr>
        <w:t xml:space="preserve">$4.0 million </w:t>
      </w:r>
      <w:r>
        <w:rPr>
          <w:rFonts w:ascii="Times New Roman;Times;serif" w:hAnsi="Times New Roman;Times;serif"/>
          <w:sz w:val="20"/>
        </w:rPr>
        <w:t>for both the thirteen weeks ended September 24, 2025 and September 25, 2024, and $11.8 million for both the thirty-nine weeks ended September 24, 2025 and September 25,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Company’s review of its property and equipment assets for impairment, the Company did not record any non-cash impairment charges for the thirteen and thirty-nine weeks ended September 24, 2025 and September 25, 2024. See Note 1, “Basis of Presentation and Summary of Significant Accounting Policies – Impairment of Property and Equipment and ROU Assets” for additional information.</w:t>
      </w:r>
    </w:p>
    <w:p>
      <w:pPr>
        <w:pStyle w:val="TextBody"/>
        <w:bidi w:val="0"/>
        <w:spacing w:before="0" w:after="240"/>
        <w:ind w:left="0" w:right="0" w:hanging="0"/>
        <w:jc w:val="left"/>
        <w:rPr>
          <w:rFonts w:ascii="Times New Roman;Times;serif" w:hAnsi="Times New Roman;Times;serif"/>
          <w:b/>
          <w:sz w:val="20"/>
        </w:rPr>
      </w:pPr>
      <w:bookmarkStart w:id="869" w:name="Tc_tlKS6jXzKkm5BYHcPFo7pg_10_10"/>
      <w:bookmarkStart w:id="870" w:name="Tc_1b6RoStVsEWd8R6KSyIpIQ_10_4"/>
      <w:bookmarkStart w:id="871" w:name="Tc_HXbmeqhlykWtR7GKW0om5w_10_0"/>
      <w:bookmarkStart w:id="872" w:name="Tc_RpWHEIvY7kmFXCpz4ba9XQ_9_10"/>
      <w:bookmarkStart w:id="873" w:name="Tc_Suuf5nqyg0uljTgnTgSmfA_9_4"/>
      <w:bookmarkStart w:id="874" w:name="Tc_ZySFG4yWIkaodRhEOJGLUw_9_0"/>
      <w:bookmarkStart w:id="875" w:name="Tc_pVVSSpEbIkCE3JhXmrEFGQ_8_10"/>
      <w:bookmarkStart w:id="876" w:name="Tc_n44dcCmXsUWkUHkPD7doYQ_8_4"/>
      <w:bookmarkStart w:id="877" w:name="Tc_rxm3o8F0N0qymqnBVNUVSw_8_0"/>
      <w:bookmarkStart w:id="878" w:name="Tc_K4JfA0Jcc0SkvCmQGVW0zw_7_0"/>
      <w:bookmarkStart w:id="879" w:name="Tc_rX07Q3NyzkuKDZWDOUo4DA_6_0"/>
      <w:bookmarkStart w:id="880" w:name="Tc_uv9vknEplEClHX-1hxobVw_5_0"/>
      <w:bookmarkStart w:id="881" w:name="Tc_aLRdKtuh-UOCgpvZlTpeig_4_4"/>
      <w:bookmarkStart w:id="882" w:name="Tc_ajze4CFlIUujppOjLy1ZYw_4_0"/>
      <w:bookmarkStart w:id="883" w:name="Tc_JPLY2JX2T0mU_EBR1hSAYw_3_10"/>
      <w:bookmarkStart w:id="884" w:name="Tc__uFa_YBTUEeTkPNkPDCBtw_3_7"/>
      <w:bookmarkStart w:id="885" w:name="Tc_M8beQLkLZ0CgpNhw-_HHMw_3_4"/>
      <w:bookmarkStart w:id="886" w:name="Tc_QjBl3Ai2pkKkgIKEDFKwAg_3_2"/>
      <w:bookmarkStart w:id="887" w:name="Tc_RntoG4XxD0Cdy37e_VBXHw_2_10"/>
      <w:bookmarkStart w:id="888" w:name="Tc_pHaeSBpYakiPA3JXVEoHug_2_7"/>
      <w:bookmarkStart w:id="889" w:name="Tc__AhZYTl4HkateKQt6YG3Ew_2_4"/>
      <w:bookmarkStart w:id="890" w:name="Tc_xRQtRxqwSUi5bJw83YR0Bg_1_10"/>
      <w:bookmarkStart w:id="891" w:name="Tc_FvVHl_fNAkO7wx_DvcevWw_1_7"/>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4.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Company’s 2018 Omnibus Equity Incentive Plan (as amended, the “Incentive Plan”), the Company grants stock options (“options”), restricted stock units, performance-based restricted stock units (“PSUs”) and restricted stock to the Company’s employees, officers, directors, and other eligible participants. On May 29, 2025, the Company’s stockholders approved an amendment to the Incentive Plan, under which the new aggregate share limit was increased by 1,250,000 shares for a total of 4,500,000 shares. As of September 24, 2025, 1,425,040 shares of common stock remained available for issuance under the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was $1.4 million and </w:t>
      </w:r>
      <w:r>
        <w:rPr>
          <w:rFonts w:ascii="Times New Roman;Times;serif" w:hAnsi="Times New Roman;Times;serif"/>
          <w:sz w:val="20"/>
          <w:shd w:fill="FFFFFF" w:val="clear"/>
        </w:rPr>
        <w:t xml:space="preserve">$4.1 million </w:t>
      </w:r>
      <w:r>
        <w:rPr>
          <w:rFonts w:ascii="Times New Roman;Times;serif" w:hAnsi="Times New Roman;Times;serif"/>
          <w:sz w:val="20"/>
        </w:rPr>
        <w:t xml:space="preserve">for the thirteen and thirty-nine weeks ended September 24, 2025, </w:t>
      </w:r>
      <w:r>
        <w:rPr>
          <w:rFonts w:ascii="Times New Roman;Times;serif" w:hAnsi="Times New Roman;Times;serif"/>
          <w:sz w:val="20"/>
          <w:shd w:fill="FFFFFF" w:val="clear"/>
        </w:rPr>
        <w:t>and $1.1 million and $2.9 million for the thirteen and thirty-nine weeks ended September 25,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24, 2025, options to purchase 1,414,613 shares of common stock were outstanding, including 461,847 vested and 952,766 unvested options. Unvested options vest over time; however, pursuant to the Incentive Plan, upon a change in control, the Company’s Board of Directors (the “Board”) may accelerate vesting. A summary of stock option activity at September 24, 2025 and changes during the thirty-nine weeks ended September 24,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81"/>
        <w:gridCol w:w="326"/>
        <w:gridCol w:w="931"/>
        <w:gridCol w:w="326"/>
        <w:gridCol w:w="396"/>
        <w:gridCol w:w="1075"/>
        <w:gridCol w:w="146"/>
        <w:gridCol w:w="278"/>
        <w:gridCol w:w="1193"/>
        <w:gridCol w:w="146"/>
        <w:gridCol w:w="375"/>
        <w:gridCol w:w="832"/>
      </w:tblGrid>
      <w:tr>
        <w:trPr/>
        <w:tc>
          <w:tcPr>
            <w:tcW w:w="4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654935" cy="175260"/>
                      <wp:effectExtent l="0" t="0" r="0" b="0"/>
                      <wp:wrapNone/>
                      <wp:docPr id="129" name="Frame129"/>
                      <a:graphic xmlns:a="http://schemas.openxmlformats.org/drawingml/2006/main">
                        <a:graphicData uri="http://schemas.microsoft.com/office/word/2010/wordprocessingShape">
                          <wps:wsp>
                            <wps:cNvSpPr txBox="1"/>
                            <wps:spPr>
                              <a:xfrm>
                                <a:off x="0" y="0"/>
                                <a:ext cx="265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91185" cy="175260"/>
                      <wp:effectExtent l="0" t="0" r="0" b="0"/>
                      <wp:wrapNone/>
                      <wp:docPr id="131" name="Frame1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51460" cy="175260"/>
                      <wp:effectExtent l="0" t="0" r="0" b="0"/>
                      <wp:wrapNone/>
                      <wp:docPr id="133" name="Frame13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82625" cy="175260"/>
                      <wp:effectExtent l="0" t="0" r="0" b="0"/>
                      <wp:wrapNone/>
                      <wp:docPr id="134" name="Frame134"/>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2710" cy="175260"/>
                      <wp:effectExtent l="0" t="0" r="0" b="0"/>
                      <wp:wrapNone/>
                      <wp:docPr id="135" name="Frame1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6530" cy="175260"/>
                      <wp:effectExtent l="0" t="0" r="0" b="0"/>
                      <wp:wrapNone/>
                      <wp:docPr id="136" name="Frame13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57555" cy="175260"/>
                      <wp:effectExtent l="0" t="0" r="0" b="0"/>
                      <wp:wrapNone/>
                      <wp:docPr id="137" name="Frame137"/>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2710" cy="175260"/>
                      <wp:effectExtent l="0" t="0" r="0" b="0"/>
                      <wp:wrapNone/>
                      <wp:docPr id="138" name="Frame1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8125" cy="175260"/>
                      <wp:effectExtent l="0" t="0" r="0" b="0"/>
                      <wp:wrapNone/>
                      <wp:docPr id="139" name="Frame13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28320" cy="175260"/>
                      <wp:effectExtent l="0" t="0" r="0" b="0"/>
                      <wp:wrapNone/>
                      <wp:docPr id="140" name="Frame14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left"/>
              <w:rPr/>
            </w:pPr>
            <w:r>
              <w:rPr/>
              <w:t> </w:t>
            </w:r>
          </w:p>
        </w:tc>
        <w:tc>
          <w:tcPr>
            <w:tcW w:w="12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4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Contractual Life</w:t>
            </w:r>
          </w:p>
        </w:tc>
        <w:tc>
          <w:tcPr>
            <w:tcW w:w="146" w:type="dxa"/>
            <w:tcBorders/>
            <w:vAlign w:val="center"/>
          </w:tcPr>
          <w:p>
            <w:pPr>
              <w:pStyle w:val="TableContents"/>
              <w:bidi w:val="0"/>
              <w:spacing w:before="0" w:after="1"/>
              <w:ind w:left="0" w:right="0" w:hanging="0"/>
              <w:jc w:val="left"/>
              <w:rPr/>
            </w:pPr>
            <w:r>
              <w:rPr/>
              <w:t> </w:t>
            </w:r>
          </w:p>
        </w:tc>
        <w:tc>
          <w:tcPr>
            <w:tcW w:w="12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4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46" w:type="dxa"/>
            <w:tcBorders/>
            <w:vAlign w:val="center"/>
          </w:tcPr>
          <w:p>
            <w:pPr>
              <w:pStyle w:val="TableContents"/>
              <w:bidi w:val="0"/>
              <w:spacing w:before="0" w:after="1"/>
              <w:ind w:left="0" w:right="0" w:hanging="0"/>
              <w:jc w:val="center"/>
              <w:rPr/>
            </w:pPr>
            <w:r>
              <w:rPr/>
              <w:t> </w:t>
            </w:r>
          </w:p>
        </w:tc>
        <w:tc>
          <w:tcPr>
            <w:tcW w:w="14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4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25,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1,098,320</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512,445</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(54,353)</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cancelled or expired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(141,799)</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September 24, 2025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1,414,613</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7.71</w:t>
            </w:r>
          </w:p>
        </w:tc>
        <w:tc>
          <w:tcPr>
            <w:tcW w:w="1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286</w:t>
            </w:r>
          </w:p>
        </w:tc>
      </w:tr>
      <w:tr>
        <w:trPr/>
        <w:tc>
          <w:tcPr>
            <w:tcW w:w="4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September 24, 2025</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1,400,218</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1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7.70</w:t>
            </w:r>
          </w:p>
        </w:tc>
        <w:tc>
          <w:tcPr>
            <w:tcW w:w="1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285</w:t>
            </w:r>
          </w:p>
        </w:tc>
      </w:tr>
      <w:tr>
        <w:trPr/>
        <w:tc>
          <w:tcPr>
            <w:tcW w:w="4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September 24, 2025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461,847</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w:t>
            </w:r>
          </w:p>
        </w:tc>
        <w:tc>
          <w:tcPr>
            <w:tcW w:w="1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5.10</w:t>
            </w:r>
          </w:p>
        </w:tc>
        <w:tc>
          <w:tcPr>
            <w:tcW w:w="1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fair value of each stock option was estimated on the grant date using an exercise price of the closing stock price on the day prior to date of grant and the Black-Scholes option-pricing model with the following weighted average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92" w:name="Tc_iMDGwbWidEqcDiajoN7tLA_7_4"/>
      <w:bookmarkStart w:id="893" w:name="Tc_4eepNN0Du0mu8UEYgNhl1A_7_0"/>
      <w:bookmarkStart w:id="894" w:name="Tc_Noflga3_5EGRtBWMrKyoUQ_6_4"/>
      <w:bookmarkStart w:id="895" w:name="Tc_x38mJuFlG0CFeBouMU5FRg_6_0"/>
      <w:bookmarkStart w:id="896" w:name="Tc_PglfGU6BSEaB9pWIgUNJ2A_5_4"/>
      <w:bookmarkStart w:id="897" w:name="Tc_QzoePY1w8E6fe9jON19xyA_5_0"/>
      <w:bookmarkStart w:id="898" w:name="Tc_VOW_Q0bMnkG9xgbiGs1XSQ_4_4"/>
      <w:bookmarkStart w:id="899" w:name="Tc_rPMlimB4VkuDLb-oUhljRA_4_0"/>
      <w:bookmarkStart w:id="900" w:name="Tc_sp0f0663ck62jSlHr5XxDQ_3_4"/>
      <w:bookmarkStart w:id="901" w:name="Tc_Jg-iD5aXRkmm9c_j7RxFLA_3_0"/>
      <w:bookmarkStart w:id="902" w:name="Tc_pnWlsnvp1Em9VvKcGtpOOA_2_4"/>
      <w:bookmarkStart w:id="903" w:name="Tc_OEF7yiNOL0ue5r7KM_la-Q_2_2"/>
      <w:bookmarkStart w:id="904" w:name="Tc_DEKnC7wG_UO9PoZlX_4w6Q_1_4"/>
      <w:bookmarkStart w:id="905" w:name="Tc_n_xn2kPWlk-K0NmaNvvuLw_5_4"/>
      <w:bookmarkStart w:id="906" w:name="Tc_B-oFEx6x8USm0thHemsxxg_5_2"/>
      <w:bookmarkStart w:id="907" w:name="Tc_F5AIvvoGLUeqvj_Kq24giQ_5_0"/>
      <w:bookmarkStart w:id="908" w:name="Tc_4CKWRP6wBk-KSuJfqaimGA_4_0"/>
      <w:bookmarkStart w:id="909" w:name="Tc_ylzVdNQStESsKt1jwlPiaQ_3_5"/>
      <w:bookmarkStart w:id="910" w:name="Tc_0_Dih1KWfkKvQzhNLzHGQA_3_3"/>
      <w:bookmarkStart w:id="911" w:name="Tc_eV_ZP_U1gkmIyLdlaSUi9A_3_0"/>
      <w:bookmarkStart w:id="912" w:name="Tc_LQIbY4TxCkyT_NlJ9OzTUA_2_5"/>
      <w:bookmarkStart w:id="913" w:name="Tc_IPtsqo8sp0Gf07yln1Wkrg_2_3"/>
      <w:bookmarkStart w:id="914" w:name="Tc_2FenUdGvCEiDHKFD7SodEw_2_0"/>
      <w:bookmarkStart w:id="915" w:name="Tc_M_eZlJNSeUOfgtz1Of9pWQ_1_4"/>
      <w:bookmarkStart w:id="916" w:name="Tc_wy3H3LbqrUqluraZ3EFbuw_1_2"/>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t>​</w:t>
      </w:r>
    </w:p>
    <w:tbl>
      <w:tblPr>
        <w:tblW w:w="5971" w:type="dxa"/>
        <w:jc w:val="left"/>
        <w:tblInd w:w="0" w:type="dxa"/>
        <w:tblLayout w:type="fixed"/>
        <w:tblCellMar>
          <w:top w:w="0" w:type="dxa"/>
          <w:left w:w="0" w:type="dxa"/>
          <w:bottom w:w="0" w:type="dxa"/>
          <w:right w:w="0" w:type="dxa"/>
        </w:tblCellMar>
      </w:tblPr>
      <w:tblGrid>
        <w:gridCol w:w="1876"/>
        <w:gridCol w:w="326"/>
        <w:gridCol w:w="1546"/>
        <w:gridCol w:w="361"/>
        <w:gridCol w:w="1546"/>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191260" cy="175260"/>
                      <wp:effectExtent l="0" t="0" r="0" b="0"/>
                      <wp:wrapNone/>
                      <wp:docPr id="141" name="Frame141"/>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81710" cy="175260"/>
                      <wp:effectExtent l="0" t="0" r="0" b="0"/>
                      <wp:wrapNone/>
                      <wp:docPr id="143" name="Frame14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29235" cy="175260"/>
                      <wp:effectExtent l="0" t="0" r="0" b="0"/>
                      <wp:wrapNone/>
                      <wp:docPr id="144" name="Frame1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81710" cy="175260"/>
                      <wp:effectExtent l="0" t="0" r="0" b="0"/>
                      <wp:wrapNone/>
                      <wp:docPr id="145" name="Frame145"/>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6" name="Frame1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16" w:type="dxa"/>
            <w:tcBorders/>
            <w:vAlign w:val="center"/>
          </w:tcPr>
          <w:p>
            <w:pPr>
              <w:pStyle w:val="TableContents"/>
              <w:bidi w:val="0"/>
              <w:spacing w:before="0" w:after="1"/>
              <w:ind w:left="0" w:right="0" w:hanging="0"/>
              <w:jc w:val="left"/>
              <w:rPr/>
            </w:pPr>
            <w:r>
              <w:rPr/>
              <w:t> </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361"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dividends</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September 24, 2025, the Company had total unrecognized compensation expense of $4.0 million related to unvested stock options, which it expects to recognize over a weighted-average period of 2.51 years.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Restricted Shares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restricted share activity as of September 24, 2025 and changes during the thirty-nine weeks ended September 24, 2025 is as follows:</w:t>
      </w:r>
    </w:p>
    <w:p>
      <w:pPr>
        <w:pStyle w:val="TextBody"/>
        <w:bidi w:val="0"/>
        <w:spacing w:before="0" w:after="0"/>
        <w:ind w:left="0" w:right="0" w:hanging="0"/>
        <w:jc w:val="left"/>
        <w:rPr/>
      </w:pPr>
      <w:r>
        <w:rPr/>
        <w:t>​</w:t>
      </w:r>
    </w:p>
    <w:tbl>
      <w:tblPr>
        <w:tblW w:w="6355" w:type="dxa"/>
        <w:jc w:val="left"/>
        <w:tblInd w:w="0" w:type="dxa"/>
        <w:tblLayout w:type="fixed"/>
        <w:tblCellMar>
          <w:top w:w="0" w:type="dxa"/>
          <w:left w:w="0" w:type="dxa"/>
          <w:bottom w:w="0" w:type="dxa"/>
          <w:right w:w="0" w:type="dxa"/>
        </w:tblCellMar>
      </w:tblPr>
      <w:tblGrid>
        <w:gridCol w:w="3286"/>
        <w:gridCol w:w="326"/>
        <w:gridCol w:w="901"/>
        <w:gridCol w:w="326"/>
        <w:gridCol w:w="360"/>
        <w:gridCol w:w="115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86610" cy="175260"/>
                      <wp:effectExtent l="0" t="0" r="0" b="0"/>
                      <wp:wrapNone/>
                      <wp:docPr id="147" name="Frame147"/>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2135" cy="175260"/>
                      <wp:effectExtent l="0" t="0" r="0" b="0"/>
                      <wp:wrapNone/>
                      <wp:docPr id="149" name="Frame14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28600" cy="175260"/>
                      <wp:effectExtent l="0" t="0" r="0" b="0"/>
                      <wp:wrapNone/>
                      <wp:docPr id="151" name="Frame1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34060" cy="175260"/>
                      <wp:effectExtent l="0" t="0" r="0" b="0"/>
                      <wp:wrapNone/>
                      <wp:docPr id="152" name="Frame15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December 25, 2024</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708,377</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404,701</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(258,529)</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cancelled</w:t>
            </w:r>
          </w:p>
        </w:tc>
        <w:tc>
          <w:tcPr>
            <w:tcW w:w="32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(86,359)</w:t>
            </w:r>
          </w:p>
        </w:tc>
        <w:tc>
          <w:tcPr>
            <w:tcW w:w="326"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September 24, 2025</w:t>
            </w:r>
          </w:p>
        </w:tc>
        <w:tc>
          <w:tcPr>
            <w:tcW w:w="32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768,190</w:t>
            </w:r>
          </w:p>
        </w:tc>
        <w:tc>
          <w:tcPr>
            <w:tcW w:w="326"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Unvested shares at September 24, 2025, included 737,936 unvested restricted shares and 30,254 performance-based restricted stock units that have been earned based on performance targets but still unvested.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24, 2025, the Company had unrecognized compensation expense of $6.0 million related to unvested restricted shares, which it expects to recognize over a weighted-average period of 2.29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Performance-Based 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thirty-nine weeks ended September 24, 2025, the Company granted 159,948 restricted stock units under the Incentive Plan subject to performance-based vesting conditions based on revenue and restaurant contribution margin to certain officers. PSUs have a grant date fair value of $10.42 and a vesting period from the grant date through the date the audit of the Company's fiscal 2027 financial results is expected to be completed. During the thirty-nine weeks ended September 24, 2025, 11,996 PSUs were forfeited. The fair value of PSUs are expensed based on management's current estimate of the level that the performance goal will be achieved. As of September 24, 2025, based on the target level of performance, the total unrecognized compensation expense related to unvested PSUs was $1.4 million, which is expected to be recognized over a weighted-average period of 2.45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was $1.4 million and </w:t>
      </w:r>
      <w:r>
        <w:rPr>
          <w:rFonts w:ascii="Times New Roman;Times;serif" w:hAnsi="Times New Roman;Times;serif"/>
          <w:sz w:val="20"/>
          <w:shd w:fill="FFFFFF" w:val="clear"/>
        </w:rPr>
        <w:t xml:space="preserve">$4.1 million </w:t>
      </w:r>
      <w:r>
        <w:rPr>
          <w:rFonts w:ascii="Times New Roman;Times;serif" w:hAnsi="Times New Roman;Times;serif"/>
          <w:sz w:val="20"/>
        </w:rPr>
        <w:t xml:space="preserve">for the thirteen and thirty-nine weeks ended September 24, 2025, </w:t>
      </w:r>
      <w:r>
        <w:rPr>
          <w:rFonts w:ascii="Times New Roman;Times;serif" w:hAnsi="Times New Roman;Times;serif"/>
          <w:sz w:val="20"/>
          <w:shd w:fill="FFFFFF" w:val="clear"/>
        </w:rPr>
        <w:t>and $1.1 million and $2.9 million for the thirteen and thirty-nine weeks ended September 25, 2024.</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Share Repurchases</w:t>
      </w:r>
    </w:p>
    <w:p>
      <w:pPr>
        <w:pStyle w:val="TextBody"/>
        <w:pBdr/>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Share Repurchase Program</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November 2, 2023, the Company announced that the Board approved a share repurchase program (“Share Repurchase Program”) under which the Company was authorized to repurchase up to $20,000,000 of shares of the Company’s common stock. Under the Share Repurchase Program, the Company was permitted to repurchase its common stock from time to time, in amounts and at prices that the Company deemed appropriate, subject to market conditions and other considerations. Pursuant to the Share Repurchase Program, the Company was authorized to effect repurchases using open market purchases, including pursuant to Rule 10b5-1 trading plans, and/or through privately negotiated transactions. The Share Repurchase Program did not obligate the Company to acquire any particular number of shares. The Share Repurchase Program expired on March 31, 2025.</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did not repurchase any shares of its common stock during the thirteen weeks ended September 24, 2025. For the thirty-nine weeks ended September 24, 2025, the Company repurchased 163,229 shares of common stock under the Share Repurchase Program, using open market purchases, for total consideration of $1.8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 xml:space="preserve">For the thirteen and thirty-nine weeks ended September 25, 2024, the Company repurchased 92,043 and 431,926 shares of common stock, respectively, under the Share Repurchase Program, using open market purchases, for total consideration of approximately $1.1 million and $4.3 million, respectively.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Share Repurchases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color w:val="212529"/>
          <w:sz w:val="20"/>
        </w:rPr>
        <w:t>During the thirty-nine week period ended September 25, 2024, the Company repurchased </w:t>
      </w:r>
      <w:r>
        <w:rPr>
          <w:rFonts w:ascii="revert-layer" w:hAnsi="revert-layer"/>
          <w:color w:val="212529"/>
          <w:sz w:val="20"/>
        </w:rPr>
        <w:t>1,534,303</w:t>
      </w:r>
      <w:r>
        <w:rPr>
          <w:rFonts w:ascii="Times New Roman;Times;serif" w:hAnsi="Times New Roman;Times;serif"/>
          <w:color w:val="212529"/>
          <w:sz w:val="20"/>
        </w:rPr>
        <w:t> shares for a total purchase price of $</w:t>
      </w:r>
      <w:r>
        <w:rPr>
          <w:rFonts w:ascii="revert-layer" w:hAnsi="revert-layer"/>
          <w:color w:val="212529"/>
          <w:sz w:val="20"/>
        </w:rPr>
        <w:t>15.0</w:t>
      </w:r>
      <w:r>
        <w:rPr>
          <w:rFonts w:ascii="Times New Roman;Times;serif" w:hAnsi="Times New Roman;Times;serif"/>
          <w:color w:val="212529"/>
          <w:sz w:val="20"/>
        </w:rPr>
        <w:t> million under the Stock Repurchase Agreement with FS Equity Partners V, L.P. and FS Affiliates V, L.P.</w:t>
      </w:r>
    </w:p>
    <w:p>
      <w:pPr>
        <w:pStyle w:val="TextBody"/>
        <w:bidi w:val="0"/>
        <w:spacing w:before="0" w:after="240"/>
        <w:ind w:left="0" w:right="0" w:hanging="0"/>
        <w:jc w:val="left"/>
        <w:rPr>
          <w:rFonts w:ascii="Times New Roman;Times;serif" w:hAnsi="Times New Roman;Times;serif"/>
          <w:b/>
          <w:sz w:val="20"/>
        </w:rPr>
      </w:pPr>
      <w:bookmarkStart w:id="917" w:name="_Hlk149133354"/>
      <w:bookmarkStart w:id="918" w:name="_Hlk117778221"/>
      <w:bookmarkEnd w:id="917"/>
      <w:bookmarkEnd w:id="918"/>
      <w:r>
        <w:rPr>
          <w:rFonts w:ascii="Times New Roman;Times;serif" w:hAnsi="Times New Roman;Times;serif"/>
          <w:b/>
          <w:sz w:val="20"/>
        </w:rPr>
        <w:t>5. LONG-TERM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27, 2022, the Company entered into a credit agreement (the “2022 Credit Agreement”) among EPL, as borrower, the Company and Intermediate, as guarantors, Bank of America, N.A., as administrative agent, swingline lender, and letter of credit issuer, the lenders party thereto, and the other parties thereto, to refinance its $150.0 million five-year senior secured revolving credit facility (the “2022 Revolver”).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2022 Revolver includes a sub limit of $15.0 million for letters of credit and a sub limit of $15.0 million for swingline loans.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 subject to certain customary 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and (ii)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w:t>
      </w:r>
      <w:r>
        <w:rPr>
          <w:rFonts w:ascii="Times New Roman;Times;serif" w:hAnsi="Times New Roman;Times;serif"/>
          <w:sz w:val="20"/>
          <w:shd w:fill="FFFFFF" w:val="clear"/>
        </w:rPr>
        <w:t xml:space="preserve"> 5.63% to 5.96% and 5.63% to 7.75% </w:t>
      </w:r>
      <w:r>
        <w:rPr>
          <w:rFonts w:ascii="Times New Roman;Times;serif" w:hAnsi="Times New Roman;Times;serif"/>
          <w:sz w:val="20"/>
        </w:rPr>
        <w:t>for the thirteen and thirty-nine weeks ended September 24, 2025, respectively, and</w:t>
      </w:r>
      <w:r>
        <w:rPr>
          <w:rFonts w:ascii="Times New Roman;Times;serif" w:hAnsi="Times New Roman;Times;serif"/>
          <w:sz w:val="20"/>
          <w:shd w:fill="FFFFFF" w:val="clear"/>
        </w:rPr>
        <w:t xml:space="preserve"> 6.52% to 6.95% and 6.52% to 6.96% </w:t>
      </w:r>
      <w:r>
        <w:rPr>
          <w:rFonts w:ascii="Times New Roman;Times;serif" w:hAnsi="Times New Roman;Times;serif"/>
          <w:sz w:val="20"/>
        </w:rPr>
        <w:t>for the thirteen and thirty-nine weeks ended September 25, 2024</w:t>
      </w:r>
      <w:r>
        <w:rPr>
          <w:rFonts w:ascii="Times New Roman;Times;serif" w:hAnsi="Times New Roman;Times;serif"/>
          <w:sz w:val="20"/>
          <w:shd w:fill="FFFFFF" w:val="clear"/>
        </w:rPr>
        <w:t>,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customary financial covenants, subject to certain exceptions. The Company was in compliance with the financial covenants as of September 24,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24, 2025, the Company had $61.0 million in outstanding borrowings under the 2022 Revolver and two letters of credit in the amount of $10.3 million outstanding, and as a result, the Company had $78.7 million in borrowing availability.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thirty-nine weeks ended September 24, 2025, the Company borrowed $1.0 million and $9.0 million, respectively, and paid down $9.0 million and $19.0 million, respectively, on the 2022 Revolver. During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thirteen and thirty-nine weeks ended September 25, 2024, the Company paid down $11.0 million and $22.0 million, respectively, on the 2022 Revolver. During the thirty-nine weeks ended September 25, 2024, the Company borrowed $14.0 million on the 2022 Revolver. There are no required principal payments prior to maturity of the 2022 Revolver on July 27, 2027.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OTHER ACCRUED EXPENSES AND CURRENT LIABILITIES</w:t>
      </w:r>
    </w:p>
    <w:p>
      <w:pPr>
        <w:pStyle w:val="TextBody"/>
        <w:bidi w:val="0"/>
        <w:spacing w:before="0" w:after="240"/>
        <w:ind w:left="0" w:right="0" w:hanging="0"/>
        <w:jc w:val="left"/>
        <w:rPr>
          <w:rFonts w:ascii="Times New Roman;Times;serif" w:hAnsi="Times New Roman;Times;serif"/>
          <w:sz w:val="20"/>
        </w:rPr>
      </w:pPr>
      <w:bookmarkStart w:id="919" w:name="Tc_F6RwD5R3aEuc-YFFCiZf7w_9_5"/>
      <w:bookmarkStart w:id="920" w:name="Tc_Y5R2P-GHJkylz9dfmevX8g_9_2"/>
      <w:bookmarkStart w:id="921" w:name="Tc_uU6Xzb9VAEizRgtpw69Aog_9_0"/>
      <w:bookmarkStart w:id="922" w:name="Tc__pLugboXA0m__W1a00BVRA_8_0"/>
      <w:bookmarkStart w:id="923" w:name="Tc_wsIkZjfqAE-ki24WXEaHhA_7_0"/>
      <w:bookmarkStart w:id="924" w:name="Tc_vWQEqYhq3EGy-9RQ83kamQ_6_0"/>
      <w:bookmarkStart w:id="925" w:name="Tc_tz94aW3gQUagzC9B-Pyqaw_5_0"/>
      <w:bookmarkStart w:id="926" w:name="Tc_4dbmCvivukO1MYoDao5bCg_4_0"/>
      <w:bookmarkStart w:id="927" w:name="Tc_6njaR8PuUEaYnfIHS1R0rQ_3_0"/>
      <w:bookmarkStart w:id="928" w:name="Tc__yvr2JgQbEuedWG3yHtDsg_2_5"/>
      <w:bookmarkStart w:id="929" w:name="Tc_MQP30SqcxEG4QwRUSwUpcw_2_2"/>
      <w:bookmarkStart w:id="930" w:name="Tc_vl87a7zZP0G8sry8Ye8LMA_2_0"/>
      <w:bookmarkStart w:id="931" w:name="Tc_xLOIAx6Z4kaoZsJ2ZWfJ4g_1_5"/>
      <w:bookmarkStart w:id="932" w:name="Tc_4yCyZ9ee-EmCGd0OY22eWg_1_2"/>
      <w:bookmarkStart w:id="933" w:name="_38d594b6_2f46_445d_b4e2_ece16498b2ac"/>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Pr>
          <w:rFonts w:ascii="Times New Roman;Times;serif" w:hAnsi="Times New Roman;Times;serif"/>
          <w:sz w:val="20"/>
        </w:rPr>
        <w:t>Other accrued expenses and current liabilities consist of the following (in thousands):</w:t>
      </w:r>
    </w:p>
    <w:tbl>
      <w:tblPr>
        <w:tblW w:w="8004" w:type="dxa"/>
        <w:jc w:val="left"/>
        <w:tblInd w:w="0" w:type="dxa"/>
        <w:tblLayout w:type="fixed"/>
        <w:tblCellMar>
          <w:top w:w="0" w:type="dxa"/>
          <w:left w:w="0" w:type="dxa"/>
          <w:bottom w:w="0" w:type="dxa"/>
          <w:right w:w="0" w:type="dxa"/>
        </w:tblCellMar>
      </w:tblPr>
      <w:tblGrid>
        <w:gridCol w:w="4261"/>
        <w:gridCol w:w="326"/>
        <w:gridCol w:w="367"/>
        <w:gridCol w:w="1179"/>
        <w:gridCol w:w="326"/>
        <w:gridCol w:w="327"/>
        <w:gridCol w:w="1218"/>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05735" cy="175260"/>
                      <wp:effectExtent l="0" t="0" r="0" b="0"/>
                      <wp:wrapNone/>
                      <wp:docPr id="153" name="Frame153"/>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33045" cy="175260"/>
                      <wp:effectExtent l="0" t="0" r="0" b="0"/>
                      <wp:wrapNone/>
                      <wp:docPr id="155" name="Frame15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48665" cy="175260"/>
                      <wp:effectExtent l="0" t="0" r="0" b="0"/>
                      <wp:wrapNone/>
                      <wp:docPr id="156" name="Frame15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645" cy="175260"/>
                      <wp:effectExtent l="0" t="0" r="0" b="0"/>
                      <wp:wrapNone/>
                      <wp:docPr id="158" name="Frame15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73430" cy="175260"/>
                      <wp:effectExtent l="0" t="0" r="0" b="0"/>
                      <wp:wrapNone/>
                      <wp:docPr id="159" name="Frame15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25, 2024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and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rewards program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advertising</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settlements and professional fees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accrued expenses and current liabilities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18,925</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4" w:name="Tc_mhy6-JFzxE-nAAmFRdz6zw_4_5"/>
      <w:bookmarkStart w:id="935" w:name="Tc_TuMMnBMsqk-uPW0VK-IZOg_4_2"/>
      <w:bookmarkStart w:id="936" w:name="Tc_ZWTb1yswH0aeYJDvn1_0xQ_4_0"/>
      <w:bookmarkStart w:id="937" w:name="Tc_7uz47q93-0mtoX1lYzdQUQ_3_0"/>
      <w:bookmarkStart w:id="938" w:name="Tc_gsrIerWJh0egyalxw16C5Q_2_5"/>
      <w:bookmarkStart w:id="939" w:name="Tc_a6c0rmyWa0iyDod34gVr5g_2_2"/>
      <w:bookmarkStart w:id="940" w:name="Tc_uLuHy93NBUy7E8Pc1IFJNg_2_0"/>
      <w:bookmarkStart w:id="941" w:name="Tc_koihHXywFEykuWHeEcTybQ_1_5"/>
      <w:bookmarkStart w:id="942" w:name="Tc_RGxsyqqevkuXUBBu1uZ1nA_1_2"/>
      <w:bookmarkStart w:id="943" w:name="_2b00bec7_54c7_42d5_b9ba_b1bf68957360"/>
      <w:bookmarkEnd w:id="934"/>
      <w:bookmarkEnd w:id="935"/>
      <w:bookmarkEnd w:id="936"/>
      <w:bookmarkEnd w:id="937"/>
      <w:bookmarkEnd w:id="938"/>
      <w:bookmarkEnd w:id="939"/>
      <w:bookmarkEnd w:id="940"/>
      <w:bookmarkEnd w:id="941"/>
      <w:bookmarkEnd w:id="942"/>
      <w:bookmarkEnd w:id="943"/>
      <w:r>
        <w:rPr>
          <w:rFonts w:ascii="Times New Roman;Times;serif" w:hAnsi="Times New Roman;Times;serif"/>
          <w:b/>
          <w:sz w:val="20"/>
        </w:rPr>
        <w:t>7. OTHER NONCURRENT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consist of the following (in thousands):</w:t>
      </w:r>
    </w:p>
    <w:p>
      <w:pPr>
        <w:pStyle w:val="TextBody"/>
        <w:bidi w:val="0"/>
        <w:spacing w:before="0" w:after="240"/>
        <w:ind w:left="0" w:right="0" w:hanging="0"/>
        <w:jc w:val="left"/>
        <w:rPr/>
      </w:pPr>
      <w:r>
        <w:rPr/>
        <w:t>​</w:t>
      </w:r>
    </w:p>
    <w:tbl>
      <w:tblPr>
        <w:tblW w:w="7149" w:type="dxa"/>
        <w:jc w:val="left"/>
        <w:tblInd w:w="0" w:type="dxa"/>
        <w:tblLayout w:type="fixed"/>
        <w:tblCellMar>
          <w:top w:w="0" w:type="dxa"/>
          <w:left w:w="0" w:type="dxa"/>
          <w:bottom w:w="0" w:type="dxa"/>
          <w:right w:w="0" w:type="dxa"/>
        </w:tblCellMar>
      </w:tblPr>
      <w:tblGrid>
        <w:gridCol w:w="3406"/>
        <w:gridCol w:w="326"/>
        <w:gridCol w:w="417"/>
        <w:gridCol w:w="1129"/>
        <w:gridCol w:w="326"/>
        <w:gridCol w:w="367"/>
        <w:gridCol w:w="1178"/>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62810" cy="175260"/>
                      <wp:effectExtent l="0" t="0" r="0" b="0"/>
                      <wp:wrapNone/>
                      <wp:docPr id="160" name="Frame160"/>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64795" cy="175260"/>
                      <wp:effectExtent l="0" t="0" r="0" b="0"/>
                      <wp:wrapNone/>
                      <wp:docPr id="162" name="Frame16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16915" cy="175260"/>
                      <wp:effectExtent l="0" t="0" r="0" b="0"/>
                      <wp:wrapNone/>
                      <wp:docPr id="163" name="Frame163"/>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33045" cy="175260"/>
                      <wp:effectExtent l="0" t="0" r="0" b="0"/>
                      <wp:wrapNone/>
                      <wp:docPr id="165" name="Frame16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48030" cy="175260"/>
                      <wp:effectExtent l="0" t="0" r="0" b="0"/>
                      <wp:wrapNone/>
                      <wp:docPr id="166" name="Frame166"/>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25, 2024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franchise and development fees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6,191</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Matters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Purchase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2032.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24, 2025, the Company’s total estimated commitment to purchase chicken was $2.1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Contingent Lease Obligations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September 24, 2025, the potential amount of undiscounted payments the Company could be required to make in the event of non-payment by the primary lessee was $3.7 million. The present value of these potential payments discounted at the Company’s estimated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pre-tax cost of debt at September 24, 2025 was $2.5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24, 2025, the Company had employment agreements with three of the officers of the Company. These agreements provide for minimum salary levels, possible annual adjustments for cost-of-living changes, and incentive bonuses that are payable under certain business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4" w:name="Tc_SaNuyjqNBUqlqU25My9keA_6_0"/>
      <w:bookmarkStart w:id="945" w:name="Tc_nyeocf4ydUiSVA9P8thf7A_5_0"/>
      <w:bookmarkStart w:id="946" w:name="Tc_EUmgwCGCY0aHhej01hhNwA_4_0"/>
      <w:bookmarkStart w:id="947" w:name="Tc_ZdzLroegJ0GjMthO0ImGpQ_3_8"/>
      <w:bookmarkStart w:id="948" w:name="Tc_TnUcwueRukqli6qbtUqHyA_3_6"/>
      <w:bookmarkStart w:id="949" w:name="Tc_i_YRwd6gE0m--5tNRj219g_3_4"/>
      <w:bookmarkStart w:id="950" w:name="Tc_ploVtjwXX0a_qoSi6WVGLA_3_2"/>
      <w:bookmarkStart w:id="951" w:name="Tc_xcN6tnfzLE6t0HCLozyXxQ_2_6"/>
      <w:bookmarkStart w:id="952" w:name="Tc_6O_U5EhYIEqgpF3ts8e-nw_2_2"/>
      <w:bookmarkStart w:id="953" w:name="_48799ab0_99fe_4b71_b1ad_304413bd705f"/>
      <w:bookmarkStart w:id="954" w:name="Tc_qnewLTPc0UyLnOHspfA79Q_11_0"/>
      <w:bookmarkStart w:id="955" w:name="Tc_pjbNNaOiZUyXlQDE3KBCCw_10_11"/>
      <w:bookmarkStart w:id="956" w:name="Tc__hCnUFsqTkizvVVPl5UnIA_10_8"/>
      <w:bookmarkStart w:id="957" w:name="Tc_ovyta8EKKE6kyNDnkX1eKA_10_5"/>
      <w:bookmarkStart w:id="958" w:name="Tc_D8aN2MjkPUum_JcJ7_QuFw_10_2"/>
      <w:bookmarkStart w:id="959" w:name="Tc_Dd4KvQniMU6WRVBe_QNzcA_10_0"/>
      <w:bookmarkStart w:id="960" w:name="Tc_5xRrOs7JKUyScaa19UvefA_9_11"/>
      <w:bookmarkStart w:id="961" w:name="Tc_FlwylLNsfUeszC28Bs2TGg_9_8"/>
      <w:bookmarkStart w:id="962" w:name="Tc_NRHXag7wUkWjZ4KiDz43Gw_9_5"/>
      <w:bookmarkStart w:id="963" w:name="Tc_k-W_MssmEkSmVGfY5u1bAQ_9_2"/>
      <w:bookmarkStart w:id="964" w:name="Tc_xZGj-QX5u0Shdoy0oWvKBg_9_0"/>
      <w:bookmarkStart w:id="965" w:name="Tc_mP_y3dXHskOW3vXjmn_UmA_8_0"/>
      <w:bookmarkStart w:id="966" w:name="Tc_YMBXPnu2ekyrQBozLNHj4w_7_0"/>
      <w:bookmarkStart w:id="967" w:name="Tc_6nKv5JBjokCb0y45tnkDAg_6_0"/>
      <w:bookmarkStart w:id="968" w:name="Tc_ItPdo_5dc06w4Uv4LXYRPQ_5_11"/>
      <w:bookmarkStart w:id="969" w:name="Tc_vsFrrDVsW0CPoSEF3MViTA_5_8"/>
      <w:bookmarkStart w:id="970" w:name="Tc_5onKxp2XdkCjxjDqPOZgBA_5_5"/>
      <w:bookmarkStart w:id="971" w:name="Tc_pmLmA0V1wESVCH4ap-PLeQ_5_2"/>
      <w:bookmarkStart w:id="972" w:name="Tc_VBloBuJow0a0XZpHh01Zdg_5_0"/>
      <w:bookmarkStart w:id="973" w:name="Tc_kk1xdkg0jEmnmy9EWrAdrw_4_0"/>
      <w:bookmarkStart w:id="974" w:name="Tc_yO9TGaiYKka833ycmqR_8A_3_11"/>
      <w:bookmarkStart w:id="975" w:name="Tc_m-9NItZghEyjqUXfwfhl0Q_3_8"/>
      <w:bookmarkStart w:id="976" w:name="Tc_zAcnIQ-QVUSUY5Z98rSqOw_3_5"/>
      <w:bookmarkStart w:id="977" w:name="Tc_wDmMIksLokyBjZG9Uh7BdQ_3_2"/>
      <w:bookmarkStart w:id="978" w:name="Tc_gJbV83IsBEOqNtZOhGCW-A_2_8"/>
      <w:bookmarkStart w:id="979" w:name="Tc_0dFLAPdkLUGLVjv43N6J2A_2_2"/>
      <w:bookmarkStart w:id="980" w:name="_7525101f_5aec_478a_934a_947f2a559775"/>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ascii="Times New Roman;Times;serif" w:hAnsi="Times New Roman;Times;serif"/>
          <w:b/>
          <w:sz w:val="20"/>
        </w:rPr>
        <w:t>9.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Basic earnings per share (“EPS”) is calculated using the weighted-average number of shares of common stock outstanding during the thirteen and thirty-nine weeks ended September 24, 2025 and September 25, 2024. Diluted EPS is calculated using the weighted-average number of shares of common stock outstanding and potentially dilutive during the period, using the treasury stock method.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are basic and diluted EPS data for the periods indicated (in thousands except for share and per share data):</w:t>
      </w:r>
    </w:p>
    <w:tbl>
      <w:tblPr>
        <w:tblW w:w="10205" w:type="dxa"/>
        <w:jc w:val="left"/>
        <w:tblInd w:w="0" w:type="dxa"/>
        <w:tblLayout w:type="fixed"/>
        <w:tblCellMar>
          <w:top w:w="0" w:type="dxa"/>
          <w:left w:w="0" w:type="dxa"/>
          <w:bottom w:w="0" w:type="dxa"/>
          <w:right w:w="0" w:type="dxa"/>
        </w:tblCellMar>
      </w:tblPr>
      <w:tblGrid>
        <w:gridCol w:w="2889"/>
        <w:gridCol w:w="326"/>
        <w:gridCol w:w="261"/>
        <w:gridCol w:w="1285"/>
        <w:gridCol w:w="326"/>
        <w:gridCol w:w="261"/>
        <w:gridCol w:w="1285"/>
        <w:gridCol w:w="109"/>
        <w:gridCol w:w="261"/>
        <w:gridCol w:w="1285"/>
        <w:gridCol w:w="326"/>
        <w:gridCol w:w="259"/>
        <w:gridCol w:w="1332"/>
      </w:tblGrid>
      <w:tr>
        <w:trPr/>
        <w:tc>
          <w:tcPr>
            <w:tcW w:w="2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34515" cy="175260"/>
                      <wp:effectExtent l="0" t="0" r="0" b="0"/>
                      <wp:wrapNone/>
                      <wp:docPr id="167" name="Frame167"/>
                      <a:graphic xmlns:a="http://schemas.openxmlformats.org/drawingml/2006/main">
                        <a:graphicData uri="http://schemas.microsoft.com/office/word/2010/wordprocessingShape">
                          <wps:wsp>
                            <wps:cNvSpPr txBox="1"/>
                            <wps:spPr>
                              <a:xfrm>
                                <a:off x="0" y="0"/>
                                <a:ext cx="183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65735" cy="175260"/>
                      <wp:effectExtent l="0" t="0" r="0" b="0"/>
                      <wp:wrapNone/>
                      <wp:docPr id="169" name="Frame16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5975" cy="175260"/>
                      <wp:effectExtent l="0" t="0" r="0" b="0"/>
                      <wp:wrapNone/>
                      <wp:docPr id="170" name="Frame170"/>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5735" cy="175260"/>
                      <wp:effectExtent l="0" t="0" r="0" b="0"/>
                      <wp:wrapNone/>
                      <wp:docPr id="172" name="Frame17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815975" cy="175260"/>
                      <wp:effectExtent l="0" t="0" r="0" b="0"/>
                      <wp:wrapNone/>
                      <wp:docPr id="173" name="Frame173"/>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5735" cy="175260"/>
                      <wp:effectExtent l="0" t="0" r="0" b="0"/>
                      <wp:wrapNone/>
                      <wp:docPr id="175" name="Frame17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815975" cy="175260"/>
                      <wp:effectExtent l="0" t="0" r="0" b="0"/>
                      <wp:wrapNone/>
                      <wp:docPr id="176" name="Frame176"/>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4465" cy="175260"/>
                      <wp:effectExtent l="0" t="0" r="0" b="0"/>
                      <wp:wrapNone/>
                      <wp:docPr id="178" name="Frame17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45820" cy="175260"/>
                      <wp:effectExtent l="0" t="0" r="0" b="0"/>
                      <wp:wrapNone/>
                      <wp:docPr id="179" name="Frame179"/>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2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28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2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332" w:type="dxa"/>
            <w:tcBorders/>
            <w:vAlign w:val="center"/>
          </w:tcPr>
          <w:p>
            <w:pPr>
              <w:pStyle w:val="TableContents"/>
              <w:bidi w:val="0"/>
              <w:spacing w:before="0" w:after="1"/>
              <w:ind w:left="0" w:right="0" w:hanging="0"/>
              <w:jc w:val="left"/>
              <w:rPr/>
            </w:pPr>
            <w:r>
              <w:rPr/>
              <w:t>​</w:t>
            </w:r>
          </w:p>
        </w:tc>
      </w:tr>
      <w:tr>
        <w:trPr/>
        <w:tc>
          <w:tcPr>
            <w:tcW w:w="2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left"/>
              <w:rPr/>
            </w:pPr>
            <w:r>
              <w:rPr/>
              <w:t>​</w:t>
            </w:r>
          </w:p>
        </w:tc>
        <w:tc>
          <w:tcPr>
            <w:tcW w:w="3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12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128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12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1332" w:type="dxa"/>
            <w:tcBorders/>
            <w:shd w:fill="CCEEFF" w:val="clear"/>
            <w:vAlign w:val="center"/>
          </w:tcPr>
          <w:p>
            <w:pPr>
              <w:pStyle w:val="TableContents"/>
              <w:bidi w:val="0"/>
              <w:spacing w:before="0" w:after="1"/>
              <w:ind w:left="0" w:right="0" w:hanging="0"/>
              <w:jc w:val="right"/>
              <w:rPr/>
            </w:pPr>
            <w:r>
              <w:rPr/>
              <w:t>  </w:t>
            </w:r>
          </w:p>
        </w:tc>
      </w:tr>
      <w:tr>
        <w:trPr/>
        <w:tc>
          <w:tcPr>
            <w:tcW w:w="2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6,186</w:t>
            </w:r>
          </w:p>
        </w:tc>
        <w:tc>
          <w:tcPr>
            <w:tcW w:w="109"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19,946</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19,731</w:t>
            </w:r>
          </w:p>
        </w:tc>
      </w:tr>
      <w:tr>
        <w:trPr/>
        <w:tc>
          <w:tcPr>
            <w:tcW w:w="2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12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1285"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12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1332" w:type="dxa"/>
            <w:tcBorders/>
            <w:shd w:fill="CCEEFF" w:val="clear"/>
            <w:vAlign w:val="center"/>
          </w:tcPr>
          <w:p>
            <w:pPr>
              <w:pStyle w:val="TableContents"/>
              <w:bidi w:val="0"/>
              <w:spacing w:before="0" w:after="1"/>
              <w:ind w:left="0" w:right="0" w:hanging="0"/>
              <w:jc w:val="right"/>
              <w:rPr/>
            </w:pPr>
            <w:r>
              <w:rPr/>
              <w:t>  </w:t>
            </w:r>
          </w:p>
        </w:tc>
      </w:tr>
      <w:tr>
        <w:trPr/>
        <w:tc>
          <w:tcPr>
            <w:tcW w:w="2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29,219,480</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29,199,971</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29,134,766</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13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30,072,637</w:t>
            </w:r>
          </w:p>
        </w:tc>
      </w:tr>
      <w:tr>
        <w:trPr/>
        <w:tc>
          <w:tcPr>
            <w:tcW w:w="2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29,406,754</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29,423,649</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29,343,906</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30,235,309</w:t>
            </w:r>
          </w:p>
        </w:tc>
      </w:tr>
      <w:tr>
        <w:trPr/>
        <w:tc>
          <w:tcPr>
            <w:tcW w:w="2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share—basic</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0.68</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28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share—diluted</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0.68</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r>
      <w:tr>
        <w:trPr/>
        <w:tc>
          <w:tcPr>
            <w:tcW w:w="28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Anti-dilutive securities not considered in diluted EPS calculation</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1,000,650</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621,558</w:t>
            </w:r>
          </w:p>
        </w:tc>
        <w:tc>
          <w:tcPr>
            <w:tcW w:w="109"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1,031,087</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32"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692,075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reconciliation of basic and diluted share counts:</w:t>
      </w:r>
    </w:p>
    <w:tbl>
      <w:tblPr>
        <w:tblW w:w="10205" w:type="dxa"/>
        <w:jc w:val="left"/>
        <w:tblInd w:w="0" w:type="dxa"/>
        <w:tblLayout w:type="fixed"/>
        <w:tblCellMar>
          <w:top w:w="0" w:type="dxa"/>
          <w:left w:w="0" w:type="dxa"/>
          <w:bottom w:w="0" w:type="dxa"/>
          <w:right w:w="0" w:type="dxa"/>
        </w:tblCellMar>
      </w:tblPr>
      <w:tblGrid>
        <w:gridCol w:w="2852"/>
        <w:gridCol w:w="326"/>
        <w:gridCol w:w="1546"/>
        <w:gridCol w:w="326"/>
        <w:gridCol w:w="1546"/>
        <w:gridCol w:w="326"/>
        <w:gridCol w:w="1546"/>
        <w:gridCol w:w="146"/>
        <w:gridCol w:w="1591"/>
      </w:tblGrid>
      <w:tr>
        <w:trPr/>
        <w:tc>
          <w:tcPr>
            <w:tcW w:w="2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11020" cy="175260"/>
                      <wp:effectExtent l="0" t="0" r="0" b="0"/>
                      <wp:wrapNone/>
                      <wp:docPr id="180" name="Frame180"/>
                      <a:graphic xmlns:a="http://schemas.openxmlformats.org/drawingml/2006/main">
                        <a:graphicData uri="http://schemas.microsoft.com/office/word/2010/wordprocessingShape">
                          <wps:wsp>
                            <wps:cNvSpPr txBox="1"/>
                            <wps:spPr>
                              <a:xfrm>
                                <a:off x="0" y="0"/>
                                <a:ext cx="181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81710" cy="175260"/>
                      <wp:effectExtent l="0" t="0" r="0" b="0"/>
                      <wp:wrapNone/>
                      <wp:docPr id="182" name="Frame18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81710" cy="175260"/>
                      <wp:effectExtent l="0" t="0" r="0" b="0"/>
                      <wp:wrapNone/>
                      <wp:docPr id="184" name="Frame18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81710" cy="175260"/>
                      <wp:effectExtent l="0" t="0" r="0" b="0"/>
                      <wp:wrapNone/>
                      <wp:docPr id="186" name="Frame18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87"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10285" cy="175260"/>
                      <wp:effectExtent l="0" t="0" r="0" b="0"/>
                      <wp:wrapNone/>
                      <wp:docPr id="188" name="Frame18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28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    </w:t>
            </w:r>
          </w:p>
        </w:tc>
        <w:tc>
          <w:tcPr>
            <w:tcW w:w="32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8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46" w:type="dxa"/>
            <w:tcBorders/>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outstanding—basic</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29,219,480</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29,199,971</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29,134,766</w:t>
            </w:r>
          </w:p>
        </w:tc>
        <w:tc>
          <w:tcPr>
            <w:tcW w:w="14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30,072,637</w:t>
            </w:r>
          </w:p>
        </w:tc>
      </w:tr>
      <w:tr>
        <w:trPr/>
        <w:tc>
          <w:tcPr>
            <w:tcW w:w="2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restricted shares</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187,274</w:t>
            </w:r>
          </w:p>
        </w:tc>
        <w:tc>
          <w:tcPr>
            <w:tcW w:w="326" w:type="dxa"/>
            <w:tcBorders/>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223,678</w:t>
            </w:r>
          </w:p>
        </w:tc>
        <w:tc>
          <w:tcPr>
            <w:tcW w:w="32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209,140</w:t>
            </w:r>
          </w:p>
        </w:tc>
        <w:tc>
          <w:tcPr>
            <w:tcW w:w="146" w:type="dxa"/>
            <w:tcBorders/>
            <w:vAlign w:val="center"/>
          </w:tcPr>
          <w:p>
            <w:pPr>
              <w:pStyle w:val="TableContents"/>
              <w:bidi w:val="0"/>
              <w:spacing w:before="0" w:after="0"/>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162,672</w:t>
            </w:r>
          </w:p>
        </w:tc>
      </w:tr>
      <w:tr>
        <w:trPr/>
        <w:tc>
          <w:tcPr>
            <w:tcW w:w="2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outstanding—diluted</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29,406,754</w:t>
            </w:r>
          </w:p>
        </w:tc>
        <w:tc>
          <w:tcPr>
            <w:tcW w:w="326" w:type="dxa"/>
            <w:tcBorders/>
            <w:shd w:fill="CCEEFF" w:val="clear"/>
            <w:vAlign w:val="center"/>
          </w:tcPr>
          <w:p>
            <w:pPr>
              <w:pStyle w:val="TableContents"/>
              <w:bidi w:val="0"/>
              <w:spacing w:before="0" w:after="0"/>
              <w:ind w:left="0" w:right="0" w:hanging="0"/>
              <w:jc w:val="left"/>
              <w:rPr/>
            </w:pPr>
            <w:r>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29,423,649</w:t>
            </w:r>
          </w:p>
        </w:tc>
        <w:tc>
          <w:tcPr>
            <w:tcW w:w="32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29,343,906</w:t>
            </w:r>
          </w:p>
        </w:tc>
        <w:tc>
          <w:tcPr>
            <w:tcW w:w="146" w:type="dxa"/>
            <w:tcBorders/>
            <w:shd w:fill="CCEEFF" w:val="clear"/>
            <w:vAlign w:val="center"/>
          </w:tcPr>
          <w:p>
            <w:pPr>
              <w:pStyle w:val="TableContents"/>
              <w:bidi w:val="0"/>
              <w:spacing w:before="0" w:after="0"/>
              <w:ind w:left="0" w:right="0" w:hanging="0"/>
              <w:jc w:val="left"/>
              <w:rPr/>
            </w:pPr>
            <w:r>
              <w:rPr/>
              <w:t> </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30,235,309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81" w:name="Tc_h_ka--2Pnk2aAb6H1ulxgw_1_7"/>
      <w:bookmarkStart w:id="982" w:name="Tc_uIghtFCOoUyb6VaqjuBlLA_1_1"/>
      <w:bookmarkStart w:id="983" w:name="_fb58c327_4eb6_4b35_a003_ba12f775000f"/>
      <w:bookmarkStart w:id="984" w:name="Tc_xwwpYZf0_U-jI5h9tiOsDg_2_5"/>
      <w:bookmarkStart w:id="985" w:name="Tc_hDKPZ-aJz0uUIQVsQ1qH0A_2_2"/>
      <w:bookmarkStart w:id="986" w:name="Tc_1V8-PUlX8k-gGX3lVSxymQ_2_0"/>
      <w:bookmarkStart w:id="987" w:name="Tc_Sz5bn2Mq1E6l8rmAPoN1pA_1_5"/>
      <w:bookmarkStart w:id="988" w:name="Tc_78D_H1BcE0u0DC9eCG3aMA_1_2"/>
      <w:bookmarkStart w:id="989" w:name="_2e7c7c66_2f13_4c3c_8284_674ee2b7f4ed"/>
      <w:bookmarkStart w:id="990" w:name="Tc_LOX5mtrlSEaFDC2A8jRzuw_5_5"/>
      <w:bookmarkStart w:id="991" w:name="Tc_DXlC248DtECCJZJUWDoAEA_5_2"/>
      <w:bookmarkStart w:id="992" w:name="Tc_8RZmAdIKYU6UGnyGiEncqw_5_0"/>
      <w:bookmarkStart w:id="993" w:name="Tc__79-7Z_QA0WCizGhBG_71Q_4_0"/>
      <w:bookmarkStart w:id="994" w:name="Tc_zohwloWET0W6rITRGY65Fg_3_0"/>
      <w:bookmarkStart w:id="995" w:name="Tc_FhskoYDv4E-iHZKOK2hNdg_2_5"/>
      <w:bookmarkStart w:id="996" w:name="Tc_sXHANyTos0Sq1BPoTtHZqQ_2_2"/>
      <w:bookmarkStart w:id="997" w:name="Tc_-3QuZLd5y0av4FTHt_A0Rw_2_0"/>
      <w:bookmarkStart w:id="998" w:name="Tc_qqFm2cNQtEi1GHdBq6crKA_1_5"/>
      <w:bookmarkStart w:id="999" w:name="Tc_m7gCrUYaSEqtTdQ5vheWpA_1_2"/>
      <w:bookmarkStart w:id="1000" w:name="_b043d8f8_031b_414e_9697_41b20a0f32a8"/>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b/>
          <w:sz w:val="20"/>
        </w:rPr>
        <w:t>11. REVENUE FROM CONTRACTS WITH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products and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two revenue streams, company-operated restaurant revenue and franchise-related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Revenues from the operation of company-operated restaurants are recognized as food and beverage products are delivered to customers and payment is tendered at the time of sale. The Company presents revenue, net of sales-related taxes and promotional allowances.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offers a loyalty rewards program, which awards a customer points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and recorded as deferred revenue on the balance sheet.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then allocated to loyalty points, if necessary, on a pro-rata basis, based on stand-alone selling price, as determined by menu pricing and loyalty points terms. As of September 24, 2025 and December 25, 2024, the revenue allocated to loyalty points that have not been redeemed was $1.1 million and $0.8 million, respectively, which is reflected in the Company’s accompanying condensed consolidated balance sheets within other accrued expenses and current liabilities.</w:t>
      </w:r>
    </w:p>
    <w:p>
      <w:pPr>
        <w:pStyle w:val="TextBody"/>
        <w:bidi w:val="0"/>
        <w:spacing w:before="240" w:after="240"/>
        <w:ind w:left="0" w:right="0" w:hanging="0"/>
        <w:jc w:val="left"/>
        <w:rPr>
          <w:rFonts w:ascii="Times New Roman;Times;serif" w:hAnsi="Times New Roman;Times;serif"/>
          <w:i w:val="false"/>
          <w:caps w:val="false"/>
          <w:smallCaps w:val="false"/>
          <w:sz w:val="20"/>
          <w:shd w:fill="FFFFFF" w:val="clear"/>
        </w:rPr>
      </w:pPr>
      <w:r>
        <w:rPr>
          <w:rFonts w:ascii="Times New Roman;Times;serif" w:hAnsi="Times New Roman;Times;serif"/>
          <w:i w:val="false"/>
          <w:caps w:val="false"/>
          <w:smallCaps w:val="false"/>
          <w:sz w:val="20"/>
          <w:shd w:fill="FFFFFF" w:val="clear"/>
        </w:rPr>
        <w:t>Changes in the loyalty rewards program liability included in deferred revenue within other accrued expenses and current liabilities on the condensed consolidated balance sheets were as follows (in thousands):</w:t>
      </w:r>
    </w:p>
    <w:tbl>
      <w:tblPr>
        <w:tblW w:w="7525" w:type="dxa"/>
        <w:jc w:val="left"/>
        <w:tblInd w:w="0" w:type="dxa"/>
        <w:tblLayout w:type="fixed"/>
        <w:tblCellMar>
          <w:top w:w="0" w:type="dxa"/>
          <w:left w:w="0" w:type="dxa"/>
          <w:bottom w:w="0" w:type="dxa"/>
          <w:right w:w="0" w:type="dxa"/>
        </w:tblCellMar>
      </w:tblPr>
      <w:tblGrid>
        <w:gridCol w:w="3736"/>
        <w:gridCol w:w="326"/>
        <w:gridCol w:w="387"/>
        <w:gridCol w:w="1159"/>
        <w:gridCol w:w="326"/>
        <w:gridCol w:w="378"/>
        <w:gridCol w:w="121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372360" cy="175260"/>
                      <wp:effectExtent l="0" t="0" r="0" b="0"/>
                      <wp:wrapNone/>
                      <wp:docPr id="189" name="Frame18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5745" cy="175260"/>
                      <wp:effectExtent l="0" t="0" r="0" b="0"/>
                      <wp:wrapNone/>
                      <wp:docPr id="191" name="Frame191"/>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35965" cy="175260"/>
                      <wp:effectExtent l="0" t="0" r="0" b="0"/>
                      <wp:wrapNone/>
                      <wp:docPr id="192" name="Frame192"/>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0030" cy="175260"/>
                      <wp:effectExtent l="0" t="0" r="0" b="0"/>
                      <wp:wrapNone/>
                      <wp:docPr id="194" name="Frame19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70255" cy="175260"/>
                      <wp:effectExtent l="0" t="0" r="0" b="0"/>
                      <wp:wrapNone/>
                      <wp:docPr id="195" name="Frame195"/>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beginning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3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26" w:type="dxa"/>
            <w:tcBorders/>
            <w:vAlign w:val="center"/>
          </w:tcPr>
          <w:p>
            <w:pPr>
              <w:pStyle w:val="TableContents"/>
              <w:bidi w:val="0"/>
              <w:spacing w:before="0" w:after="1"/>
              <w:ind w:left="0" w:right="0" w:hanging="0"/>
              <w:jc w:val="left"/>
              <w:rPr/>
            </w:pPr>
            <w:r>
              <w:rPr/>
              <w:t>​</w:t>
            </w:r>
          </w:p>
        </w:tc>
        <w:tc>
          <w:tcPr>
            <w:tcW w:w="387" w:type="dxa"/>
            <w:tcBorders/>
            <w:vAlign w:val="center"/>
          </w:tcPr>
          <w:p>
            <w:pPr>
              <w:pStyle w:val="TableContents"/>
              <w:bidi w:val="0"/>
              <w:spacing w:before="0" w:after="1"/>
              <w:ind w:left="0" w:right="0" w:hanging="0"/>
              <w:jc w:val="left"/>
              <w:rPr/>
            </w:pPr>
            <w:r>
              <w:rPr/>
              <w:t> </w:t>
            </w:r>
          </w:p>
        </w:tc>
        <w:tc>
          <w:tcPr>
            <w:tcW w:w="11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1,920</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 </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3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Loyalty rewards liability, ending balance</w:t>
            </w:r>
          </w:p>
        </w:tc>
        <w:tc>
          <w:tcPr>
            <w:tcW w:w="326" w:type="dxa"/>
            <w:tcBorders/>
            <w:vAlign w:val="center"/>
          </w:tcPr>
          <w:p>
            <w:pPr>
              <w:pStyle w:val="TableContents"/>
              <w:bidi w:val="0"/>
              <w:spacing w:before="0" w:after="1"/>
              <w:ind w:left="0" w:right="0" w:hanging="0"/>
              <w:jc w:val="left"/>
              <w:rPr/>
            </w:pPr>
            <w:r>
              <w:rPr/>
              <w:t>​</w:t>
            </w:r>
          </w:p>
        </w:tc>
        <w:tc>
          <w:tcPr>
            <w:tcW w:w="3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1,064</w:t>
            </w:r>
          </w:p>
        </w:tc>
        <w:tc>
          <w:tcPr>
            <w:tcW w:w="326" w:type="dxa"/>
            <w:tcBorders/>
            <w:vAlign w:val="center"/>
          </w:tcPr>
          <w:p>
            <w:pPr>
              <w:pStyle w:val="TableContents"/>
              <w:bidi w:val="0"/>
              <w:spacing w:before="0" w:after="1"/>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801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expects all loyalty points revenue related to performance obligations that were unsatisfied as of September 24, 2025 to be recognized within one year.</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gift card liability included in other accrued expenses and current liabilities on the condensed consolidated balance sheets was as follows (in thousands):</w:t>
      </w:r>
    </w:p>
    <w:tbl>
      <w:tblPr>
        <w:tblW w:w="4840" w:type="dxa"/>
        <w:jc w:val="left"/>
        <w:tblInd w:w="0" w:type="dxa"/>
        <w:tblLayout w:type="fixed"/>
        <w:tblCellMar>
          <w:top w:w="0" w:type="dxa"/>
          <w:left w:w="0" w:type="dxa"/>
          <w:bottom w:w="0" w:type="dxa"/>
          <w:right w:w="0" w:type="dxa"/>
        </w:tblCellMar>
      </w:tblPr>
      <w:tblGrid>
        <w:gridCol w:w="1531"/>
        <w:gridCol w:w="109"/>
        <w:gridCol w:w="417"/>
        <w:gridCol w:w="1129"/>
        <w:gridCol w:w="109"/>
        <w:gridCol w:w="367"/>
        <w:gridCol w:w="1178"/>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972185" cy="175260"/>
                      <wp:effectExtent l="0" t="0" r="0" b="0"/>
                      <wp:wrapNone/>
                      <wp:docPr id="196" name="Frame19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4795" cy="175260"/>
                      <wp:effectExtent l="0" t="0" r="0" b="0"/>
                      <wp:wrapNone/>
                      <wp:docPr id="198" name="Frame19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16915" cy="175260"/>
                      <wp:effectExtent l="0" t="0" r="0" b="0"/>
                      <wp:wrapNone/>
                      <wp:docPr id="199" name="Frame199"/>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3045" cy="175260"/>
                      <wp:effectExtent l="0" t="0" r="0" b="0"/>
                      <wp:wrapNone/>
                      <wp:docPr id="201" name="Frame20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48030" cy="175260"/>
                      <wp:effectExtent l="0" t="0" r="0" b="0"/>
                      <wp:wrapNone/>
                      <wp:docPr id="202" name="Frame20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25, 2024</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4,821</w:t>
            </w:r>
          </w:p>
        </w:tc>
        <w:tc>
          <w:tcPr>
            <w:tcW w:w="109"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5,100</w:t>
            </w:r>
          </w:p>
        </w:tc>
      </w:tr>
    </w:tbl>
    <w:p>
      <w:pPr>
        <w:pStyle w:val="TextBody"/>
        <w:shd w:fill="FFFFFF" w:val="clear"/>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Revenue recognized from the redemption of gift cards that was included in other accrued expenses and current liabilities at the beginning of the year was as follows (in thousands):</w:t>
      </w:r>
    </w:p>
    <w:tbl>
      <w:tblPr>
        <w:tblW w:w="3963" w:type="dxa"/>
        <w:jc w:val="left"/>
        <w:tblInd w:w="0" w:type="dxa"/>
        <w:tblLayout w:type="fixed"/>
        <w:tblCellMar>
          <w:top w:w="0" w:type="dxa"/>
          <w:left w:w="0" w:type="dxa"/>
          <w:bottom w:w="0" w:type="dxa"/>
          <w:right w:w="0" w:type="dxa"/>
        </w:tblCellMar>
      </w:tblPr>
      <w:tblGrid>
        <w:gridCol w:w="124"/>
        <w:gridCol w:w="344"/>
        <w:gridCol w:w="344"/>
        <w:gridCol w:w="344"/>
        <w:gridCol w:w="344"/>
        <w:gridCol w:w="347"/>
        <w:gridCol w:w="109"/>
        <w:gridCol w:w="369"/>
        <w:gridCol w:w="369"/>
        <w:gridCol w:w="369"/>
        <w:gridCol w:w="369"/>
        <w:gridCol w:w="5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8740" cy="175260"/>
                      <wp:effectExtent l="0" t="0" r="0" b="0"/>
                      <wp:wrapNone/>
                      <wp:docPr id="203" name="Frame20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8440" cy="175260"/>
                      <wp:effectExtent l="0" t="0" r="0" b="0"/>
                      <wp:wrapNone/>
                      <wp:docPr id="204" name="Frame204"/>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8440" cy="175260"/>
                      <wp:effectExtent l="0" t="0" r="0" b="0"/>
                      <wp:wrapNone/>
                      <wp:docPr id="205" name="Frame20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8440" cy="175260"/>
                      <wp:effectExtent l="0" t="0" r="0" b="0"/>
                      <wp:wrapNone/>
                      <wp:docPr id="206" name="Frame206"/>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8440" cy="175260"/>
                      <wp:effectExtent l="0" t="0" r="0" b="0"/>
                      <wp:wrapNone/>
                      <wp:docPr id="207" name="Frame20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0345" cy="175260"/>
                      <wp:effectExtent l="0" t="0" r="0" b="0"/>
                      <wp:wrapNone/>
                      <wp:docPr id="208" name="Frame208"/>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34315" cy="175260"/>
                      <wp:effectExtent l="0" t="0" r="0" b="0"/>
                      <wp:wrapNone/>
                      <wp:docPr id="210" name="Frame210"/>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34315" cy="175260"/>
                      <wp:effectExtent l="0" t="0" r="0" b="0"/>
                      <wp:wrapNone/>
                      <wp:docPr id="211" name="Frame211"/>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4315" cy="175260"/>
                      <wp:effectExtent l="0" t="0" r="0" b="0"/>
                      <wp:wrapNone/>
                      <wp:docPr id="212" name="Frame212"/>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34315" cy="175260"/>
                      <wp:effectExtent l="0" t="0" r="0" b="0"/>
                      <wp:wrapNone/>
                      <wp:docPr id="213" name="Frame213"/>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37185" cy="175260"/>
                      <wp:effectExtent l="0" t="0" r="0" b="0"/>
                      <wp:wrapNone/>
                      <wp:docPr id="214" name="Frame214"/>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17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left"/>
              <w:rPr/>
            </w:pPr>
            <w:r>
              <w:rPr/>
              <w:t>​</w:t>
            </w:r>
          </w:p>
        </w:tc>
        <w:tc>
          <w:tcPr>
            <w:tcW w:w="20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01" w:name="Tc_qPjQ-HJqR0WxbpO119vRrg_5_12"/>
      <w:bookmarkStart w:id="1002" w:name="Tc_pf4LvtU8fEyaTrO4ZLVq2w_5_9"/>
      <w:bookmarkStart w:id="1003" w:name="Tc_y1ueKnNC_kumO4iBpLmA7w_5_6"/>
      <w:bookmarkStart w:id="1004" w:name="Tc_yjWVcxThtkC8_ZzgFru_dA_5_3"/>
      <w:bookmarkStart w:id="1005" w:name="Tc_zqo-jPGLQkaiOdM4WiiFjA_5_0"/>
      <w:bookmarkStart w:id="1006" w:name="Tc_wqdqS1kDDU-gREykt6dSOQ_4_12"/>
      <w:bookmarkStart w:id="1007" w:name="Tc_2hlXWoOWi0SrdWomckWx0A_4_9"/>
      <w:bookmarkStart w:id="1008" w:name="Tc_tKAvuSE9a0-LKvT12PrsHA_4_6"/>
      <w:bookmarkStart w:id="1009" w:name="Tc_hAMiw_480UiJgdctieaJoA_4_3"/>
      <w:bookmarkStart w:id="1010" w:name="Tc_85OM-KRbik-1ma1bbodo9g_4_0"/>
      <w:bookmarkStart w:id="1011" w:name="Tc_t0kPIQ-0SkeW84YBVQGqcQ_3_12"/>
      <w:bookmarkStart w:id="1012" w:name="Tc_F8OD39Oqbk-N4f6bBqU7Vg_3_9"/>
      <w:bookmarkStart w:id="1013" w:name="Tc_riTg-xg4OUeB-McwQCg86w_3_6"/>
      <w:bookmarkStart w:id="1014" w:name="Tc_oS1ldHXFO0ayVP80dddaBQ_3_3"/>
      <w:bookmarkStart w:id="1015" w:name="Tc_2bxFPjQgLkih3OQ3itrdPA_3_0"/>
      <w:bookmarkStart w:id="1016" w:name="Tc_u1iwx493s0uZc0WZUZ_ryQ_2_11"/>
      <w:bookmarkStart w:id="1017" w:name="Tc_UqbJiEoYdEilUQr_KhgvIw_2_8"/>
      <w:bookmarkStart w:id="1018" w:name="Tc_1R8Gb41LPEiD8TtpXMYsMA_2_5"/>
      <w:bookmarkStart w:id="1019" w:name="Tc_zI92UMOt1EW-gWRDDR7d2Q_2_2"/>
      <w:bookmarkStart w:id="1020" w:name="Tc__YmBTusHBE6IVId3aG_weA_1_8"/>
      <w:bookmarkStart w:id="1021" w:name="Tc_MyB0ZURizU-UMLSaLMcHIA_1_2"/>
      <w:bookmarkStart w:id="1022" w:name="Tc_Emr9VLtItkWBppW0rOIT0Q_3_10"/>
      <w:bookmarkStart w:id="1023" w:name="Tc_NxxZ2ElkjUW4tepdx--dKw_3_7"/>
      <w:bookmarkStart w:id="1024" w:name="Tc_8Td5Hnq2CkqP81fnsjeKSg_3_4"/>
      <w:bookmarkStart w:id="1025" w:name="Tc_Ie6eq8_8TECJC1CO0ObVoQ_3_1"/>
      <w:bookmarkStart w:id="1026" w:name="Tc_M54VPI8A3k2lhADiThvX5Q_3_0"/>
      <w:bookmarkStart w:id="1027" w:name="Tc_Gf9HPyPO4EuvgTMyjQ10Lw_2_10"/>
      <w:bookmarkStart w:id="1028" w:name="Tc_YshcqMY3dU2-be3xHQdAKA_2_7"/>
      <w:bookmarkStart w:id="1029" w:name="Tc_01tcYxo5YUej_uwYQIa7LQ_2_4"/>
      <w:bookmarkStart w:id="1030" w:name="Tc_jlMbqw1qHkirywDSK8Hgig_2_1"/>
      <w:bookmarkStart w:id="1031" w:name="Tc_qPjQ-HJqR0WxbpO119vRrg_5_12"/>
      <w:bookmarkStart w:id="1032" w:name="Tc_pf4LvtU8fEyaTrO4ZLVq2w_5_9"/>
      <w:bookmarkStart w:id="1033" w:name="Tc_y1ueKnNC_kumO4iBpLmA7w_5_6"/>
      <w:bookmarkStart w:id="1034" w:name="Tc_yjWVcxThtkC8_ZzgFru_dA_5_3"/>
      <w:bookmarkStart w:id="1035" w:name="Tc_zqo-jPGLQkaiOdM4WiiFjA_5_0"/>
      <w:bookmarkStart w:id="1036" w:name="Tc_wqdqS1kDDU-gREykt6dSOQ_4_12"/>
      <w:bookmarkStart w:id="1037" w:name="Tc_2hlXWoOWi0SrdWomckWx0A_4_9"/>
      <w:bookmarkStart w:id="1038" w:name="Tc_tKAvuSE9a0-LKvT12PrsHA_4_6"/>
      <w:bookmarkStart w:id="1039" w:name="Tc_hAMiw_480UiJgdctieaJoA_4_3"/>
      <w:bookmarkStart w:id="1040" w:name="Tc_85OM-KRbik-1ma1bbodo9g_4_0"/>
      <w:bookmarkStart w:id="1041" w:name="Tc_t0kPIQ-0SkeW84YBVQGqcQ_3_12"/>
      <w:bookmarkStart w:id="1042" w:name="Tc_F8OD39Oqbk-N4f6bBqU7Vg_3_9"/>
      <w:bookmarkStart w:id="1043" w:name="Tc_riTg-xg4OUeB-McwQCg86w_3_6"/>
      <w:bookmarkStart w:id="1044" w:name="Tc_oS1ldHXFO0ayVP80dddaBQ_3_3"/>
      <w:bookmarkStart w:id="1045" w:name="Tc_2bxFPjQgLkih3OQ3itrdPA_3_0"/>
      <w:bookmarkStart w:id="1046" w:name="Tc_u1iwx493s0uZc0WZUZ_ryQ_2_11"/>
      <w:bookmarkStart w:id="1047" w:name="Tc_UqbJiEoYdEilUQr_KhgvIw_2_8"/>
      <w:bookmarkStart w:id="1048" w:name="Tc_1R8Gb41LPEiD8TtpXMYsMA_2_5"/>
      <w:bookmarkStart w:id="1049" w:name="Tc_zI92UMOt1EW-gWRDDR7d2Q_2_2"/>
      <w:bookmarkStart w:id="1050" w:name="Tc__YmBTusHBE6IVId3aG_weA_1_8"/>
      <w:bookmarkStart w:id="1051" w:name="Tc_MyB0ZURizU-UMLSaLMcHIA_1_2"/>
      <w:bookmarkStart w:id="1052" w:name="Tc_Emr9VLtItkWBppW0rOIT0Q_3_10"/>
      <w:bookmarkStart w:id="1053" w:name="Tc_NxxZ2ElkjUW4tepdx--dKw_3_7"/>
      <w:bookmarkStart w:id="1054" w:name="Tc_8Td5Hnq2CkqP81fnsjeKSg_3_4"/>
      <w:bookmarkStart w:id="1055" w:name="Tc_Ie6eq8_8TECJC1CO0ObVoQ_3_1"/>
      <w:bookmarkStart w:id="1056" w:name="Tc_M54VPI8A3k2lhADiThvX5Q_3_0"/>
      <w:bookmarkStart w:id="1057" w:name="Tc_Gf9HPyPO4EuvgTMyjQ10Lw_2_10"/>
      <w:bookmarkStart w:id="1058" w:name="Tc_YshcqMY3dU2-be3xHQdAKA_2_7"/>
      <w:bookmarkStart w:id="1059" w:name="Tc_01tcYxo5YUej_uwYQIa7LQ_2_4"/>
      <w:bookmarkStart w:id="1060" w:name="Tc_jlMbqw1qHkirywDSK8Hgig_2_1"/>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tbl>
      <w:tblPr>
        <w:tblW w:w="10205" w:type="dxa"/>
        <w:jc w:val="left"/>
        <w:tblInd w:w="0" w:type="dxa"/>
        <w:tblLayout w:type="fixed"/>
        <w:tblCellMar>
          <w:top w:w="0" w:type="dxa"/>
          <w:left w:w="0" w:type="dxa"/>
          <w:bottom w:w="0" w:type="dxa"/>
          <w:right w:w="0" w:type="dxa"/>
        </w:tblCellMar>
      </w:tblPr>
      <w:tblGrid>
        <w:gridCol w:w="3432"/>
        <w:gridCol w:w="516"/>
        <w:gridCol w:w="1030"/>
        <w:gridCol w:w="109"/>
        <w:gridCol w:w="516"/>
        <w:gridCol w:w="1030"/>
        <w:gridCol w:w="326"/>
        <w:gridCol w:w="516"/>
        <w:gridCol w:w="1030"/>
        <w:gridCol w:w="109"/>
        <w:gridCol w:w="455"/>
        <w:gridCol w:w="1136"/>
      </w:tblGrid>
      <w:tr>
        <w:trPr/>
        <w:tc>
          <w:tcPr>
            <w:tcW w:w="3432"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1"/>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3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from gift card liability balance at the beginning of the year</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1"/>
              <w:ind w:left="0" w:right="0" w:hanging="0"/>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1"/>
              <w:ind w:left="0" w:right="0" w:hanging="0"/>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109" w:type="dxa"/>
            <w:tcBorders/>
            <w:shd w:fill="CCEEFF" w:val="clear"/>
            <w:vAlign w:val="center"/>
          </w:tcPr>
          <w:p>
            <w:pPr>
              <w:pStyle w:val="TableContents"/>
              <w:bidi w:val="0"/>
              <w:spacing w:before="0" w:after="1"/>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Franchise and franchise advertising fee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revenue consists of franchise royalties, initial franchise fees, license fees due from franchisees, IT support services, and rental income for subleases to franchisees. Franchise advertising fee revenue consists of advertising contributions received from franchisees. These revenue streams are made up of the following performance obligations: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 license - inclusive of advertising services, development agreements, training, access to restaurant development plans and help desk services;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renewal option; and</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services.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revenue-based royalty fee and a revenue-based advertising fee. The fixed fee, as determined by the signed development and/or franchise agreement, is due at the time the development agreement is entered into, and/or when the franchise agreement is signed, and does not include a finance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revenue-based royalty fee and revenue-based advertising fee are considered variable consideration and are recognized as franchise revenue as such revenue are earned by the franchisees. Both revenue-based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revenue-based royalties.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20-year renewal. This performance obligation is satisfied over the renewal term, which is typically 10 or 20 years, while payment is fixed and due at the time the renewal is signed.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purchases hardware, such as scanners, printers, point-of-sale systems, kiosks, and tablets, from third party vendors, which it then sells to franchisees. As the Company is considered the principal in this relationship, payment received for the hardware is considered revenue, and is received upon transfer of the goods from the Company to the franchisee. As of September 24, 2025, there were no performance obligations related to hardware services that were unsatisfied or partially satisfied.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Company-operated revenue disaggregated by geographic market:</w:t>
      </w:r>
    </w:p>
    <w:p>
      <w:pPr>
        <w:pStyle w:val="TextBody"/>
        <w:bidi w:val="0"/>
        <w:spacing w:before="0" w:after="240"/>
        <w:ind w:left="0" w:right="0" w:hanging="0"/>
        <w:jc w:val="left"/>
        <w:rPr>
          <w:shd w:fill="FFFF00" w:val="clear"/>
        </w:rPr>
      </w:pPr>
      <w:r>
        <w:rPr>
          <w:shd w:fill="FFFF00" w:val="clear"/>
        </w:rPr>
        <w:t>​</w:t>
      </w:r>
    </w:p>
    <w:tbl>
      <w:tblPr>
        <w:tblW w:w="10047" w:type="dxa"/>
        <w:jc w:val="left"/>
        <w:tblInd w:w="0" w:type="dxa"/>
        <w:tblLayout w:type="fixed"/>
        <w:tblCellMar>
          <w:top w:w="0" w:type="dxa"/>
          <w:left w:w="0" w:type="dxa"/>
          <w:bottom w:w="0" w:type="dxa"/>
          <w:right w:w="0" w:type="dxa"/>
        </w:tblCellMar>
      </w:tblPr>
      <w:tblGrid>
        <w:gridCol w:w="2731"/>
        <w:gridCol w:w="326"/>
        <w:gridCol w:w="840"/>
        <w:gridCol w:w="706"/>
        <w:gridCol w:w="326"/>
        <w:gridCol w:w="840"/>
        <w:gridCol w:w="706"/>
        <w:gridCol w:w="109"/>
        <w:gridCol w:w="840"/>
        <w:gridCol w:w="706"/>
        <w:gridCol w:w="326"/>
        <w:gridCol w:w="821"/>
        <w:gridCol w:w="770"/>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34185" cy="175260"/>
                      <wp:effectExtent l="0" t="0" r="0" b="0"/>
                      <wp:wrapNone/>
                      <wp:docPr id="215" name="Frame215"/>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33400" cy="175260"/>
                      <wp:effectExtent l="0" t="0" r="0" b="0"/>
                      <wp:wrapNone/>
                      <wp:docPr id="217" name="Frame217"/>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48310" cy="175260"/>
                      <wp:effectExtent l="0" t="0" r="0" b="0"/>
                      <wp:wrapNone/>
                      <wp:docPr id="218" name="Frame21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3400" cy="175260"/>
                      <wp:effectExtent l="0" t="0" r="0" b="0"/>
                      <wp:wrapNone/>
                      <wp:docPr id="220" name="Frame220"/>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48310" cy="175260"/>
                      <wp:effectExtent l="0" t="0" r="0" b="0"/>
                      <wp:wrapNone/>
                      <wp:docPr id="221" name="Frame22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3400" cy="175260"/>
                      <wp:effectExtent l="0" t="0" r="0" b="0"/>
                      <wp:wrapNone/>
                      <wp:docPr id="223" name="Frame22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8310" cy="175260"/>
                      <wp:effectExtent l="0" t="0" r="0" b="0"/>
                      <wp:wrapNone/>
                      <wp:docPr id="224" name="Frame22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21335" cy="175260"/>
                      <wp:effectExtent l="0" t="0" r="0" b="0"/>
                      <wp:wrapNone/>
                      <wp:docPr id="226" name="Frame22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88950" cy="175260"/>
                      <wp:effectExtent l="0" t="0" r="0" b="0"/>
                      <wp:wrapNone/>
                      <wp:docPr id="227" name="Frame227"/>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34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Los Angeles area market</w:t>
            </w:r>
          </w:p>
        </w:tc>
        <w:tc>
          <w:tcPr>
            <w:tcW w:w="32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markets</w:t>
            </w:r>
          </w:p>
        </w:tc>
        <w:tc>
          <w:tcPr>
            <w:tcW w:w="326" w:type="dxa"/>
            <w:tcBorders/>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balances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61" w:name="Tc_pji6DxtLe0GrITV2LA3rUw_8_2"/>
      <w:bookmarkStart w:id="1062" w:name="Tc_BDp2BcPYEEmTpjXCqwOFJg_8_0"/>
      <w:bookmarkStart w:id="1063" w:name="Tc_GsGRDMuH8k26AcORAM5Ckw_7_0"/>
      <w:bookmarkStart w:id="1064" w:name="Tc_-G1mrGjng0CeN3Zysw0a5g_2_2"/>
      <w:bookmarkStart w:id="1065" w:name="Tc_WsWm6Mrcr0Og2y_MqmS-xg_1_0"/>
      <w:bookmarkStart w:id="1066" w:name="_481fa7a4_789c_4ba5_853b_4015a27c25e0"/>
      <w:bookmarkStart w:id="1067" w:name="Tc_Ez30QE0AqEG4xJRW79zxLA_9_2"/>
      <w:bookmarkStart w:id="1068" w:name="Tc_Q44WJWHTe0-BYcqR7ILu3w_9_0"/>
      <w:bookmarkStart w:id="1069" w:name="Tc_fH_dM2fnvUOx853ndg_EEQ_8_0"/>
      <w:bookmarkStart w:id="1070" w:name="Tc_LRlDYBiSwku_NR_fBd0GYg_7_0"/>
      <w:bookmarkStart w:id="1071" w:name="Tc_7TPAFMcIi0qqUt4BcvIXUA_6_2"/>
      <w:bookmarkStart w:id="1072" w:name="Tc_ZWPRT4rieUmg51qcWUVp9w_6_0"/>
      <w:bookmarkStart w:id="1073" w:name="Tc_j_dwM295JEePPny26SuSbw_4_2"/>
      <w:bookmarkStart w:id="1074" w:name="Tc_o4HqpEjJTESxjFc7oU_S1w_4_0"/>
      <w:bookmarkStart w:id="1075" w:name="Tc_pa_dbVSUeUWoPyBLwl5nig_3_0"/>
      <w:bookmarkStart w:id="1076" w:name="Tc_8Dz195Vcw0y9n3o09UnzRg_2_0"/>
      <w:bookmarkStart w:id="1077" w:name="Tc_gVa65RQ2OEmG1B-Ppn2Awg_1_2"/>
      <w:bookmarkStart w:id="1078" w:name="Tc_8_HSdtMiEkqaW78_n_s_lw_1_0"/>
      <w:bookmarkStart w:id="1079" w:name="_89b6a846_0751_4126_bdb3_f5ad5b4ae1f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Pr>
          <w:rFonts w:ascii="Times New Roman;Times;serif" w:hAnsi="Times New Roman;Times;serif"/>
          <w:sz w:val="20"/>
        </w:rPr>
        <w:t>agreement. Revenue is recognized from these agreements as the underlying performance obligation is satisfied, which is over the term of the agreement.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information about the change in the franchise contract liability balances during the thirty-nine weeks ended September 24, 2025 and September 25, 2024 (in thousands):</w:t>
      </w:r>
    </w:p>
    <w:p>
      <w:pPr>
        <w:pStyle w:val="TextBody"/>
        <w:bidi w:val="0"/>
        <w:spacing w:before="0" w:after="240"/>
        <w:ind w:left="0" w:right="0" w:hanging="0"/>
        <w:jc w:val="left"/>
        <w:rPr/>
      </w:pPr>
      <w:r>
        <w:rPr/>
        <w:t>​</w:t>
      </w:r>
    </w:p>
    <w:tbl>
      <w:tblPr>
        <w:tblW w:w="3412" w:type="dxa"/>
        <w:jc w:val="left"/>
        <w:tblInd w:w="0" w:type="dxa"/>
        <w:tblLayout w:type="fixed"/>
        <w:tblCellMar>
          <w:top w:w="0" w:type="dxa"/>
          <w:left w:w="0" w:type="dxa"/>
          <w:bottom w:w="0" w:type="dxa"/>
          <w:right w:w="0" w:type="dxa"/>
        </w:tblCellMar>
      </w:tblPr>
      <w:tblGrid>
        <w:gridCol w:w="2416"/>
        <w:gridCol w:w="109"/>
        <w:gridCol w:w="211"/>
        <w:gridCol w:w="67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534160" cy="175260"/>
                      <wp:effectExtent l="0" t="0" r="0" b="0"/>
                      <wp:wrapNone/>
                      <wp:docPr id="228" name="Frame228"/>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25,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24, 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6,607</w:t>
            </w:r>
          </w:p>
        </w:tc>
      </w:tr>
      <w:tr>
        <w:trPr/>
        <w:tc>
          <w:tcPr>
            <w:tcW w:w="24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27, 2023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6,997</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contract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25,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6,746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illustrates the estimated revenue to be recognized in future periods related to performance obligations under the applicable contracts that are unsatisfied as of September 24, 2025 (in thousands):</w:t>
      </w:r>
    </w:p>
    <w:p>
      <w:pPr>
        <w:pStyle w:val="TextBody"/>
        <w:bidi w:val="0"/>
        <w:spacing w:before="0" w:after="240"/>
        <w:ind w:left="0" w:right="0" w:hanging="0"/>
        <w:jc w:val="left"/>
        <w:rPr/>
      </w:pPr>
      <w:r>
        <w:rPr/>
        <w:t>​</w:t>
      </w:r>
    </w:p>
    <w:tbl>
      <w:tblPr>
        <w:tblW w:w="3029" w:type="dxa"/>
        <w:jc w:val="left"/>
        <w:tblInd w:w="0" w:type="dxa"/>
        <w:tblLayout w:type="fixed"/>
        <w:tblCellMar>
          <w:top w:w="0" w:type="dxa"/>
          <w:left w:w="0" w:type="dxa"/>
          <w:bottom w:w="0" w:type="dxa"/>
          <w:right w:w="0" w:type="dxa"/>
        </w:tblCellMar>
      </w:tblPr>
      <w:tblGrid>
        <w:gridCol w:w="1816"/>
        <w:gridCol w:w="326"/>
        <w:gridCol w:w="211"/>
        <w:gridCol w:w="67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53160" cy="175260"/>
                      <wp:effectExtent l="0" t="0" r="0" b="0"/>
                      <wp:wrapNone/>
                      <wp:docPr id="232" name="Frame23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Franchise revenues:</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6,607</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Contract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does not currently incur costs to obtain or fulfill a contract that would be considered contract assets under Topic 606.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LEASES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operations utilize property, facilities, equipment and vehicles leased from others. Additionally, the Company has various contracts with vendors that have been determined to contain an embedded lease in accordance with Topic 842.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24, 2025, the Company had one lease that it had entered into, but had not yet commenced.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Significant Assumptions and Judgments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applying the requirements of Topic 842, the Company made significant assumptions and judgments related to determination of whether a contract contains a lease and the discount rate used for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also made significant assumptions and judgments in determining an appropriate discount rate for property leases. These included using a consistent discount rate for a portfolio of leases entered into at varying dates, using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full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has adopted the practical expedient not to separate lease and non-lease components, no significant assumptions or judgments were necessary in allocating consideration between these components, for all classes of underlying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Building and Facility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majority of the Company’s building and facilities leases are classified as operating leases; however, the Company currently has one facility and 24 equipment leases that are classified as finance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initial terms of land and restaurant building leases are generally 20 years, exclusive of options to renew. These leases typically have four </w:t>
      </w:r>
      <w:r>
        <w:rPr>
          <w:rFonts w:ascii="Times New Roman;Times;serif" w:hAnsi="Times New Roman;Times;serif"/>
          <w:b w:val="false"/>
          <w:i w:val="false"/>
          <w:caps w:val="false"/>
          <w:smallCaps w:val="false"/>
          <w:sz w:val="20"/>
        </w:rPr>
        <w:t>5-year</w:t>
      </w:r>
      <w:r>
        <w:rPr>
          <w:rFonts w:ascii="Times New Roman;Times;serif" w:hAnsi="Times New Roman;Times;serif"/>
          <w:sz w:val="20"/>
        </w:rPr>
        <w:t xml:space="preserve"> renewal options, which have generally been excluded in the calculation of the ROU asset and lease liability, as they are not considered reasonably certain to be exercised, unless there have been significant leasehold improvements that have a useful life that extend past the original lease term. Furthermore, there are no residual value guarantees and no restrictions imposed by the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thirty-nine weeks ended September 24, 2025, the Company reassessed the lease terms on 10 and 19 restaurants, respectively, due to certain triggering events, such as the addition of significant leasehold improvements with useful lives that extend past the current lease expiration, the decision to terminate a lease, or the decision to renew or exercise an option. This reassessment resulted in an additional</w:t>
      </w:r>
      <w:r>
        <w:rPr>
          <w:rFonts w:ascii="Times New Roman;Times;serif" w:hAnsi="Times New Roman;Times;serif"/>
          <w:sz w:val="20"/>
          <w:shd w:fill="FFFFFF" w:val="clear"/>
        </w:rPr>
        <w:t xml:space="preserve"> $6.9 million and $14.0 million </w:t>
      </w:r>
      <w:r>
        <w:rPr>
          <w:rFonts w:ascii="Times New Roman;Times;serif" w:hAnsi="Times New Roman;Times;serif"/>
          <w:sz w:val="20"/>
        </w:rPr>
        <w:t>of ROU asset and lease liabilities for the thirteen and thirty-nine weeks ended September 24, 2025, respectively, which were recognized and will be amortized over the new lease term. During the thirteen and thirty-nine weeks ended September 25, 2024, the Company reassessed the lease terms on seven and 19 restaurants, respectively, due to certain triggering events, such as the addition of significant leasehold improvements with useful lives that extend past the current lease expiration, the decision to terminate a lease, or the decision to renew or exercise an option. This reassessment resulted in an additional $4.6 million and $12.7 million of ROU asset and lease liabilities for the thirteen and thirty-nine weeks ended September 25, 2024, respectively, which were recognized and will be amortized over the new lease term. Additionally, as the Company adopted all practical expedients available under Topic 842, no reallocation between lease and non-lease components was necessary.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both the thirteen and thirty-nine weeks ended September 24, 2025 and September 25, 2024, the Company did not record any non-cash impairment charges. See Note 1, “Basis of Presentation and Summary of Significant Accounting Policies – Impairment of Property and Equipment and ROU Assets” for additional information.</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Equipment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Leases of equipment primarily consist of restaurant equipment, copiers and vehicles. These leases are fixed payments with no variable component. Additionally, no optional renewal periods have been included in the calculation of the ROU asset, and there are no residual value guarantees and no restrictions imposed.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080" w:name="Tc_0kBnWBGr6keKhmxTV9-iTQ_7_12"/>
      <w:bookmarkStart w:id="1081" w:name="Tc_SL0nmNd41EGS_Ks8U4t6Ag_7_9"/>
      <w:bookmarkStart w:id="1082" w:name="Tc_oxe_FaidJUa9CgfNEf_nEA_7_5"/>
      <w:bookmarkStart w:id="1083" w:name="Tc_Dnipt82yhke4zjgPArysBg_7_2"/>
      <w:bookmarkStart w:id="1084" w:name="Tc_uAJuhOJuvkK0bjShgI_ZVQ_7_0"/>
      <w:bookmarkStart w:id="1085" w:name="Tc_hx8LQDJ0ukWBdFlVnEU59w_6_0"/>
      <w:bookmarkStart w:id="1086" w:name="Tc_dlBj4nLYz0qhqOi0VMtsYQ_5_0"/>
      <w:bookmarkStart w:id="1087" w:name="Tc_KP61aKN5rUytK2Jl4EAWJQ_4_0"/>
      <w:bookmarkStart w:id="1088" w:name="Tc_p5VUY7Y5n0ub9j1FV9s6Ew_3_12"/>
      <w:bookmarkStart w:id="1089" w:name="Tc_58pnwXYCVEea8fqJylEsLg_3_9"/>
      <w:bookmarkStart w:id="1090" w:name="Tc_wOVIdQBHEkuVQEuBuTfFaA_3_5"/>
      <w:bookmarkStart w:id="1091" w:name="Tc_bUqCIRqha0KDD45QK3czCw_3_2"/>
      <w:bookmarkStart w:id="1092" w:name="Tc_2Eh0LiJ4cEKLYVBv9nRC0w_3_0"/>
      <w:bookmarkStart w:id="1093" w:name="Tc_nQJSmRf7O0KIaXnzX5aSMQ_2_12"/>
      <w:bookmarkStart w:id="1094" w:name="Tc_EuAEa-M20UCkDj9eEH1HYg_2_9"/>
      <w:bookmarkStart w:id="1095" w:name="Tc_KtjXp70NrESkd_ys6JycFw_2_5"/>
      <w:bookmarkStart w:id="1096" w:name="Tc_DNKDTDjhnU22KdvTD0aPTw_2_2"/>
      <w:bookmarkStart w:id="1097" w:name="Tc_-pq0wQqdokeTJQTXNtrUyw_1_9"/>
      <w:bookmarkStart w:id="1098" w:name="Tc_JgloOPxkdkupZJTo3gqwFA_1_2"/>
      <w:bookmarkStart w:id="1099" w:name="_73b627b9_d824_44a1_aa77_0db623e45990"/>
      <w:bookmarkStart w:id="1100" w:name="Tc_pY4dOJ9HhkOz4F7E_HtmjA_13_17"/>
      <w:bookmarkStart w:id="1101" w:name="Tc_kgH4AvvY3E2GuDwHVGtxWw_13_14"/>
      <w:bookmarkStart w:id="1102" w:name="Tc_OvzikVeZlUCfeEA9V87AGA_13_11"/>
      <w:bookmarkStart w:id="1103" w:name="Tc_tdKKOThbc0eU5luEyvNyNg_13_8"/>
      <w:bookmarkStart w:id="1104" w:name="Tc_--26LVxooUCKCY7Tv5OO-A_13_5"/>
      <w:bookmarkStart w:id="1105" w:name="Tc_pg_608XJk0qM55YhkTCXRA_13_2"/>
      <w:bookmarkStart w:id="1106" w:name="Tc_gANYwob5QEKBVtfWFbkzeQ_13_0"/>
      <w:bookmarkStart w:id="1107" w:name="Tc_onLL2ZFwzUKMqxpUpNlLeA_12_15"/>
      <w:bookmarkStart w:id="1108" w:name="Tc_TFAfTItsUU-cLeQk0Z9zHA_12_6"/>
      <w:bookmarkStart w:id="1109" w:name="Tc__iig7shrdEq-_yxt_QG4iw_12_0"/>
      <w:bookmarkStart w:id="1110" w:name="Tc__bvt7ye7_EuILBdzK89ktQ_11_0"/>
      <w:bookmarkStart w:id="1111" w:name="Tc_uAvclenxBkuAELAs93Tm1A_10_12"/>
      <w:bookmarkStart w:id="1112" w:name="Tc_Uhu4mLlzMEGl1q-PSsnR3w_10_3"/>
      <w:bookmarkStart w:id="1113" w:name="Tc_K6GuW1I8v0uZxTOlLtf2tQ_10_0"/>
      <w:bookmarkStart w:id="1114" w:name="Tc_nZ2gQ5aoT0qE-lxolsmemg_9_0"/>
      <w:bookmarkStart w:id="1115" w:name="Tc_mHV-SOAUZkutQq_cwxF4Pw_8_0"/>
      <w:bookmarkStart w:id="1116" w:name="Tc_Tf9HCLZpd0qTszG9dEmw_w_7_0"/>
      <w:bookmarkStart w:id="1117" w:name="Tc_pApfaF1ShE2R2PpukKzFCg_6_17"/>
      <w:bookmarkStart w:id="1118" w:name="Tc_dyJjtefMKU2Y_xzeEJeWPQ_6_14"/>
      <w:bookmarkStart w:id="1119" w:name="Tc_CBu_IUdqVEq7gaNtyC_pXw_6_11"/>
      <w:bookmarkStart w:id="1120" w:name="Tc_zuhJSgok1EmC4p2KOkd8rg_6_8"/>
      <w:bookmarkStart w:id="1121" w:name="Tc_qBApvjG1Jk6lOsPMA2Ypzg_6_5"/>
      <w:bookmarkStart w:id="1122" w:name="Tc_omu9du96HU-FS195_IxbCg_6_2"/>
      <w:bookmarkStart w:id="1123" w:name="Tc_zCJkQ-nZ6kGIILymNPEnmQ_6_0"/>
      <w:bookmarkStart w:id="1124" w:name="Tc_tK1mvft7PUetvOxicHBw5A_5_0"/>
      <w:bookmarkStart w:id="1125" w:name="Tc_nDI5QxYLoUqOaSTEPpCGEQ_4_17"/>
      <w:bookmarkStart w:id="1126" w:name="Tc_IXzF-i7yh0a7Mqe0i-TPLA_4_14"/>
      <w:bookmarkStart w:id="1127" w:name="Tc_e51tAPQ3eUWVD8PGvZn3RA_4_11"/>
      <w:bookmarkStart w:id="1128" w:name="Tc_jg6P7u-eRUWUy7inasbSvQ_4_8"/>
      <w:bookmarkStart w:id="1129" w:name="Tc_qvlxFCb-MEWbdoKEwjw9NQ_4_5"/>
      <w:bookmarkStart w:id="1130" w:name="Tc_8DPRMYNKXU-nqzqjIY-gNQ_4_2"/>
      <w:bookmarkStart w:id="1131" w:name="Tc_6sGiWeaFHkWablrCOiBnSA_3_14"/>
      <w:bookmarkStart w:id="1132" w:name="Tc_3IcIrC72JUm7tIehbLVTPw_3_11"/>
      <w:bookmarkStart w:id="1133" w:name="Tc_taIxrSuPjUeZXpF1j4i5Cg_3_5"/>
      <w:bookmarkStart w:id="1134" w:name="Tc_Rn9iWuFhgkqra66jHxvx4w_3_2"/>
      <w:bookmarkStart w:id="1135" w:name="Tc_7FggX0_SG0WJztwAQkPg9g_2_11"/>
      <w:bookmarkStart w:id="1136" w:name="Tc_GPXmkjqY6EGbX131Iq9bCg_2_2"/>
      <w:bookmarkStart w:id="1137" w:name="Tc_iVNpIKugvEGxvoy9NAeGDQ_1_2"/>
      <w:bookmarkStart w:id="1138" w:name="_faa7672b_d984_40b2_b22d_14f1f5511c56"/>
      <w:bookmarkStart w:id="1139" w:name="Tc_fFkC6VMuBEaw0CXtdHDJGQ_13_17"/>
      <w:bookmarkStart w:id="1140" w:name="Tc_yJ_UX2u7gU-13S5IOGXZkQ_13_14"/>
      <w:bookmarkStart w:id="1141" w:name="Tc_BzVWs-ld-kGLaLmB9RtWnw_13_11"/>
      <w:bookmarkStart w:id="1142" w:name="Tc_XrIq_uU3kkW9MvY2OvVSDA_13_8"/>
      <w:bookmarkStart w:id="1143" w:name="Tc_c4L9SuBihEaObTN2JwUGkQ_13_5"/>
      <w:bookmarkStart w:id="1144" w:name="Tc_UvoWJPwH6UCblciADtkZ1g_13_2"/>
      <w:bookmarkStart w:id="1145" w:name="Tc_IDsmmOgwGEmoh37hdXd2Wg_13_0"/>
      <w:bookmarkStart w:id="1146" w:name="Tc_aJM5LOqTI0GlzvRNL9iyow_12_15"/>
      <w:bookmarkStart w:id="1147" w:name="Tc_KSksIsfXdkK7lWL_KaNCbQ_12_6"/>
      <w:bookmarkStart w:id="1148" w:name="Tc_Z-1HA1NeqU6zke_Jr1tCsA_12_0"/>
      <w:bookmarkStart w:id="1149" w:name="Tc_Zn6HNeVOmUqZtur_HdMOcg_11_0"/>
      <w:bookmarkStart w:id="1150" w:name="Tc_bN3FOSNB1Ey1LfiL--iUcQ_10_12"/>
      <w:bookmarkStart w:id="1151" w:name="Tc_PfpYIRuh9k-2gffkDqJK_A_10_3"/>
      <w:bookmarkStart w:id="1152" w:name="Tc_uS7hHoiCkUiu8lmiCZ8BPA_10_0"/>
      <w:bookmarkStart w:id="1153" w:name="Tc_8XTrV2gsVEuPEL7emcP8HQ_9_0"/>
      <w:bookmarkStart w:id="1154" w:name="Tc_9hGMmyHypEqjF3IYmwu0wg_8_0"/>
      <w:bookmarkStart w:id="1155" w:name="Tc_xBFdCWiDh0W6OeyxP0vY3g_7_0"/>
      <w:bookmarkStart w:id="1156" w:name="Tc_R6IhsEEo7kOA-f-KqATkYg_6_17"/>
      <w:bookmarkStart w:id="1157" w:name="Tc_ySpicdQpqE-s1-IQn5Rnsg_6_14"/>
      <w:bookmarkStart w:id="1158" w:name="Tc_bifJoVSjOE2HtadGBQhfMw_6_11"/>
      <w:bookmarkStart w:id="1159" w:name="Tc_-UFhFz2zi0K8uWdSjh_fEQ_6_8"/>
      <w:bookmarkStart w:id="1160" w:name="Tc_h4ISTwdCL0C91V0ENRDFrw_6_5"/>
      <w:bookmarkStart w:id="1161" w:name="Tc_g7l2JERT5UqwcVK7l84cEQ_6_2"/>
      <w:bookmarkStart w:id="1162" w:name="Tc_GpmUy87URkuyeVo0nsIpYg_6_0"/>
      <w:bookmarkStart w:id="1163" w:name="Tc_bpLQFKanlk-acdb_lvzrlQ_5_0"/>
      <w:bookmarkStart w:id="1164" w:name="Tc_srTBcwWioUmsSM_zTE-1ow_4_17"/>
      <w:bookmarkStart w:id="1165" w:name="Tc_r6nqLKwmnUeDSEL2BjC0ug_4_14"/>
      <w:bookmarkStart w:id="1166" w:name="Tc_X32IyFMZJEasdkw3G8ADaw_4_11"/>
      <w:bookmarkStart w:id="1167" w:name="Tc_FYFxgJn1aUOfiRegO7BoRA_4_8"/>
      <w:bookmarkStart w:id="1168" w:name="Tc_aZpf7WrgOEebnmUPz3AYsw_4_5"/>
      <w:bookmarkStart w:id="1169" w:name="Tc_isS2q0jGCEGMcZlHoVrv3w_4_2"/>
      <w:bookmarkStart w:id="1170" w:name="Tc_HXMeRE4m9UupczxxJSgMEw_3_14"/>
      <w:bookmarkStart w:id="1171" w:name="Tc_zFdQ_iS5EU-89MTUAhv6Og_3_11"/>
      <w:bookmarkStart w:id="1172" w:name="Tc_z9Y7nkK27k2l3-_wFvRFHw_3_5"/>
      <w:bookmarkStart w:id="1173" w:name="Tc_u4f6O14GnE2aCwpqVlYEig_3_2"/>
      <w:bookmarkStart w:id="1174" w:name="Tc_UxR5fline0GOXAcE-kFdXw_2_11"/>
      <w:bookmarkStart w:id="1175" w:name="Tc_2xgQ-6U4DE-7hap09u_E7A_2_2"/>
      <w:bookmarkStart w:id="1176" w:name="Tc_kHd4r80hAESwPLGMjO9xig_1_2"/>
      <w:bookmarkStart w:id="1177" w:name="_a889b129_7a2c_4b2b_9af1_42127f4c4cc0"/>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i/>
          <w:sz w:val="20"/>
        </w:rPr>
        <w:t>Lease Cost and Lease Activities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total lease cost, disaggregated by underlying asset (in thousands):</w:t>
      </w:r>
    </w:p>
    <w:p>
      <w:pPr>
        <w:pStyle w:val="TextBody"/>
        <w:bidi w:val="0"/>
        <w:spacing w:before="0" w:after="0"/>
        <w:ind w:left="0" w:right="0" w:hanging="0"/>
        <w:jc w:val="left"/>
        <w:rPr/>
      </w:pPr>
      <w:r>
        <w:rPr/>
        <w:t>​</w:t>
      </w:r>
    </w:p>
    <w:tbl>
      <w:tblPr>
        <w:tblW w:w="9041" w:type="dxa"/>
        <w:jc w:val="left"/>
        <w:tblInd w:w="0" w:type="dxa"/>
        <w:tblLayout w:type="fixed"/>
        <w:tblCellMar>
          <w:top w:w="0" w:type="dxa"/>
          <w:left w:w="0" w:type="dxa"/>
          <w:bottom w:w="0" w:type="dxa"/>
          <w:right w:w="0" w:type="dxa"/>
        </w:tblCellMar>
      </w:tblPr>
      <w:tblGrid>
        <w:gridCol w:w="2596"/>
        <w:gridCol w:w="326"/>
        <w:gridCol w:w="211"/>
        <w:gridCol w:w="631"/>
        <w:gridCol w:w="326"/>
        <w:gridCol w:w="303"/>
        <w:gridCol w:w="583"/>
        <w:gridCol w:w="326"/>
        <w:gridCol w:w="196"/>
        <w:gridCol w:w="631"/>
        <w:gridCol w:w="109"/>
        <w:gridCol w:w="196"/>
        <w:gridCol w:w="631"/>
        <w:gridCol w:w="109"/>
        <w:gridCol w:w="303"/>
        <w:gridCol w:w="583"/>
        <w:gridCol w:w="109"/>
        <w:gridCol w:w="196"/>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48460" cy="175260"/>
                      <wp:effectExtent l="0" t="0" r="0" b="0"/>
                      <wp:wrapNone/>
                      <wp:docPr id="236" name="Frame2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00685" cy="175260"/>
                      <wp:effectExtent l="0" t="0" r="0" b="0"/>
                      <wp:wrapNone/>
                      <wp:docPr id="239" name="Frame23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92405" cy="175260"/>
                      <wp:effectExtent l="0" t="0" r="0" b="0"/>
                      <wp:wrapNone/>
                      <wp:docPr id="241" name="Frame24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70205" cy="175260"/>
                      <wp:effectExtent l="0" t="0" r="0" b="0"/>
                      <wp:wrapNone/>
                      <wp:docPr id="242" name="Frame242"/>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00685" cy="175260"/>
                      <wp:effectExtent l="0" t="0" r="0" b="0"/>
                      <wp:wrapNone/>
                      <wp:docPr id="245" name="Frame24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00685" cy="175260"/>
                      <wp:effectExtent l="0" t="0" r="0" b="0"/>
                      <wp:wrapNone/>
                      <wp:docPr id="248" name="Frame24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92405" cy="175260"/>
                      <wp:effectExtent l="0" t="0" r="0" b="0"/>
                      <wp:wrapNone/>
                      <wp:docPr id="250" name="Frame25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70205" cy="175260"/>
                      <wp:effectExtent l="0" t="0" r="0" b="0"/>
                      <wp:wrapNone/>
                      <wp:docPr id="251" name="Frame251"/>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1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0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0"/>
              <w:ind w:left="0" w:right="0" w:hanging="0"/>
              <w:jc w:val="center"/>
              <w:rPr/>
            </w:pPr>
            <w:r>
              <w:rPr/>
              <w:t>​</w:t>
            </w:r>
          </w:p>
        </w:tc>
        <w:tc>
          <w:tcPr>
            <w:tcW w:w="28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0"/>
              <w:ind w:left="0" w:right="0" w:hanging="0"/>
              <w:jc w:val="center"/>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rent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7,295</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7,012</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5,735</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707" w:type="dxa"/>
        <w:jc w:val="left"/>
        <w:tblInd w:w="0" w:type="dxa"/>
        <w:tblLayout w:type="fixed"/>
        <w:tblCellMar>
          <w:top w:w="0" w:type="dxa"/>
          <w:left w:w="0" w:type="dxa"/>
          <w:bottom w:w="0" w:type="dxa"/>
          <w:right w:w="0" w:type="dxa"/>
        </w:tblCellMar>
      </w:tblPr>
      <w:tblGrid>
        <w:gridCol w:w="2596"/>
        <w:gridCol w:w="326"/>
        <w:gridCol w:w="196"/>
        <w:gridCol w:w="631"/>
        <w:gridCol w:w="326"/>
        <w:gridCol w:w="245"/>
        <w:gridCol w:w="641"/>
        <w:gridCol w:w="326"/>
        <w:gridCol w:w="196"/>
        <w:gridCol w:w="631"/>
        <w:gridCol w:w="326"/>
        <w:gridCol w:w="196"/>
        <w:gridCol w:w="631"/>
        <w:gridCol w:w="326"/>
        <w:gridCol w:w="245"/>
        <w:gridCol w:w="641"/>
        <w:gridCol w:w="326"/>
        <w:gridCol w:w="196"/>
        <w:gridCol w:w="70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48460" cy="175260"/>
                      <wp:effectExtent l="0" t="0" r="0" b="0"/>
                      <wp:wrapNone/>
                      <wp:docPr id="255" name="Frame25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7"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00685" cy="175260"/>
                      <wp:effectExtent l="0" t="0" r="0" b="0"/>
                      <wp:wrapNone/>
                      <wp:docPr id="258" name="Frame25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55575" cy="175260"/>
                      <wp:effectExtent l="0" t="0" r="0" b="0"/>
                      <wp:wrapNone/>
                      <wp:docPr id="260" name="Frame26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7035" cy="175260"/>
                      <wp:effectExtent l="0" t="0" r="0" b="0"/>
                      <wp:wrapNone/>
                      <wp:docPr id="261" name="Frame261"/>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4460" cy="175260"/>
                      <wp:effectExtent l="0" t="0" r="0" b="0"/>
                      <wp:wrapNone/>
                      <wp:docPr id="263"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00685" cy="175260"/>
                      <wp:effectExtent l="0" t="0" r="0" b="0"/>
                      <wp:wrapNone/>
                      <wp:docPr id="264" name="Frame26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6"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00685" cy="175260"/>
                      <wp:effectExtent l="0" t="0" r="0" b="0"/>
                      <wp:wrapNone/>
                      <wp:docPr id="267" name="Frame26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5575" cy="175260"/>
                      <wp:effectExtent l="0" t="0" r="0" b="0"/>
                      <wp:wrapNone/>
                      <wp:docPr id="269" name="Frame26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07035" cy="175260"/>
                      <wp:effectExtent l="0" t="0" r="0" b="0"/>
                      <wp:wrapNone/>
                      <wp:docPr id="270" name="Frame27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8310" cy="175260"/>
                      <wp:effectExtent l="0" t="0" r="0" b="0"/>
                      <wp:wrapNone/>
                      <wp:docPr id="273" name="Frame2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8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center"/>
              <w:rPr/>
            </w:pPr>
            <w:r>
              <w:rPr/>
              <w:t>​</w:t>
            </w:r>
          </w:p>
        </w:tc>
        <w:tc>
          <w:tcPr>
            <w:tcW w:w="326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Property</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lease cost: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rent cost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21,692</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21,220</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21,442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lease cost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Sublease income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(5,193)</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(5,354)</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17,028</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16,397</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17,709</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total lease cost on the condensed consolidated statements of income (in thousands):</w:t>
      </w:r>
    </w:p>
    <w:p>
      <w:pPr>
        <w:pStyle w:val="TextBody"/>
        <w:bidi w:val="0"/>
        <w:spacing w:before="0" w:after="24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43"/>
        <w:gridCol w:w="206"/>
        <w:gridCol w:w="417"/>
        <w:gridCol w:w="1129"/>
        <w:gridCol w:w="206"/>
        <w:gridCol w:w="417"/>
        <w:gridCol w:w="1129"/>
        <w:gridCol w:w="109"/>
        <w:gridCol w:w="206"/>
        <w:gridCol w:w="367"/>
        <w:gridCol w:w="1179"/>
        <w:gridCol w:w="206"/>
        <w:gridCol w:w="338"/>
        <w:gridCol w:w="1253"/>
      </w:tblGrid>
      <w:tr>
        <w:trPr/>
        <w:tc>
          <w:tcPr>
            <w:tcW w:w="3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932305" cy="175260"/>
                      <wp:effectExtent l="0" t="0" r="0" b="0"/>
                      <wp:wrapNone/>
                      <wp:docPr id="274" name="Frame274"/>
                      <a:graphic xmlns:a="http://schemas.openxmlformats.org/drawingml/2006/main">
                        <a:graphicData uri="http://schemas.microsoft.com/office/word/2010/wordprocessingShape">
                          <wps:wsp>
                            <wps:cNvSpPr txBox="1"/>
                            <wps:spPr>
                              <a:xfrm>
                                <a:off x="0" y="0"/>
                                <a:ext cx="193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0810" cy="175260"/>
                      <wp:effectExtent l="0" t="0" r="0" b="0"/>
                      <wp:wrapNone/>
                      <wp:docPr id="275" name="Frame27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64795" cy="175260"/>
                      <wp:effectExtent l="0" t="0" r="0" b="0"/>
                      <wp:wrapNone/>
                      <wp:docPr id="276" name="Frame276"/>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16915" cy="175260"/>
                      <wp:effectExtent l="0" t="0" r="0" b="0"/>
                      <wp:wrapNone/>
                      <wp:docPr id="277" name="Frame277"/>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0810" cy="175260"/>
                      <wp:effectExtent l="0" t="0" r="0" b="0"/>
                      <wp:wrapNone/>
                      <wp:docPr id="278" name="Frame27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64795" cy="175260"/>
                      <wp:effectExtent l="0" t="0" r="0" b="0"/>
                      <wp:wrapNone/>
                      <wp:docPr id="279" name="Frame27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16915" cy="175260"/>
                      <wp:effectExtent l="0" t="0" r="0" b="0"/>
                      <wp:wrapNone/>
                      <wp:docPr id="280" name="Frame28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9215" cy="175260"/>
                      <wp:effectExtent l="0" t="0" r="0" b="0"/>
                      <wp:wrapNone/>
                      <wp:docPr id="281" name="Frame2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0810" cy="175260"/>
                      <wp:effectExtent l="0" t="0" r="0" b="0"/>
                      <wp:wrapNone/>
                      <wp:docPr id="282" name="Frame28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3045" cy="175260"/>
                      <wp:effectExtent l="0" t="0" r="0" b="0"/>
                      <wp:wrapNone/>
                      <wp:docPr id="283" name="Frame28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48665" cy="175260"/>
                      <wp:effectExtent l="0" t="0" r="0" b="0"/>
                      <wp:wrapNone/>
                      <wp:docPr id="284" name="Frame28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0810" cy="175260"/>
                      <wp:effectExtent l="0" t="0" r="0" b="0"/>
                      <wp:wrapNone/>
                      <wp:docPr id="285" name="Frame28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4630" cy="175260"/>
                      <wp:effectExtent l="0" t="0" r="0" b="0"/>
                      <wp:wrapNone/>
                      <wp:docPr id="286" name="Frame28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95655" cy="175260"/>
                      <wp:effectExtent l="0" t="0" r="0" b="0"/>
                      <wp:wrapNone/>
                      <wp:docPr id="287" name="Frame287"/>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2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3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304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20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20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Occupancy and other operating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5,992</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17,927</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17,228</w:t>
            </w:r>
          </w:p>
        </w:tc>
      </w:tr>
      <w:tr>
        <w:trPr/>
        <w:tc>
          <w:tcPr>
            <w:tcW w:w="3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General &amp; administrative</w:t>
            </w:r>
          </w:p>
        </w:tc>
        <w:tc>
          <w:tcPr>
            <w:tcW w:w="20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206"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righ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20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Depreciation and amortization</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 </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shd w:fill="CCEEFF" w:val="clear"/>
            <w:vAlign w:val="center"/>
          </w:tcPr>
          <w:p>
            <w:pPr>
              <w:pStyle w:val="TableContents"/>
              <w:bidi w:val="0"/>
              <w:spacing w:before="0" w:after="0"/>
              <w:ind w:left="0" w:right="0" w:hanging="0"/>
              <w:jc w:val="righ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0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 – Interest expense</w:t>
            </w:r>
          </w:p>
        </w:tc>
        <w:tc>
          <w:tcPr>
            <w:tcW w:w="206" w:type="dxa"/>
            <w:tcBorders/>
            <w:vAlign w:val="center"/>
          </w:tcPr>
          <w:p>
            <w:pPr>
              <w:pStyle w:val="TableContents"/>
              <w:bidi w:val="0"/>
              <w:spacing w:before="0" w:after="0"/>
              <w:ind w:left="0" w:right="0" w:hanging="0"/>
              <w:jc w:val="left"/>
              <w:rPr/>
            </w:pPr>
            <w:r>
              <w:rPr/>
              <w:t>​</w:t>
            </w:r>
          </w:p>
        </w:tc>
        <w:tc>
          <w:tcPr>
            <w:tcW w:w="4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06" w:type="dxa"/>
            <w:tcBorders/>
            <w:vAlign w:val="center"/>
          </w:tcPr>
          <w:p>
            <w:pPr>
              <w:pStyle w:val="TableContents"/>
              <w:bidi w:val="0"/>
              <w:spacing w:before="0" w:after="0"/>
              <w:ind w:left="0" w:right="0" w:hanging="0"/>
              <w:jc w:val="right"/>
              <w:rPr/>
            </w:pPr>
            <w:r>
              <w:rPr/>
              <w:t>​</w:t>
            </w:r>
          </w:p>
        </w:tc>
        <w:tc>
          <w:tcPr>
            <w:tcW w:w="417" w:type="dxa"/>
            <w:tcBorders/>
            <w:vAlign w:val="center"/>
          </w:tcPr>
          <w:p>
            <w:pPr>
              <w:pStyle w:val="TableContents"/>
              <w:bidi w:val="0"/>
              <w:spacing w:before="0" w:after="0"/>
              <w:ind w:left="0" w:right="0" w:hanging="0"/>
              <w:jc w:val="righ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20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0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206" w:type="dxa"/>
            <w:tcBorders/>
            <w:shd w:fill="CCEEFF" w:val="clear"/>
            <w:vAlign w:val="center"/>
          </w:tcPr>
          <w:p>
            <w:pPr>
              <w:pStyle w:val="TableContents"/>
              <w:bidi w:val="0"/>
              <w:spacing w:before="0" w:after="0"/>
              <w:ind w:left="0" w:right="0" w:hanging="0"/>
              <w:jc w:val="lef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6,265</w:t>
            </w:r>
          </w:p>
        </w:tc>
        <w:tc>
          <w:tcPr>
            <w:tcW w:w="206" w:type="dxa"/>
            <w:tcBorders/>
            <w:shd w:fill="CCEEFF" w:val="clear"/>
            <w:vAlign w:val="center"/>
          </w:tcPr>
          <w:p>
            <w:pPr>
              <w:pStyle w:val="TableContents"/>
              <w:bidi w:val="0"/>
              <w:spacing w:before="0" w:after="0"/>
              <w:ind w:left="0" w:right="0" w:hanging="0"/>
              <w:jc w:val="right"/>
              <w:rPr/>
            </w:pPr>
            <w:r>
              <w:rPr/>
              <w:t>​</w:t>
            </w:r>
          </w:p>
        </w:tc>
        <w:tc>
          <w:tcPr>
            <w:tcW w:w="4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18,539</w:t>
            </w:r>
          </w:p>
        </w:tc>
        <w:tc>
          <w:tcPr>
            <w:tcW w:w="20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17,709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78" w:name="Tc_Gpi0lPO4iU-hJcv-BQT9lA_15_5"/>
      <w:bookmarkStart w:id="1179" w:name="Tc_b52ZooPgC0eCUzYCaU46Yg_15_2"/>
      <w:bookmarkStart w:id="1180" w:name="Tc_ahZeo0AYCE6itaQxoRPlhQ_15_0"/>
      <w:bookmarkStart w:id="1181" w:name="Tc_Kx6hwiNPV0Oy3tPWqLAo4g_14_0"/>
      <w:bookmarkStart w:id="1182" w:name="Tc_bISjVcwfhUux1XdptNTexA_13_0"/>
      <w:bookmarkStart w:id="1183" w:name="Tc_xS6_9bUWUU-85fVuN1nrwQ_12_0"/>
      <w:bookmarkStart w:id="1184" w:name="Tc_9uzaVAHrSEmvzLmgUwi8IA_11_8"/>
      <w:bookmarkStart w:id="1185" w:name="Tc_YhrQWphRDEqwzlQAUOVXFQ_11_5"/>
      <w:bookmarkStart w:id="1186" w:name="Tc_YxWSI6maekyjJ0JW1f-1mQ_11_2"/>
      <w:bookmarkStart w:id="1187" w:name="Tc_ysqFBT-_dUancEgUu53XWg_11_0"/>
      <w:bookmarkStart w:id="1188" w:name="Tc_msbx_rL09EiNKcK4b6NQYQ_10_0"/>
      <w:bookmarkStart w:id="1189" w:name="Tc_1H1eweCjPUKCi3NRPEDQYQ_9_0"/>
      <w:bookmarkStart w:id="1190" w:name="Tc_4hct4T_KYkay2SVYgXimhQ_8_0"/>
      <w:bookmarkStart w:id="1191" w:name="Tc_e1mmYQRHdkCv8RyHzORLbA_7_0"/>
      <w:bookmarkStart w:id="1192" w:name="Tc_X3He8iDfy0271gGqCvg1Ug_6_0"/>
      <w:bookmarkStart w:id="1193" w:name="Tc_0ZKMSrGoOkGuhhIUmZ6MBw_5_8"/>
      <w:bookmarkStart w:id="1194" w:name="Tc_8NsgJ0L-fkmk0H8qxlIJRg_5_5"/>
      <w:bookmarkStart w:id="1195" w:name="Tc_SaaExjuW5EqzqOfDxSELpw_5_2"/>
      <w:bookmarkStart w:id="1196" w:name="Tc_fcqVkfk5SUG8z-GwaxnHfQ_5_0"/>
      <w:bookmarkStart w:id="1197" w:name="Tc_OBRlHZrLrUy8oYVPHFOKug_4_8"/>
      <w:bookmarkStart w:id="1198" w:name="Tc_uBcG9AEg8Eq__8GVJxuNzA_4_5"/>
      <w:bookmarkStart w:id="1199" w:name="Tc_FazlVx8cSUqHD_ixXnHoVg_4_2"/>
      <w:bookmarkStart w:id="1200" w:name="Tc_04MlIfZPz0mBDkPPhqHD_g_4_0"/>
      <w:bookmarkStart w:id="1201" w:name="Tc_soWhaM7NK06_iyndeBxt8w_3_8"/>
      <w:bookmarkStart w:id="1202" w:name="Tc_n1bEDwMJv02QMP4x9v8e6A_3_5"/>
      <w:bookmarkStart w:id="1203" w:name="Tc_gorH8HVr3ESIV-dFifXhiA_3_2"/>
      <w:bookmarkStart w:id="1204" w:name="Tc_FIa51re0UEe_hAhOhN6m1A_2_8"/>
      <w:bookmarkStart w:id="1205" w:name="Tc_1CA9S-dLO0uknvmX4_PuSw_2_5"/>
      <w:bookmarkStart w:id="1206" w:name="Tc_09e-pU99s0S5CTeWhpLi0A_2_2"/>
      <w:bookmarkStart w:id="1207" w:name="Tc_iwVkiMm7Wk-cJj17mouSFA_1_5"/>
      <w:bookmarkStart w:id="1208" w:name="Tc_t4WGsDxJZEenTUGh7SnNdw_1_2"/>
      <w:bookmarkStart w:id="1209" w:name="_65affca2_7bf7_434d_86ca_b717bae683ac"/>
      <w:bookmarkStart w:id="1210" w:name="Tc_n5vz8Z-Th06m0UkLK-R6AA_20_16"/>
      <w:bookmarkStart w:id="1211" w:name="Tc_9agnU_q67kCEpPwdvsO84Q_20_13"/>
      <w:bookmarkStart w:id="1212" w:name="Tc_e15o7gHauUexZk16Hz_VbA_20_7"/>
      <w:bookmarkStart w:id="1213" w:name="Tc_4eery90J5UO6Iu9c7hyAgg_20_4"/>
      <w:bookmarkStart w:id="1214" w:name="Tc_SzmZ1iqosEqZRUuBkqqaJw_20_0"/>
      <w:bookmarkStart w:id="1215" w:name="Tc_wFnFpvp6E0yVYmMgQUQisw_19_16"/>
      <w:bookmarkStart w:id="1216" w:name="Tc_EabwEbI1wU-GzmtOiJB-mQ_19_13"/>
      <w:bookmarkStart w:id="1217" w:name="Tc__MpjnLG_g0q0SvXDpdlLzQ_19_7"/>
      <w:bookmarkStart w:id="1218" w:name="Tc_BR61lHfG-UW5B9VH40V8Fw_19_4"/>
      <w:bookmarkStart w:id="1219" w:name="Tc_SDUUUUXm1UOaSDF_Frxvuw_19_0"/>
      <w:bookmarkStart w:id="1220" w:name="Tc_VIDZ3eCzxESSxh2-a4rwMg_18_0"/>
      <w:bookmarkStart w:id="1221" w:name="Tc_ns6ebutoqk6JdTLS3aD0lQ_17_0"/>
      <w:bookmarkStart w:id="1222" w:name="Tc_Lk1bAx-sKkW2ZhP-Bfx_9g_16_0"/>
      <w:bookmarkStart w:id="1223" w:name="Tc_5XUpN_NqH0exzRlkjeTIJg_13_18"/>
      <w:bookmarkStart w:id="1224" w:name="Tc_mrCuwEHW8U68tTbhrV8_xg_13_17"/>
      <w:bookmarkStart w:id="1225" w:name="Tc_qRaRDtsaK0qRKoybs0ZEWQ_13_15"/>
      <w:bookmarkStart w:id="1226" w:name="Tc_AZjWyRXZ10ONughE14mvJg_13_14"/>
      <w:bookmarkStart w:id="1227" w:name="Tc_4b2n51TPhE6qU-vDpZXiww_13_12"/>
      <w:bookmarkStart w:id="1228" w:name="Tc_NjgUnTlz-Uyo373yk66lZQ_13_11"/>
      <w:bookmarkStart w:id="1229" w:name="Tc_gGv-S-3QukS7s2w4BbPI8w_13_8"/>
      <w:bookmarkStart w:id="1230" w:name="Tc_qCQH4MaebEimVrd13eveww_13_6"/>
      <w:bookmarkStart w:id="1231" w:name="Tc_XgGiY66uV0a1UDkrukZFqw_13_5"/>
      <w:bookmarkStart w:id="1232" w:name="Tc_bsreyGW4NEuKyeVLMj7XCw_13_2"/>
      <w:bookmarkStart w:id="1233" w:name="Tc_OTHaYerZS0qx1kcS6TWGXg_13_0"/>
      <w:bookmarkStart w:id="1234" w:name="Tc_Q5fDabn2bkW3ZYrzxPklLw_12_17"/>
      <w:bookmarkStart w:id="1235" w:name="Tc__UK-W1C5KESHpEtKHTyQ9A_12_14"/>
      <w:bookmarkStart w:id="1236" w:name="Tc_4qerEg8yIkKCwbbUucCz3Q_12_12"/>
      <w:bookmarkStart w:id="1237" w:name="Tc_Nr_fgOy-ik2TTKzfQEgC_g_12_11"/>
      <w:bookmarkStart w:id="1238" w:name="Tc_6TQS6pFz3UmDQ-5yKnCrWw_12_9"/>
      <w:bookmarkStart w:id="1239" w:name="Tc_p5muAbyRvUaRV90wfqQ1sQ_12_8"/>
      <w:bookmarkStart w:id="1240" w:name="Tc_NPV-O2epoES_SE4qc1VS_A_12_6"/>
      <w:bookmarkStart w:id="1241" w:name="Tc_tOovp7lyykeLRG3fTRGEpw_12_5"/>
      <w:bookmarkStart w:id="1242" w:name="Tc_yk7mDCeq2E-UgAup70vKaQ_12_3"/>
      <w:bookmarkStart w:id="1243" w:name="Tc_IF062zXvjUyJNt76lNh04Q_12_2"/>
      <w:bookmarkStart w:id="1244" w:name="Tc_CkggfCz-Rkqc6xCOWl9Y7A_12_0"/>
      <w:bookmarkStart w:id="1245" w:name="Tc_s7OO3quepUqV-2UvXumBhQ_11_0"/>
      <w:bookmarkStart w:id="1246" w:name="Tc_qYg8MUP5cUalhsrsH5BtJA_10_17"/>
      <w:bookmarkStart w:id="1247" w:name="Tc_2kVBqw8B1kmL9EYTmI6lcA_10_14"/>
      <w:bookmarkStart w:id="1248" w:name="Tc_8IHd23I9DUuG-zDXrR4asA_10_11"/>
      <w:bookmarkStart w:id="1249" w:name="Tc_PevEOrgTAEyqIvOISwOUNg_10_8"/>
      <w:bookmarkStart w:id="1250" w:name="Tc_csXVVkw880ujohDY4TQFGQ_10_5"/>
      <w:bookmarkStart w:id="1251" w:name="Tc_IvE789qqbEC1S_cnoUHW9g_10_2"/>
      <w:bookmarkStart w:id="1252" w:name="Tc_ABTPLCM0aku4ekraUDaVPA_10_0"/>
      <w:bookmarkStart w:id="1253" w:name="Tc_nfPym3tVFUWMNAVop8ok2g_9_0"/>
      <w:bookmarkStart w:id="1254" w:name="Tc_UwRR5sBKikqkotnLa2S5FQ_8_0"/>
      <w:bookmarkStart w:id="1255" w:name="Tc_UXGQqxEkSk6gG1DkKWNBYA_6_17"/>
      <w:bookmarkStart w:id="1256" w:name="Tc_zgdw91LZr0mTiAnjFJ0YBg_6_14"/>
      <w:bookmarkStart w:id="1257" w:name="Tc_K1iLnosuSkqdrzM_ph18Vw_6_11"/>
      <w:bookmarkStart w:id="1258" w:name="Tc_6bPVFvpfCU2BNSlFzMKk2A_6_8"/>
      <w:bookmarkStart w:id="1259" w:name="Tc_aPhm3dXSSk2C4y3c7EM2FA_6_5"/>
      <w:bookmarkStart w:id="1260" w:name="Tc_XYeq7PPvCUqHpeI2OLuPWQ_6_2"/>
      <w:bookmarkStart w:id="1261" w:name="Tc__Pmn5yLlCUCEsDGhDMqXoA_6_0"/>
      <w:bookmarkStart w:id="1262" w:name="Tc_TbcS87fBnUaoojvDDfi_ZA_5_17"/>
      <w:bookmarkStart w:id="1263" w:name="Tc_bhEPSlCIWU2CrEkI7XX4_w_5_14"/>
      <w:bookmarkStart w:id="1264" w:name="Tc_dQM3wqdO0UqcHBaHD-1-eA_5_11"/>
      <w:bookmarkStart w:id="1265" w:name="Tc_H8DmBh4T4EWEgBap7NbUIA_5_8"/>
      <w:bookmarkStart w:id="1266" w:name="Tc_4LWyywJuME2Bmx7oo1yZyA_5_5"/>
      <w:bookmarkStart w:id="1267" w:name="Tc_lxNnJef-LkWZRKWMm_5v7g_5_2"/>
      <w:bookmarkStart w:id="1268" w:name="Tc_MD3-YOesgEmv74f3DpFG3Q_5_0"/>
      <w:bookmarkStart w:id="1269" w:name="Tc_SLZbix9lJU-X-Gz1alVbpQ_4_0"/>
      <w:bookmarkStart w:id="1270" w:name="Tc_oOInpba6HEyvofGrdwsY0A_3_17"/>
      <w:bookmarkStart w:id="1271" w:name="Tc_sNkRK8J5RUGuMsmiTnIKaA_3_14"/>
      <w:bookmarkStart w:id="1272" w:name="Tc_yGf8QdNdO0C-vLki8Zx9iQ_3_11"/>
      <w:bookmarkStart w:id="1273" w:name="Tc_ABwPqdcsg0efHNFp9SlgFw_3_8"/>
      <w:bookmarkStart w:id="1274" w:name="Tc_AXJMPwKfVEKx0wBxh_-1Wg_3_5"/>
      <w:bookmarkStart w:id="1275" w:name="Tc_VyB-9hRKakGguVIOaZ7Vmg_3_2"/>
      <w:bookmarkStart w:id="1276" w:name="Tc_4uzkeN8om0WAvuwphRxC9g_2_14"/>
      <w:bookmarkStart w:id="1277" w:name="Tc_jDvMbYUOj0yyocj1YoKy2Q_2_11"/>
      <w:bookmarkStart w:id="1278" w:name="Tc_42wUYm1vIEild39jbxTSQw_2_5"/>
      <w:bookmarkStart w:id="1279" w:name="Tc__Bji5YhgSkih05BguYk4jw_2_2"/>
      <w:bookmarkStart w:id="1280" w:name="Tc_VfECYpFdYE-Z1AWN9otOzQ_1_11"/>
      <w:bookmarkStart w:id="1281" w:name="Tc_WWBKYTJ05kSNLnAqgtKXpQ_1_2"/>
      <w:bookmarkStart w:id="1282" w:name="_f837dee7_2be0_4118_8732_48fb146ef73c"/>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ascii="Times New Roman;Times;serif" w:hAnsi="Times New Roman;Times;serif"/>
          <w:sz w:val="20"/>
        </w:rPr>
        <w:t>During the thirty-nine weeks ended September 24, 2025 and September 25, 2024, the Company had the following cash and non-cash activities associated with its leases (dollars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60"/>
        <w:gridCol w:w="146"/>
        <w:gridCol w:w="203"/>
        <w:gridCol w:w="626"/>
        <w:gridCol w:w="344"/>
        <w:gridCol w:w="267"/>
        <w:gridCol w:w="574"/>
        <w:gridCol w:w="344"/>
        <w:gridCol w:w="203"/>
        <w:gridCol w:w="626"/>
        <w:gridCol w:w="206"/>
        <w:gridCol w:w="200"/>
        <w:gridCol w:w="616"/>
        <w:gridCol w:w="339"/>
        <w:gridCol w:w="233"/>
        <w:gridCol w:w="608"/>
        <w:gridCol w:w="339"/>
        <w:gridCol w:w="200"/>
        <w:gridCol w:w="671"/>
      </w:tblGrid>
      <w:tr>
        <w:trPr/>
        <w:tc>
          <w:tcPr>
            <w:tcW w:w="3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0" cy="175260"/>
                      <wp:effectExtent l="0" t="0" r="0" b="0"/>
                      <wp:wrapNone/>
                      <wp:docPr id="288" name="Frame288"/>
                      <a:graphic xmlns:a="http://schemas.openxmlformats.org/drawingml/2006/main">
                        <a:graphicData uri="http://schemas.microsoft.com/office/word/2010/wordprocessingShape">
                          <wps:wsp>
                            <wps:cNvSpPr txBox="1"/>
                            <wps:spPr>
                              <a:xfrm>
                                <a:off x="0" y="0"/>
                                <a:ext cx="2197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8905" cy="175260"/>
                      <wp:effectExtent l="0" t="0" r="0" b="0"/>
                      <wp:wrapNone/>
                      <wp:docPr id="290" name="Frame290"/>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97510" cy="175260"/>
                      <wp:effectExtent l="0" t="0" r="0" b="0"/>
                      <wp:wrapNone/>
                      <wp:docPr id="291" name="Frame29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8440" cy="175260"/>
                      <wp:effectExtent l="0" t="0" r="0" b="0"/>
                      <wp:wrapNone/>
                      <wp:docPr id="292" name="Frame29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69545" cy="175260"/>
                      <wp:effectExtent l="0" t="0" r="0" b="0"/>
                      <wp:wrapNone/>
                      <wp:docPr id="293" name="Frame29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4490" cy="175260"/>
                      <wp:effectExtent l="0" t="0" r="0" b="0"/>
                      <wp:wrapNone/>
                      <wp:docPr id="294" name="Frame294"/>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8440" cy="175260"/>
                      <wp:effectExtent l="0" t="0" r="0" b="0"/>
                      <wp:wrapNone/>
                      <wp:docPr id="295" name="Frame295"/>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8905" cy="175260"/>
                      <wp:effectExtent l="0" t="0" r="0" b="0"/>
                      <wp:wrapNone/>
                      <wp:docPr id="296" name="Frame29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97510" cy="175260"/>
                      <wp:effectExtent l="0" t="0" r="0" b="0"/>
                      <wp:wrapNone/>
                      <wp:docPr id="297" name="Frame297"/>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0810" cy="175260"/>
                      <wp:effectExtent l="0" t="0" r="0" b="0"/>
                      <wp:wrapNone/>
                      <wp:docPr id="298" name="Frame2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7000" cy="175260"/>
                      <wp:effectExtent l="0" t="0" r="0" b="0"/>
                      <wp:wrapNone/>
                      <wp:docPr id="299" name="Frame29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91160" cy="175260"/>
                      <wp:effectExtent l="0" t="0" r="0" b="0"/>
                      <wp:wrapNone/>
                      <wp:docPr id="300" name="Frame3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5265" cy="175260"/>
                      <wp:effectExtent l="0" t="0" r="0" b="0"/>
                      <wp:wrapNone/>
                      <wp:docPr id="301" name="Frame30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7955" cy="175260"/>
                      <wp:effectExtent l="0" t="0" r="0" b="0"/>
                      <wp:wrapNone/>
                      <wp:docPr id="302" name="Frame30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86080" cy="175260"/>
                      <wp:effectExtent l="0" t="0" r="0" b="0"/>
                      <wp:wrapNone/>
                      <wp:docPr id="303" name="Frame303"/>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5265" cy="175260"/>
                      <wp:effectExtent l="0" t="0" r="0" b="0"/>
                      <wp:wrapNone/>
                      <wp:docPr id="304" name="Frame30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7000" cy="175260"/>
                      <wp:effectExtent l="0" t="0" r="0" b="0"/>
                      <wp:wrapNone/>
                      <wp:docPr id="305" name="Frame305"/>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26085" cy="175260"/>
                      <wp:effectExtent l="0" t="0" r="0" b="0"/>
                      <wp:wrapNone/>
                      <wp:docPr id="306" name="Frame306"/>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1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Thirty-Nine Weeks Ended September 24, 2025</w:t>
            </w:r>
          </w:p>
        </w:tc>
        <w:tc>
          <w:tcPr>
            <w:tcW w:w="206" w:type="dxa"/>
            <w:tcBorders/>
            <w:vAlign w:val="center"/>
          </w:tcPr>
          <w:p>
            <w:pPr>
              <w:pStyle w:val="TableContents"/>
              <w:bidi w:val="0"/>
              <w:spacing w:before="0" w:after="0"/>
              <w:ind w:left="0" w:right="0" w:hanging="0"/>
              <w:jc w:val="center"/>
              <w:rPr/>
            </w:pPr>
            <w:r>
              <w:rPr/>
              <w:t>​</w:t>
            </w:r>
          </w:p>
        </w:tc>
        <w:tc>
          <w:tcPr>
            <w:tcW w:w="32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Thirty-Nine Weeks Ended September 25, 2024</w:t>
            </w:r>
          </w:p>
        </w:tc>
      </w:tr>
      <w:tr>
        <w:trPr/>
        <w:tc>
          <w:tcPr>
            <w:tcW w:w="346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829"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Property</w:t>
            </w:r>
          </w:p>
        </w:tc>
        <w:tc>
          <w:tcPr>
            <w:tcW w:w="344" w:type="dxa"/>
            <w:tcBorders/>
            <w:shd w:fill="CCEEFF" w:val="clear"/>
            <w:vAlign w:val="center"/>
          </w:tcPr>
          <w:p>
            <w:pPr>
              <w:pStyle w:val="TableContents"/>
              <w:bidi w:val="0"/>
              <w:spacing w:before="0" w:after="0"/>
              <w:ind w:left="0" w:right="0" w:hanging="0"/>
              <w:jc w:val="left"/>
              <w:rPr/>
            </w:pPr>
            <w:r>
              <w:rPr/>
              <w:t>​</w:t>
            </w:r>
          </w:p>
        </w:tc>
        <w:tc>
          <w:tcPr>
            <w:tcW w:w="84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Equipment</w:t>
            </w:r>
          </w:p>
        </w:tc>
        <w:tc>
          <w:tcPr>
            <w:tcW w:w="344"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  </w:t>
            </w:r>
          </w:p>
        </w:tc>
        <w:tc>
          <w:tcPr>
            <w:tcW w:w="816"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Property</w:t>
            </w:r>
          </w:p>
        </w:tc>
        <w:tc>
          <w:tcPr>
            <w:tcW w:w="339" w:type="dxa"/>
            <w:tcBorders/>
            <w:shd w:fill="CCEEFF" w:val="clear"/>
            <w:vAlign w:val="center"/>
          </w:tcPr>
          <w:p>
            <w:pPr>
              <w:pStyle w:val="TableContents"/>
              <w:bidi w:val="0"/>
              <w:spacing w:before="0" w:after="0"/>
              <w:ind w:left="0" w:right="0" w:hanging="0"/>
              <w:jc w:val="center"/>
              <w:rPr/>
            </w:pPr>
            <w:r>
              <w:rPr/>
              <w:t>  </w:t>
            </w:r>
          </w:p>
        </w:tc>
        <w:tc>
          <w:tcPr>
            <w:tcW w:w="841"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Equipment</w:t>
            </w:r>
          </w:p>
        </w:tc>
        <w:tc>
          <w:tcPr>
            <w:tcW w:w="339" w:type="dxa"/>
            <w:tcBorders/>
            <w:shd w:fill="CCEEFF" w:val="clear"/>
            <w:vAlign w:val="center"/>
          </w:tcPr>
          <w:p>
            <w:pPr>
              <w:pStyle w:val="TableContents"/>
              <w:bidi w:val="0"/>
              <w:spacing w:before="0" w:after="0"/>
              <w:ind w:left="0" w:right="0" w:hanging="0"/>
              <w:jc w:val="center"/>
              <w:rPr/>
            </w:pPr>
            <w:r>
              <w:rPr/>
              <w:t>  </w:t>
            </w:r>
          </w:p>
        </w:tc>
        <w:tc>
          <w:tcPr>
            <w:tcW w:w="200" w:type="dxa"/>
            <w:tcBorders/>
            <w:shd w:fill="CCEEFF" w:val="clear"/>
            <w:vAlign w:val="center"/>
          </w:tcPr>
          <w:p>
            <w:pPr>
              <w:pStyle w:val="TableContents"/>
              <w:bidi w:val="0"/>
              <w:spacing w:before="0" w:after="0"/>
              <w:ind w:left="0" w:right="0" w:hanging="0"/>
              <w:jc w:val="center"/>
              <w:rPr/>
            </w:pPr>
            <w:r>
              <w:rPr/>
              <w:t>​</w:t>
            </w:r>
          </w:p>
        </w:tc>
        <w:tc>
          <w:tcPr>
            <w:tcW w:w="671" w:type="dxa"/>
            <w:tcBorders/>
            <w:shd w:fill="CCEEFF" w:val="clear"/>
            <w:vAlign w:val="center"/>
          </w:tcPr>
          <w:p>
            <w:pPr>
              <w:pStyle w:val="TableContents"/>
              <w:bidi w:val="0"/>
              <w:spacing w:before="0" w:after="0"/>
              <w:ind w:left="0" w:right="0" w:hanging="0"/>
              <w:jc w:val="center"/>
              <w:rPr/>
            </w:pPr>
            <w:r>
              <w:rPr/>
              <w:t>​</w:t>
            </w:r>
          </w:p>
        </w:tc>
      </w:tr>
      <w:tr>
        <w:trPr/>
        <w:tc>
          <w:tcPr>
            <w:tcW w:w="34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44"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44"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206" w:type="dxa"/>
            <w:tcBorders/>
            <w:vAlign w:val="center"/>
          </w:tcPr>
          <w:p>
            <w:pPr>
              <w:pStyle w:val="TableContents"/>
              <w:bidi w:val="0"/>
              <w:spacing w:before="0" w:after="0"/>
              <w:ind w:left="0" w:right="0" w:hanging="0"/>
              <w:jc w:val="center"/>
              <w:rPr/>
            </w:pPr>
            <w:r>
              <w:rPr/>
              <w:t>​</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9"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Leases</w:t>
            </w:r>
          </w:p>
        </w:tc>
        <w:tc>
          <w:tcPr>
            <w:tcW w:w="33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paid for amounts included in the measurement of lease 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flows used for operating leases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21,732</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w:t>
            </w:r>
          </w:p>
        </w:tc>
        <w:tc>
          <w:tcPr>
            <w:tcW w:w="344"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22,011</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21,202</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21,412</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flows used for finance leases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4"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20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3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339"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r>
      <w:tr>
        <w:trPr/>
        <w:tc>
          <w:tcPr>
            <w:tcW w:w="34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  </w:t>
            </w:r>
          </w:p>
        </w:tc>
        <w:tc>
          <w:tcPr>
            <w:tcW w:w="20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 obtained in exchange for lease liabilities: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pPr>
            <w:r>
              <w:rPr/>
              <w:t>  </w:t>
            </w:r>
          </w:p>
        </w:tc>
        <w:tc>
          <w:tcPr>
            <w:tcW w:w="344"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  </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ROU assets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14,369</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4"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14,384</w:t>
            </w:r>
          </w:p>
        </w:tc>
        <w:tc>
          <w:tcPr>
            <w:tcW w:w="20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11,457</w:t>
            </w:r>
          </w:p>
        </w:tc>
        <w:tc>
          <w:tcPr>
            <w:tcW w:w="33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w:t>
            </w:r>
          </w:p>
        </w:tc>
        <w:tc>
          <w:tcPr>
            <w:tcW w:w="339"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12,743</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 obtained in exchange for lease liabilities: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ROU assets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339"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Derecognition of ROU assets due to terminations, impairment or modifications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vAlign w:val="center"/>
          </w:tcPr>
          <w:p>
            <w:pPr>
              <w:pStyle w:val="TableContents"/>
              <w:bidi w:val="0"/>
              <w:spacing w:before="0" w:after="0"/>
              <w:ind w:left="0" w:right="0" w:hanging="0"/>
              <w:jc w:val="right"/>
              <w:rPr/>
            </w:pPr>
            <w:r>
              <w:rPr/>
              <w:t>—</w:t>
            </w:r>
          </w:p>
        </w:tc>
      </w:tr>
      <w:tr>
        <w:trPr/>
        <w:tc>
          <w:tcPr>
            <w:tcW w:w="346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34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Information</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term—finance leases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w:t>
            </w:r>
          </w:p>
        </w:tc>
        <w:tc>
          <w:tcPr>
            <w:tcW w:w="344"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44"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16.13</w:t>
            </w:r>
          </w:p>
        </w:tc>
        <w:tc>
          <w:tcPr>
            <w:tcW w:w="33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w:t>
            </w:r>
          </w:p>
        </w:tc>
        <w:tc>
          <w:tcPr>
            <w:tcW w:w="33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years in lease term—operating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w:t>
            </w:r>
          </w:p>
        </w:tc>
        <w:tc>
          <w:tcPr>
            <w:tcW w:w="344"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w:t>
            </w:r>
          </w:p>
        </w:tc>
        <w:tc>
          <w:tcPr>
            <w:tcW w:w="344"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10.12</w:t>
            </w:r>
          </w:p>
        </w:tc>
        <w:tc>
          <w:tcPr>
            <w:tcW w:w="33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w:t>
            </w:r>
          </w:p>
        </w:tc>
        <w:tc>
          <w:tcPr>
            <w:tcW w:w="33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r>
        <w:trPr/>
        <w:tc>
          <w:tcPr>
            <w:tcW w:w="346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rate—finance leases</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3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03"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w:t>
            </w:r>
          </w:p>
        </w:tc>
        <w:tc>
          <w:tcPr>
            <w:tcW w:w="3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c>
          <w:tcPr>
            <w:tcW w:w="3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0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left"/>
              <w:rPr/>
            </w:pPr>
            <w:r>
              <w:rPr/>
              <w:t>​</w:t>
            </w:r>
          </w:p>
        </w:tc>
      </w:tr>
      <w:tr>
        <w:trPr/>
        <w:tc>
          <w:tcPr>
            <w:tcW w:w="34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03"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0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regarding the Company’s minimum future lease obligations as of September 24, 2025 is as follows (in thousands):</w:t>
      </w:r>
    </w:p>
    <w:tbl>
      <w:tblPr>
        <w:tblW w:w="7373" w:type="dxa"/>
        <w:jc w:val="left"/>
        <w:tblInd w:w="0" w:type="dxa"/>
        <w:tblLayout w:type="fixed"/>
        <w:tblCellMar>
          <w:top w:w="0" w:type="dxa"/>
          <w:left w:w="0" w:type="dxa"/>
          <w:bottom w:w="0" w:type="dxa"/>
          <w:right w:w="0" w:type="dxa"/>
        </w:tblCellMar>
      </w:tblPr>
      <w:tblGrid>
        <w:gridCol w:w="3271"/>
        <w:gridCol w:w="326"/>
        <w:gridCol w:w="320"/>
        <w:gridCol w:w="865"/>
        <w:gridCol w:w="326"/>
        <w:gridCol w:w="211"/>
        <w:gridCol w:w="796"/>
        <w:gridCol w:w="326"/>
        <w:gridCol w:w="211"/>
        <w:gridCol w:w="72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7085" cy="175260"/>
                      <wp:effectExtent l="0" t="0" r="0" b="0"/>
                      <wp:wrapNone/>
                      <wp:docPr id="307" name="Frame307"/>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3200" cy="175260"/>
                      <wp:effectExtent l="0" t="0" r="0" b="0"/>
                      <wp:wrapNone/>
                      <wp:docPr id="309" name="Frame30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49275" cy="175260"/>
                      <wp:effectExtent l="0" t="0" r="0" b="0"/>
                      <wp:wrapNone/>
                      <wp:docPr id="310" name="Frame31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05460" cy="175260"/>
                      <wp:effectExtent l="0" t="0" r="0" b="0"/>
                      <wp:wrapNone/>
                      <wp:docPr id="313" name="Frame3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57835" cy="175260"/>
                      <wp:effectExtent l="0" t="0" r="0" b="0"/>
                      <wp:wrapNone/>
                      <wp:docPr id="316" name="Frame3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326" w:type="dxa"/>
            <w:tcBorders/>
            <w:vAlign w:val="center"/>
          </w:tcPr>
          <w:p>
            <w:pPr>
              <w:pStyle w:val="TableContents"/>
              <w:bidi w:val="0"/>
              <w:spacing w:before="0" w:after="1"/>
              <w:ind w:left="0" w:right="0" w:hanging="0"/>
              <w:jc w:val="left"/>
              <w:rPr/>
            </w:pPr>
            <w:r>
              <w:rPr/>
              <w:t>​</w:t>
            </w:r>
          </w:p>
        </w:tc>
        <w:tc>
          <w:tcPr>
            <w:tcW w:w="22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Minimum</w:t>
            </w:r>
          </w:p>
        </w:tc>
      </w:tr>
      <w:tr>
        <w:trPr/>
        <w:tc>
          <w:tcPr>
            <w:tcW w:w="32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Sublease</w:t>
            </w:r>
          </w:p>
        </w:tc>
      </w:tr>
      <w:tr>
        <w:trPr/>
        <w:tc>
          <w:tcPr>
            <w:tcW w:w="3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Years Ending</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30, 2026</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4,912</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29, 2027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4,925</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27, 2028</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 </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26, 2029</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4,179</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23,573</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248,695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43,532</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 (2.57% - 7.07%)</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 </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maturities</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Short-Term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Lessor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 a lessor for certain property, facilities and equipment owned by the Company and leased to others, principally franchisees, under non-cancelable leases with initial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20 years. These lease agreements generally provide for a fixed base rent and, in some instances, contingent rent based on a percentage of gross operating profit or net revenues. All leases are considered operating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received $0.1 million of </w:t>
      </w:r>
      <w:r>
        <w:rPr>
          <w:rFonts w:ascii="Times New Roman;Times;serif" w:hAnsi="Times New Roman;Times;serif"/>
          <w:b w:val="false"/>
          <w:i w:val="false"/>
          <w:caps w:val="false"/>
          <w:smallCaps w:val="false"/>
          <w:sz w:val="20"/>
        </w:rPr>
        <w:t>lease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from company-owned locations for both the thirteen weeks ended September 24, 2025 and September 25, 2024. The Company received $0.3 million of </w:t>
      </w:r>
      <w:r>
        <w:rPr>
          <w:rFonts w:ascii="Times New Roman;Times;serif" w:hAnsi="Times New Roman;Times;serif"/>
          <w:b w:val="false"/>
          <w:i w:val="false"/>
          <w:caps w:val="false"/>
          <w:smallCaps w:val="false"/>
          <w:sz w:val="20"/>
        </w:rPr>
        <w:t>lease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from company-owned locations for both the thirty-nine weeks ended September 24, 2025 and September 25, 2024. </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13. SHAREHOLDER RIGHTS AGREEMENT </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8, 2023, the Board declared a dividend of one preferred share purchase right (a “Right”) for each share of common stock, par value $0.01 per share, of the Company (the “Common Shares”) outstanding on August 8, 2023 to the stockholders of record on that date. In connection with the distribution of the Rights, the Company entered into a Rights Agreement (the “Rights Agreement”), dated as of August 8, 2023, between the Company and Equiniti Trust Company, LLC, as rights agent. Each Right entitled the registered holder to purchase from the Company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share of Series A Preferred Stock, par value $0.01 per share, of the Company (the “Preferred Shares”) at a price of $53.75 per one </w:t>
      </w:r>
      <w:r>
        <w:rPr>
          <w:rFonts w:ascii="Times New Roman;Times;serif" w:hAnsi="Times New Roman;Times;serif"/>
          <w:b w:val="false"/>
          <w:i w:val="false"/>
          <w:caps w:val="false"/>
          <w:smallCaps w:val="false"/>
          <w:sz w:val="20"/>
        </w:rPr>
        <w:t>one-thousandth</w:t>
      </w:r>
      <w:r>
        <w:rPr>
          <w:rFonts w:ascii="Times New Roman;Times;serif" w:hAnsi="Times New Roman;Times;serif"/>
          <w:sz w:val="20"/>
        </w:rPr>
        <w:t xml:space="preserve"> of a Preferred Share represented by a Right, subject to adjustment.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4, 2024, the Board approved and entered into an Amendment to the Rights Agreement (together, the “Amended Rights Agreement”). Pursuant to the Amended Rights Agreement, the expiration date of the Rights was extended to May 30, 2025 11:59 p.m., Pacific Time, the date that the votes of the stockholders of the Company with respect to the Company’s 2025 annual meeting of stockholders were certified.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Amended Rights Agreement expired and was terminated by its term on May 30, 2025.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83" w:name="Tc_IoQYP_6cJkiu3VZU1V-DbQ_3_10"/>
      <w:bookmarkStart w:id="1284" w:name="Tc_wHmkXrfIdUufmG-wEQmr9Q_3_7"/>
      <w:bookmarkStart w:id="1285" w:name="Tc_Zlho-Xgmw0-e39e6pOkkCw_3_4"/>
      <w:bookmarkStart w:id="1286" w:name="Tc_6qkgZbltdkG_3Qyh-Y2w4g_3_1"/>
      <w:bookmarkStart w:id="1287" w:name="Tc_gpXLT7r7OUSBWRXnA_q_0Q_3_0"/>
      <w:bookmarkStart w:id="1288" w:name="Tc_EqxS9v8-skyxRVYzwxSjxA_2_10"/>
      <w:bookmarkStart w:id="1289" w:name="Tc_aJc9C0r_LEGskC55TwRuUg_2_7"/>
      <w:bookmarkStart w:id="1290" w:name="Tc_jOZlZjj3Y0-oX2beGFCO4A_2_4"/>
      <w:bookmarkStart w:id="1291" w:name="Tc_hHUiBpUR0Ui5Q6TAp0ZGUQ_2_1"/>
      <w:bookmarkStart w:id="1292" w:name="Tc_BqrEwk5s40Op6tPbbIL5rg_1_7"/>
      <w:bookmarkStart w:id="1293" w:name="Tc_uv8lmpiStEys9VIPslwg7w_1_1"/>
      <w:bookmarkStart w:id="1294" w:name="_83c5432f_e0f0_4726_a29c_e1eca2f26048"/>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14. SEGMENT REPORTING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Operating segments are defined as components of a company that engage in business activities from which it may earn revenue and incur expenses, and for which separate financial information is available and is regularly reviewed by the chief operating decision maker (</w:t>
      </w:r>
      <w:r>
        <w:rPr>
          <w:rFonts w:ascii="Times New Roman;Times;serif" w:hAnsi="Times New Roman;Times;serif"/>
          <w:sz w:val="20"/>
        </w:rPr>
        <w:t>"</w:t>
      </w:r>
      <w:r>
        <w:rPr>
          <w:rFonts w:ascii="Times New Roman;Times;serif" w:hAnsi="Times New Roman;Times;serif"/>
          <w:sz w:val="20"/>
          <w:shd w:fill="FFFFFF" w:val="clear"/>
        </w:rPr>
        <w:t>CODM</w:t>
      </w:r>
      <w:r>
        <w:rPr>
          <w:rFonts w:ascii="Times New Roman;Times;serif" w:hAnsi="Times New Roman;Times;serif"/>
          <w:sz w:val="20"/>
        </w:rPr>
        <w:t>"</w:t>
      </w:r>
      <w:r>
        <w:rPr>
          <w:rFonts w:ascii="Times New Roman;Times;serif" w:hAnsi="Times New Roman;Times;serif"/>
          <w:sz w:val="20"/>
          <w:shd w:fill="FFFFFF" w:val="clear"/>
        </w:rPr>
        <w:t>) to assess the performance of the individual segments and make decisions about company resources such as personnel and working capital to be allocated to the segments.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derives revenue</w:t>
      </w:r>
      <w:r>
        <w:rPr>
          <w:rFonts w:ascii="Times New Roman;Times;serif" w:hAnsi="Times New Roman;Times;serif"/>
          <w:sz w:val="20"/>
          <w:shd w:fill="FFFFFF" w:val="clear"/>
        </w:rPr>
        <w:t xml:space="preserve"> from three primary sources: (1) company-operated restaurant revenue, (2) franchise revenue, which is comprised primarily of franchise royalties and, to a lesser extent, franchise fees and sublease rental income, and (3) franchise advertising fee revenue.</w:t>
      </w:r>
      <w:r>
        <w:rPr>
          <w:rFonts w:ascii="Times New Roman;Times;serif" w:hAnsi="Times New Roman;Times;serif"/>
          <w:sz w:val="20"/>
        </w:rPr>
        <w:t xml:space="preserve"> All significant revenues relate to retail sales of food and beverages through either company-operated or franchised restaurants.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color w:val="212529"/>
          <w:sz w:val="20"/>
          <w:shd w:fill="FFFFFF" w:val="clear"/>
        </w:rPr>
        <w:t>The Company determined that it has one operating segment and one reportable segment which is reflected in the Company’s current organizational and management structure.</w:t>
      </w:r>
      <w:r>
        <w:rPr>
          <w:rFonts w:ascii="Times New Roman;Times;serif" w:hAnsi="Times New Roman;Times;serif"/>
          <w:sz w:val="20"/>
          <w:shd w:fill="FFFFFF" w:val="clear"/>
        </w:rPr>
        <w:t xml:space="preserve"> </w:t>
      </w:r>
      <w:r>
        <w:rPr>
          <w:rFonts w:ascii="Times New Roman;Times;serif" w:hAnsi="Times New Roman;Times;serif"/>
          <w:color w:val="212529"/>
          <w:sz w:val="20"/>
          <w:shd w:fill="FFFFFF" w:val="clear"/>
        </w:rPr>
        <w:t xml:space="preserve">The accounting policies of the segment are the same as those described in Note 1 </w:t>
      </w:r>
      <w:r>
        <w:rPr>
          <w:rFonts w:ascii="Times New Roman;Times;serif" w:hAnsi="Times New Roman;Times;serif"/>
          <w:sz w:val="20"/>
        </w:rPr>
        <w:t xml:space="preserve">“Basis of Presentation and Summary of Accounting Policies”.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Company’s CODM is the Chief Executive Officer who manages the Company’s operations on a reportable segment basis. </w:t>
      </w:r>
      <w:r>
        <w:rPr>
          <w:rFonts w:ascii="Times New Roman;Times;serif" w:hAnsi="Times New Roman;Times;serif"/>
          <w:color w:val="212529"/>
          <w:sz w:val="20"/>
          <w:shd w:fill="FFFFFF" w:val="clear"/>
        </w:rPr>
        <w:t xml:space="preserve">The Company’s CODM reviews its operations and financial performance at a consolidated level by comparing actual results to budgeted figures and prior year results. This approach allows the CODM to assess whether the Company’s operating segment is meeting its financial goals, identify trends and make more informed decisions about resource allocation and performance targets.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When evaluating the Company’s financial performance, the CODM regularly reviews total revenues, segment expenses and consolidated net income as reported on the Consolidated Statements of Operations as well as non-GAAP measures such as restaurant contribution margin and Adjusted EBITDA to allocate Company resources and assess the performance of the Company. Segment asset information is not used by the CODM to assess performance and allocate resources.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is a summary of the segment net income, including significant segment expenses for the thirteen and twenty-six weeks ended September 24, 2025 and September 25, 2024 (in thousands):</w:t>
      </w:r>
    </w:p>
    <w:p>
      <w:pPr>
        <w:pStyle w:val="TextBody"/>
        <w:bidi w:val="0"/>
        <w:spacing w:before="0" w:after="0"/>
        <w:ind w:left="0" w:right="0" w:hanging="0"/>
        <w:jc w:val="left"/>
        <w:rPr/>
      </w:pPr>
      <w:r>
        <w:rPr/>
        <w:t>​</w:t>
      </w:r>
    </w:p>
    <w:tbl>
      <w:tblPr>
        <w:tblW w:w="8019" w:type="dxa"/>
        <w:jc w:val="left"/>
        <w:tblInd w:w="0" w:type="dxa"/>
        <w:tblLayout w:type="fixed"/>
        <w:tblCellMar>
          <w:top w:w="0" w:type="dxa"/>
          <w:left w:w="0" w:type="dxa"/>
          <w:bottom w:w="0" w:type="dxa"/>
          <w:right w:w="0" w:type="dxa"/>
        </w:tblCellMar>
      </w:tblPr>
      <w:tblGrid>
        <w:gridCol w:w="1246"/>
        <w:gridCol w:w="328"/>
        <w:gridCol w:w="1218"/>
        <w:gridCol w:w="109"/>
        <w:gridCol w:w="328"/>
        <w:gridCol w:w="1218"/>
        <w:gridCol w:w="326"/>
        <w:gridCol w:w="328"/>
        <w:gridCol w:w="1218"/>
        <w:gridCol w:w="109"/>
        <w:gridCol w:w="306"/>
        <w:gridCol w:w="1285"/>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91210" cy="175260"/>
                      <wp:effectExtent l="0" t="0" r="0" b="0"/>
                      <wp:wrapNone/>
                      <wp:docPr id="317" name="Frame31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8280" cy="175260"/>
                      <wp:effectExtent l="0" t="0" r="0" b="0"/>
                      <wp:wrapNone/>
                      <wp:docPr id="318" name="Frame31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73430" cy="175260"/>
                      <wp:effectExtent l="0" t="0" r="0" b="0"/>
                      <wp:wrapNone/>
                      <wp:docPr id="319" name="Frame31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8280" cy="175260"/>
                      <wp:effectExtent l="0" t="0" r="0" b="0"/>
                      <wp:wrapNone/>
                      <wp:docPr id="321" name="Frame32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73430" cy="175260"/>
                      <wp:effectExtent l="0" t="0" r="0" b="0"/>
                      <wp:wrapNone/>
                      <wp:docPr id="322" name="Frame32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8280" cy="175260"/>
                      <wp:effectExtent l="0" t="0" r="0" b="0"/>
                      <wp:wrapNone/>
                      <wp:docPr id="324" name="Frame32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73430" cy="175260"/>
                      <wp:effectExtent l="0" t="0" r="0" b="0"/>
                      <wp:wrapNone/>
                      <wp:docPr id="325" name="Frame325"/>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94310" cy="175260"/>
                      <wp:effectExtent l="0" t="0" r="0" b="0"/>
                      <wp:wrapNone/>
                      <wp:docPr id="327" name="Frame327"/>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815975" cy="175260"/>
                      <wp:effectExtent l="0" t="0" r="0" b="0"/>
                      <wp:wrapNone/>
                      <wp:docPr id="328" name="Frame328"/>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32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12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121,520</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120,395</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366,531</w:t>
            </w:r>
          </w:p>
        </w:tc>
        <w:tc>
          <w:tcPr>
            <w:tcW w:w="109"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358,724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95" w:name="Tc_izQ47vMgE0CkZ_Ry2_nwwA_17_10"/>
      <w:bookmarkStart w:id="1296" w:name="Tc_bnBa9WPzok2xMgu1Q7OeVg_17_7"/>
      <w:bookmarkStart w:id="1297" w:name="Tc_clizOcmchk6N0NRX7ukGXg_17_4"/>
      <w:bookmarkStart w:id="1298" w:name="Tc_u-OEtFFu-kGAPGAWuuDlDg_17_1"/>
      <w:bookmarkStart w:id="1299" w:name="Tc_-6T6yEa1VUix5qinv7ctFQ_17_0"/>
      <w:bookmarkStart w:id="1300" w:name="Tc_zZwZdkJda0qndYtXH9L8YA_16_0"/>
      <w:bookmarkStart w:id="1301" w:name="Tc_XF0Fl59PhkuMcexjpfq1bQ_15_0"/>
      <w:bookmarkStart w:id="1302" w:name="Tc_poivXkFyBECqIkasPhNzIw_14_0"/>
      <w:bookmarkStart w:id="1303" w:name="Tc_ErQ27sP5_ES1d3upOq2Iww_13_0"/>
      <w:bookmarkStart w:id="1304" w:name="Tc_swKQt4uTfkKh4ea27-pnXg_12_0"/>
      <w:bookmarkStart w:id="1305" w:name="Tc_i69nWeUsFkukH5_YVrx0Pw_11_0"/>
      <w:bookmarkStart w:id="1306" w:name="Tc_k7r6UWbwyUOx5BTV4OSTZg_10_0"/>
      <w:bookmarkStart w:id="1307" w:name="Tc_lI_JK6MYYUqH36pYSR8DSA_9_0"/>
      <w:bookmarkStart w:id="1308" w:name="Tc_wNSL8AOSWU6ZPbt0M_5yoQ_8_0"/>
      <w:bookmarkStart w:id="1309" w:name="Tc_2A57g4GiNEyIDWi6AhUWcg_7_0"/>
      <w:bookmarkStart w:id="1310" w:name="Tc_lL7NpTA7KUqMbykrMo4WfA_6_0"/>
      <w:bookmarkStart w:id="1311" w:name="Tc_4JpYwX4JIUuiWG8BPC3N6w_5_0"/>
      <w:bookmarkStart w:id="1312" w:name="Tc_IeNHVW9zLECUIAhUZ4-2ew_4_0"/>
      <w:bookmarkStart w:id="1313" w:name="Tc_izQ47vMgE0CkZ_Ry2_nwwA_17_10"/>
      <w:bookmarkStart w:id="1314" w:name="Tc_bnBa9WPzok2xMgu1Q7OeVg_17_7"/>
      <w:bookmarkStart w:id="1315" w:name="Tc_clizOcmchk6N0NRX7ukGXg_17_4"/>
      <w:bookmarkStart w:id="1316" w:name="Tc_u-OEtFFu-kGAPGAWuuDlDg_17_1"/>
      <w:bookmarkStart w:id="1317" w:name="Tc_-6T6yEa1VUix5qinv7ctFQ_17_0"/>
      <w:bookmarkStart w:id="1318" w:name="Tc_zZwZdkJda0qndYtXH9L8YA_16_0"/>
      <w:bookmarkStart w:id="1319" w:name="Tc_XF0Fl59PhkuMcexjpfq1bQ_15_0"/>
      <w:bookmarkStart w:id="1320" w:name="Tc_poivXkFyBECqIkasPhNzIw_14_0"/>
      <w:bookmarkStart w:id="1321" w:name="Tc_ErQ27sP5_ES1d3upOq2Iww_13_0"/>
      <w:bookmarkStart w:id="1322" w:name="Tc_swKQt4uTfkKh4ea27-pnXg_12_0"/>
      <w:bookmarkStart w:id="1323" w:name="Tc_i69nWeUsFkukH5_YVrx0Pw_11_0"/>
      <w:bookmarkStart w:id="1324" w:name="Tc_k7r6UWbwyUOx5BTV4OSTZg_10_0"/>
      <w:bookmarkStart w:id="1325" w:name="Tc_lI_JK6MYYUqH36pYSR8DSA_9_0"/>
      <w:bookmarkStart w:id="1326" w:name="Tc_wNSL8AOSWU6ZPbt0M_5yoQ_8_0"/>
      <w:bookmarkStart w:id="1327" w:name="Tc_2A57g4GiNEyIDWi6AhUWcg_7_0"/>
      <w:bookmarkStart w:id="1328" w:name="Tc_lL7NpTA7KUqMbykrMo4WfA_6_0"/>
      <w:bookmarkStart w:id="1329" w:name="Tc_4JpYwX4JIUuiWG8BPC3N6w_5_0"/>
      <w:bookmarkStart w:id="1330" w:name="Tc_IeNHVW9zLECUIAhUZ4-2ew_4_0"/>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p>
    <w:tbl>
      <w:tblPr>
        <w:tblW w:w="7431" w:type="dxa"/>
        <w:jc w:val="left"/>
        <w:tblInd w:w="0" w:type="dxa"/>
        <w:tblLayout w:type="fixed"/>
        <w:tblCellMar>
          <w:top w:w="0" w:type="dxa"/>
          <w:left w:w="0" w:type="dxa"/>
          <w:bottom w:w="0" w:type="dxa"/>
          <w:right w:w="0" w:type="dxa"/>
        </w:tblCellMar>
      </w:tblPr>
      <w:tblGrid>
        <w:gridCol w:w="3091"/>
        <w:gridCol w:w="211"/>
        <w:gridCol w:w="781"/>
        <w:gridCol w:w="109"/>
        <w:gridCol w:w="211"/>
        <w:gridCol w:w="781"/>
        <w:gridCol w:w="109"/>
        <w:gridCol w:w="211"/>
        <w:gridCol w:w="781"/>
        <w:gridCol w:w="109"/>
        <w:gridCol w:w="211"/>
        <w:gridCol w:w="826"/>
      </w:tblGrid>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7,973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23,071</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18,757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51,538</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sz w:val="15"/>
              </w:rPr>
              <w:t>(2)</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326,590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expenses, net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11"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segment 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19,731</w:t>
            </w:r>
          </w:p>
        </w:tc>
      </w:tr>
    </w:tbl>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expenses are comprised of utilities, repairs and maintenance, advertising, credit card processing fees, delivery service provider fees, restaurant supplies and other restaurant operating costs.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expenses include loss on disposal of assets, gain on recovery of insurance proceeds, net, loss on disposition of restaurants, and impairment and closed-store reserves.</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31" w:name="Item2ManagementsDiscussionandAnalysisofF"/>
      <w:bookmarkStart w:id="1332" w:name="_c20bfd03_644e_43d4_ac15_0af0ba2be40c"/>
      <w:bookmarkEnd w:id="1331"/>
      <w:bookmarkEnd w:id="133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report contains forward-looking statements within the meaning of federal securities laws that are subject to risks and uncertainties. All statements other than statements of historical fact included in this report are forward-looking statements. Examples of forward-looking statements in this report include, but are not limited to, discussions of our current expectations, projections, intentions, or beliefs relating to our financial condition, results of operations, liquidity, prospects, growth, trends, strategies, and the industry in which we operate.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All forward-looking statements are subject to risks and uncertainties that could cause actual results to differ materially from those that we expected.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open new restaurants in new and existing markets, including difficulty in finding sites and in negotiating acceptable leases;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successfully with other quick-service and fast casual restaurants;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 among other conditions;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develop, assimilate and retain employees;</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vulnerability to changes in political and economic conditions and consumer preferences;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vulnerability to conditions in the greater Los Angeles area and to natural disasters given the geographic concentration and real estate intensive nature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possibility that we may continue to incur significant impairment of certain of our assets, in particular in our new markets;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food and supply costs, especially for chicken, labor, construction and utilities;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impacts of the uncertainty regarding </w:t>
            </w:r>
            <w:r>
              <w:rPr>
                <w:rFonts w:ascii="Times New Roman;Times;serif" w:hAnsi="Times New Roman;Times;serif"/>
                <w:b w:val="false"/>
                <w:i w:val="false"/>
                <w:caps w:val="false"/>
                <w:smallCaps w:val="false"/>
                <w:sz w:val="20"/>
                <w:shd w:fill="FFFFFF" w:val="clear"/>
              </w:rPr>
              <w:t>pandemics, epidemics or infectious disease outbreaks (such as the COVID-19 pandemic)</w:t>
            </w:r>
            <w:r>
              <w:rPr>
                <w:caps w:val="false"/>
                <w:smallCaps w:val="false"/>
              </w:rPr>
              <w:t xml:space="preserve"> </w:t>
            </w:r>
            <w:r>
              <w:rPr>
                <w:rFonts w:ascii="Times New Roman;Times;serif" w:hAnsi="Times New Roman;Times;serif"/>
                <w:b w:val="false"/>
                <w:i w:val="false"/>
                <w:caps w:val="false"/>
                <w:smallCaps w:val="false"/>
                <w:sz w:val="20"/>
              </w:rPr>
              <w:t>on our company, our employees, our customers, our partners, our industry and the economy as a whole, as well as our franchisees’ ability to operate their individual restaurants without disruption;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and negative publicity, whether or not valid, and our ability to respond to and effectively manage the accelerated impact of social media;</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our digital business, delivery orders and catering;</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food safety and quality and about food-borne illness;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frequent and timely deliveries of food and supplies;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level of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related to the success of our marketing programs, new menu items, advertising campaigns and restaurant designs and remodels;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trade policies, tariff and import regulations by the United States and other countries from which we source some of our produce, packaging, and other items;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control over our franchisees and potential deterioration of our relations with existing or potential franchisees;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exposure to unexpected costs and losses from our self-insurance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obligations under long-term and non-cancelable leases, and our ability to renew leases at the end of their terms;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our social and environmental sustainability goals;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failure of our information technology system or any breach of our network security;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any security breaches on our ability to protect our customers’ payment method data or personal information; </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enforce and maintain our trademarks and protect our other proprietary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economic environment, including inflation and increased labor and supply costs, which may affect our franchisees, with adverse consequences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federal, state and local labors laws governing our relationships with our employees, including minimum wage laws, minimum standards for fast food workers or other similar laws;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government regulation and litigation, including employment and labor laws; </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any liabilities arising from environmental laws; </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quarterly operating results due to seasonality and other factors;</w:t>
            </w:r>
          </w:p>
        </w:tc>
      </w:tr>
    </w:tbl>
    <w:tbl>
      <w:tblPr>
        <w:tblW w:w="8886" w:type="dxa"/>
        <w:jc w:val="left"/>
        <w:tblInd w:w="0" w:type="dxa"/>
        <w:tblLayout w:type="fixed"/>
        <w:tblCellMar>
          <w:top w:w="28" w:type="dxa"/>
          <w:left w:w="28" w:type="dxa"/>
          <w:bottom w:w="28" w:type="dxa"/>
          <w:right w:w="28" w:type="dxa"/>
        </w:tblCellMar>
      </w:tblPr>
      <w:tblGrid>
        <w:gridCol w:w="124"/>
        <w:gridCol w:w="256"/>
        <w:gridCol w:w="8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future offerings of debt or equity securities that may impact the market price of our common stock; </w:t>
            </w:r>
          </w:p>
        </w:tc>
      </w:tr>
    </w:tbl>
    <w:p>
      <w:pPr>
        <w:pStyle w:val="Normal"/>
        <w:bidi w:val="0"/>
        <w:spacing w:before="0" w:after="0"/>
        <w:jc w:val="left"/>
        <w:rPr>
          <w:sz w:val="4"/>
          <w:szCs w:val="4"/>
        </w:rPr>
      </w:pPr>
      <w:r>
        <w:rPr>
          <w:sz w:val="4"/>
          <w:szCs w:val="4"/>
        </w:rPr>
      </w:r>
      <w:bookmarkStart w:id="1333" w:name="_Hlk148698869"/>
      <w:bookmarkStart w:id="1334" w:name="_Hlk148698869"/>
      <w:bookmarkEnd w:id="1334"/>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w:t>
            </w:r>
            <w:r>
              <w:rPr>
                <w:caps w:val="false"/>
                <w:smallCaps w:val="false"/>
              </w:rPr>
              <w:t xml:space="preserve"> </w:t>
            </w:r>
            <w:r>
              <w:rPr>
                <w:rFonts w:ascii="Times New Roman;Times;serif" w:hAnsi="Times New Roman;Times;serif"/>
                <w:b w:val="false"/>
                <w:i w:val="false"/>
                <w:caps w:val="false"/>
                <w:smallCaps w:val="false"/>
                <w:sz w:val="20"/>
              </w:rPr>
              <w:t>possibility that Delaware law, our organizational documents, and our existing and future debt agreements may impede or discourage a takeover;</w:t>
            </w:r>
            <w:r>
              <w:rPr>
                <w:caps w:val="false"/>
                <w:smallCaps w:val="false"/>
              </w:rPr>
              <w:t xml:space="preserve"> </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shareholder activism on our expenses, business and stock price;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set forth in our filings with the SEC from time to time, including under Item 1A, Risk Factors in our Annual Report on Form 10-K for the year ended December 25, 2024, which filings are available online at www.sec.gov.</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and we caution you to not place undue reliance on any forward-looking statement made in this report.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0" w:after="240"/>
        <w:ind w:left="0" w:right="0" w:hanging="0"/>
        <w:jc w:val="left"/>
        <w:rPr>
          <w:rFonts w:ascii="Times New Roman;Times;serif" w:hAnsi="Times New Roman;Times;serif"/>
          <w:b/>
          <w:sz w:val="20"/>
        </w:rPr>
      </w:pPr>
      <w:bookmarkStart w:id="1335" w:name="_69f1b419_63a2_468a_8719_f702a64f8d97"/>
      <w:bookmarkEnd w:id="1335"/>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El Pollo Loco is a differentiated and growing restaurant concept that specializes in fire-grilling citrus-marinated chicken and operates in the limited service restaurant (“LSR”) segment. We strive to make and serve food that is both high quality and flavorful. Our distinctive menu features our signature product, citrus-marinated fire-grilled chicken, served in a variety of Mexican-inspired entrees, such as burritos and tostadas, healthier options, such as salads, and chicken meals, all available in a variety of sizes to feed individuals and larger groups. Our entrees include favorites such as our Guacamole Chicken Burrito, Double Chicken Tostada, Crunchy Chicken Taco, and the Original Pollo Bowl®. Our famous Creamy Cilantro dressing and salsas are prepared fresh daily, allowing our customers to create their favorite flavor profiles to enhance their culinary experience. Our distinctive menu of quality, flavorful food that is affordable appeals to consumers across a wide variety of socio-economic backgrounds and drives our balanced composition of sales throughout the day (our “day-part mix”), including at lunch and dinner. In 2025, El Pollo Loco launched a brand refresh, inclusive of a new advertising campaign, restaurant design, new products, and an emphasis on hospitality in our restaurants. All these elements reinforce our position in the market of “Quality Chicken, Fast &amp; Easy.”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Trends and Uncertainties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As a result of recent California legislation increasing wages of fast food workers, we experienced an increase in our labor and regulatory compliance costs in fiscal 2024 and fiscal 2025. Although we have been able to substantially offset these cost pressures through various actions, such as increasing menu prices, managing menu mix, and productivity improvements, we expect these cost pressures to continue for the remainder of 2025, and we may not be able to offset cost increases in the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Additionally, we are impacted by macroeconomic challenges, such as inflationary pressures and changes in trade policies, that have in the past affected, and may continue in the future, to affect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into the remainder of fiscal 2025 and we may not be able to offset cost increases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is ongoing uncertainty regarding increased tariff duties on goods imported into the United States, which if imposed, may have an adverse effect on our Company. Certain of the produce, packaging materials, and other items procured by our Company are sourced from outside the United States, including from Canada, Mexico and Asia. Current and proposed tariff rates range widely, depending on the country of origin. Certain goods from Canada and Mexico that are compliant with the United States-Mexico-Canada Agreement (USMCA) are, and may continue to be, exempt from new tariffs. While we continue to evaluate the potential impacts of increased tariff rates, as well as our ability to mitigate any such related impacts, we anticipate that the imposition of tariffs on goods we import into the United States will adversely impact our revenue and cost of goods sold in the United States. Any new or increased import duties, tariffs, or taxes, or other changes in U.S. trade or tax policy could result in further increases to our food and supplies costs that would adversely impact our financial results.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Growth Strategies and Outlook</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As of September 24, 2025, we had 498 locations in seven states. In fiscal 2024, we opened two new company-operated restaurants in Nevada, and our franchisees opened two new restaurants, one in California and one in Texas. Additionally, we</w:t>
      </w:r>
      <w:r>
        <w:rPr>
          <w:rFonts w:ascii="Times New Roman;Times;serif" w:hAnsi="Times New Roman;Times;serif"/>
          <w:sz w:val="20"/>
          <w:shd w:fill="FFFFFF" w:val="clear"/>
        </w:rPr>
        <w:t> completed the sale of one restaurant within California to existing franchisees during fiscal 2024.</w:t>
      </w:r>
      <w:r>
        <w:rPr>
          <w:rFonts w:ascii="Times New Roman;Times;serif" w:hAnsi="Times New Roman;Times;serif"/>
          <w:sz w:val="20"/>
        </w:rPr>
        <w:t xml:space="preserve"> For the thirty-nine weeks ended September 24, 2025, our franchisees opened one new restaurant in Arizona and two new restaurants in California, and they closed three restaurants in California. Additionally, during the thirty-nine weeks ended September 24, 2025, we completed the acquisition of one restaurant in California from an existing franchisee. Subsequent to quarter-end, the Company announced the opening of its 500</w:t>
      </w:r>
      <w:r>
        <w:rPr>
          <w:rFonts w:ascii="Times New Roman;Times;serif" w:hAnsi="Times New Roman;Times;serif"/>
          <w:sz w:val="15"/>
        </w:rPr>
        <w:t>th</w:t>
      </w:r>
      <w:r>
        <w:rPr>
          <w:rFonts w:ascii="Times New Roman;Times;serif" w:hAnsi="Times New Roman;Times;serif"/>
          <w:sz w:val="20"/>
        </w:rPr>
        <w:t xml:space="preserve"> restaurant on October 14, 2025. This milestone reflects the continued execution of the Company’s growth strategy and marks a significant step in its expansion beyond its core California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plan to continue to expand our business, drive restaurant sales growth, and enhance our competitive positioning by executing the following five key strategies:</w:t>
      </w:r>
    </w:p>
    <w:tbl>
      <w:tblPr>
        <w:tblW w:w="1971" w:type="dxa"/>
        <w:jc w:val="left"/>
        <w:tblInd w:w="0" w:type="dxa"/>
        <w:tblLayout w:type="fixed"/>
        <w:tblCellMar>
          <w:top w:w="28" w:type="dxa"/>
          <w:left w:w="28" w:type="dxa"/>
          <w:bottom w:w="28" w:type="dxa"/>
          <w:right w:w="28" w:type="dxa"/>
        </w:tblCellMar>
      </w:tblPr>
      <w:tblGrid>
        <w:gridCol w:w="124"/>
        <w:gridCol w:w="256"/>
        <w:gridCol w:w="1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That Wins;</w:t>
            </w:r>
          </w:p>
        </w:tc>
      </w:tr>
    </w:tbl>
    <w:tbl>
      <w:tblPr>
        <w:tblW w:w="2226" w:type="dxa"/>
        <w:jc w:val="left"/>
        <w:tblInd w:w="0" w:type="dxa"/>
        <w:tblLayout w:type="fixed"/>
        <w:tblCellMar>
          <w:top w:w="28" w:type="dxa"/>
          <w:left w:w="28" w:type="dxa"/>
          <w:bottom w:w="28" w:type="dxa"/>
          <w:right w:w="28" w:type="dxa"/>
        </w:tblCellMar>
      </w:tblPr>
      <w:tblGrid>
        <w:gridCol w:w="124"/>
        <w:gridCol w:w="25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Hospitality Mindset;</w:t>
            </w:r>
          </w:p>
        </w:tc>
      </w:tr>
    </w:tbl>
    <w:tbl>
      <w:tblPr>
        <w:tblW w:w="1566" w:type="dxa"/>
        <w:jc w:val="left"/>
        <w:tblInd w:w="0" w:type="dxa"/>
        <w:tblLayout w:type="fixed"/>
        <w:tblCellMar>
          <w:top w:w="28" w:type="dxa"/>
          <w:left w:w="28" w:type="dxa"/>
          <w:bottom w:w="28" w:type="dxa"/>
          <w:right w:w="28" w:type="dxa"/>
        </w:tblCellMar>
      </w:tblPr>
      <w:tblGrid>
        <w:gridCol w:w="124"/>
        <w:gridCol w:w="256"/>
        <w:gridCol w:w="1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First;</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Winning Unit Economics; and</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 Unit Growth Again with National Expansion.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To increase comparable restaurant sales, we plan to increase customer frequency, attract new customers, and improve per-person spend.</w:t>
      </w:r>
      <w:r>
        <w:rPr>
          <w:rFonts w:ascii="Times New Roman;Times;serif" w:hAnsi="Times New Roman;Times;serif"/>
          <w:sz w:val="20"/>
        </w:rPr>
        <w:t xml:space="preserve"> The success of these growth plans is not guaranteed.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Highlights and Trends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and thirty-nine weeks ended September 24, 2025, our total revenue was $121.5 million and $366.5 million, respectively. For the thirteen weeks ended September 24, 2025, our company-operated restaurant revenue was $100.7 million and $303.4 million, respectively, and our franchise and franchise advertising fee revenue was $20.8 million and $63.1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thirteen and thirty-nine weeks ended September 24, 2025, system-wide comparable restaurant sales decreased by 0.8% and 0.6%, respectively, from the comparable period in the prior year. For company-operated restaurants, comparable restaurant sales for the thirteen and thirty-nine weeks ended September 24, 2025 decreased by 1.1% and increased by 0.2%, respectively. For company-operated restaurants, the quarter’s change in comparable restaurant sales consisted of a 1.3% decrease in average check size,</w:t>
      </w:r>
      <w:r>
        <w:rPr>
          <w:rFonts w:ascii="Times New Roman;Times;serif" w:hAnsi="Times New Roman;Times;serif"/>
          <w:sz w:val="20"/>
          <w:shd w:fill="FFFFFF" w:val="clear"/>
        </w:rPr>
        <w:t xml:space="preserve"> partially offset by a 0.1% increase in transactions, and the year-to-date change in comparable restaurant sales consisted of a 1.6% increase in average check size, partially offset by a 1.3% decrease in transactions</w:t>
      </w:r>
      <w:r>
        <w:rPr>
          <w:rFonts w:ascii="Times New Roman;Times;serif" w:hAnsi="Times New Roman;Times;serif"/>
          <w:sz w:val="20"/>
        </w:rPr>
        <w:t>. For franchised restaurants, comparable restaurant sales decreased by 0.6% and 1.0% for the thirteen and thirty-nine weeks ended September 24, 2025, respectively. Refer to “Comparable Restaurant Sales” definition in the section titled “Key Performance Indicators”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Development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restaurant counts at the beginning and end of each of the last three fiscal years and the thirty-nine weeks ended September 24, 2025, were as follows:</w:t>
      </w:r>
    </w:p>
    <w:p>
      <w:pPr>
        <w:pStyle w:val="TextBody"/>
        <w:bidi w:val="0"/>
        <w:spacing w:before="0" w:after="240"/>
        <w:ind w:left="0" w:right="0" w:hanging="0"/>
        <w:jc w:val="left"/>
        <w:rPr/>
      </w:pPr>
      <w:r>
        <w:rPr/>
        <w:t>​</w:t>
      </w:r>
    </w:p>
    <w:tbl>
      <w:tblPr>
        <w:tblW w:w="8329" w:type="dxa"/>
        <w:jc w:val="left"/>
        <w:tblInd w:w="0" w:type="dxa"/>
        <w:tblLayout w:type="fixed"/>
        <w:tblCellMar>
          <w:top w:w="0" w:type="dxa"/>
          <w:left w:w="0" w:type="dxa"/>
          <w:bottom w:w="0" w:type="dxa"/>
          <w:right w:w="0" w:type="dxa"/>
        </w:tblCellMar>
      </w:tblPr>
      <w:tblGrid>
        <w:gridCol w:w="3601"/>
        <w:gridCol w:w="326"/>
        <w:gridCol w:w="1966"/>
        <w:gridCol w:w="326"/>
        <w:gridCol w:w="466"/>
        <w:gridCol w:w="326"/>
        <w:gridCol w:w="466"/>
        <w:gridCol w:w="326"/>
        <w:gridCol w:w="52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286635" cy="175260"/>
                      <wp:effectExtent l="0" t="0" r="0" b="0"/>
                      <wp:wrapNone/>
                      <wp:docPr id="329" name="Frame32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8410" cy="175260"/>
                      <wp:effectExtent l="0" t="0" r="0" b="0"/>
                      <wp:wrapNone/>
                      <wp:docPr id="331" name="Frame33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95910" cy="175260"/>
                      <wp:effectExtent l="0" t="0" r="0" b="0"/>
                      <wp:wrapNone/>
                      <wp:docPr id="333" name="Frame33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95910" cy="175260"/>
                      <wp:effectExtent l="0" t="0" r="0" b="0"/>
                      <wp:wrapNone/>
                      <wp:docPr id="335" name="Frame3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34010" cy="175260"/>
                      <wp:effectExtent l="0" t="0" r="0" b="0"/>
                      <wp:wrapNone/>
                      <wp:docPr id="337" name="Frame337"/>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c>
          <w:tcPr>
            <w:tcW w:w="326" w:type="dxa"/>
            <w:tcBorders/>
            <w:vAlign w:val="center"/>
          </w:tcPr>
          <w:p>
            <w:pPr>
              <w:pStyle w:val="TableContents"/>
              <w:bidi w:val="0"/>
              <w:spacing w:before="0" w:after="0"/>
              <w:ind w:left="0" w:right="0" w:hanging="0"/>
              <w:jc w:val="center"/>
              <w:rPr/>
            </w:pPr>
            <w:r>
              <w:rPr/>
              <w:t>    </w:t>
            </w:r>
          </w:p>
        </w:tc>
        <w:tc>
          <w:tcPr>
            <w:tcW w:w="2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 Ended</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vAlign w:val="center"/>
          </w:tcPr>
          <w:p>
            <w:pPr>
              <w:pStyle w:val="TableContents"/>
              <w:bidi w:val="0"/>
              <w:spacing w:before="0" w:after="0"/>
              <w:ind w:left="0" w:right="0" w:hanging="0"/>
              <w:jc w:val="left"/>
              <w:rPr/>
            </w:pPr>
            <w:r>
              <w:rPr/>
              <w:t>​</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Franchised restaurant activity:</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  </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2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326" w:type="dxa"/>
            <w:tcBorders/>
            <w:vAlign w:val="center"/>
          </w:tcPr>
          <w:p>
            <w:pPr>
              <w:pStyle w:val="TableContents"/>
              <w:bidi w:val="0"/>
              <w:spacing w:before="0" w:after="0"/>
              <w:ind w:left="0" w:right="0" w:hanging="0"/>
              <w:jc w:val="left"/>
              <w:rPr/>
            </w:pPr>
            <w:r>
              <w:rPr/>
              <w:t>​</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490</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restaurant count includes 498 domestic restaurants and excludes the eight licensed restaurants in the Philippines, as well as the two previously licensed restaurants in the Philippines that were closed during the thirty-nine weeks ended September 24, 2025.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Remodeling</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thirty-nine weeks ended September 24, 2025, we completed a total of 34 remodels 7 of which were company-operated restaurant remodels. Considering our efforts to finalize our new prototype design, we currently expect to complete at least 55 company-operated restaurant and franchise remodels for fiscal 2025. The cost of our restaurant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remodels varies depending on the scope of the work required, but on average the investment is approximately $0.4 million per restaurant.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Loco Rewards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Loco Rewards loyalty program offers rewards that incentivize customers to visit our restaurants more often 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September 24, 2025 and December 25, 2024, the revenue allocated to loyalty points that had not been redeemed was $1.1 million and $0.8 million, respectively, which is reflected in our accompanying condensed consolidated balance sheets within other accrued expenses and current liabilities. We had over 4.6 million loyalty program members as of September 24,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25,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or uses of estimates since our Annual Report on Form 10-K for the year ended December 25,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Financial Definitions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revenue is derived from three primary sources: company-operated restaurant revenue, franchise revenue, which is comprised primarily of franchise royalties and, to a lesser extent, franchise fees and sublease rental income, and franchise advertising fee revenue. See Note 11, “Revenue from Contracts with Customers” </w:t>
      </w:r>
      <w:r>
        <w:rPr>
          <w:rFonts w:ascii="Times New Roman;Times;serif" w:hAnsi="Times New Roman;Times;serif"/>
          <w:sz w:val="20"/>
          <w:shd w:fill="FFFFFF" w:val="clear"/>
        </w:rPr>
        <w:t>in the Notes to Condensed Consolidated Financial Statements</w:t>
      </w:r>
      <w:r>
        <w:rPr>
          <w:rFonts w:ascii="Times New Roman;Times;serif" w:hAnsi="Times New Roman;Times;serif"/>
          <w:sz w:val="20"/>
        </w:rPr>
        <w:t xml:space="preserve"> above for further details regarding our revenue recognition policy.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includes AB 1228), overtime, wage inflation, the frequency and severity of workers’ compensation claims, health care costs, and the performance of our restaurants.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Costs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Occupancy costs include rent, common area maintenance (“CAM”), and real estate taxes. Other restaurant operating expenses include the costs of utilities, advertising, credit card processing fees, delivery service provide fees, restaurant supplies, repairs and maintenance, and other restaurant operating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Franchise expenses are primarily comprised of rent expenses incurred on properties leased by us and then sublet to franchisees, expenses incurred in support of franchisee information technology systems, and the franchisee’s portion of advertising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primarily consists of the depreciation of property and equipment, including leasehold improvements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Disposal of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Loss on disposal of assets includes the loss on disposal of assets related to retirements and replacement or write-off of leasehold improvements or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consists primarily of interest on our outstanding debt. Debt issuance costs are amortized at cost over the life of the related debt.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Provision for income taxes consists of federal and state taxes on our income.</w:t>
      </w:r>
    </w:p>
    <w:p>
      <w:pPr>
        <w:pStyle w:val="TextBody"/>
        <w:bidi w:val="0"/>
        <w:spacing w:before="0" w:after="240"/>
        <w:ind w:left="0" w:right="0" w:hanging="0"/>
        <w:jc w:val="left"/>
        <w:rPr>
          <w:rFonts w:ascii="Times New Roman;Times;serif" w:hAnsi="Times New Roman;Times;serif"/>
          <w:b/>
          <w:sz w:val="20"/>
        </w:rPr>
      </w:pPr>
      <w:bookmarkStart w:id="1336" w:name="_38bd9fbe_881d_4e68_92f9_58b50d9d7444"/>
      <w:bookmarkEnd w:id="1336"/>
      <w:r>
        <w:rPr>
          <w:rFonts w:ascii="Times New Roman;Times;serif" w:hAnsi="Times New Roman;Times;serif"/>
          <w:b/>
          <w:sz w:val="20"/>
        </w:rPr>
        <w:t>Comparison of Results of Operations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operating results for the thirteen and thirty-nine weeks ended September 24, 2025 and September 25, 2024 are expressed as percentages of total revenue, with the exception of cost of operations and company restaurant expenses, which are expressed as percentages of company-operated restaurant revenue, and are compared in the tables below.</w:t>
      </w:r>
    </w:p>
    <w:tbl>
      <w:tblPr>
        <w:tblW w:w="10205" w:type="dxa"/>
        <w:jc w:val="left"/>
        <w:tblInd w:w="0" w:type="dxa"/>
        <w:tblLayout w:type="fixed"/>
        <w:tblCellMar>
          <w:top w:w="0" w:type="dxa"/>
          <w:left w:w="0" w:type="dxa"/>
          <w:bottom w:w="0" w:type="dxa"/>
          <w:right w:w="0" w:type="dxa"/>
        </w:tblCellMar>
      </w:tblPr>
      <w:tblGrid>
        <w:gridCol w:w="3592"/>
        <w:gridCol w:w="326"/>
        <w:gridCol w:w="211"/>
        <w:gridCol w:w="781"/>
        <w:gridCol w:w="326"/>
        <w:gridCol w:w="571"/>
        <w:gridCol w:w="326"/>
        <w:gridCol w:w="211"/>
        <w:gridCol w:w="781"/>
        <w:gridCol w:w="326"/>
        <w:gridCol w:w="571"/>
        <w:gridCol w:w="326"/>
        <w:gridCol w:w="211"/>
        <w:gridCol w:w="689"/>
        <w:gridCol w:w="326"/>
        <w:gridCol w:w="631"/>
      </w:tblGrid>
      <w:tr>
        <w:trPr/>
        <w:tc>
          <w:tcPr>
            <w:tcW w:w="3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80920" cy="175260"/>
                      <wp:effectExtent l="0" t="0" r="0" b="0"/>
                      <wp:wrapNone/>
                      <wp:docPr id="338" name="Frame338"/>
                      <a:graphic xmlns:a="http://schemas.openxmlformats.org/drawingml/2006/main">
                        <a:graphicData uri="http://schemas.microsoft.com/office/word/2010/wordprocessingShape">
                          <wps:wsp>
                            <wps:cNvSpPr txBox="1"/>
                            <wps:spPr>
                              <a:xfrm>
                                <a:off x="0" y="0"/>
                                <a:ext cx="228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95935" cy="175260"/>
                      <wp:effectExtent l="0" t="0" r="0" b="0"/>
                      <wp:wrapNone/>
                      <wp:docPr id="341" name="Frame3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362585" cy="175260"/>
                      <wp:effectExtent l="0" t="0" r="0" b="0"/>
                      <wp:wrapNone/>
                      <wp:docPr id="343" name="Frame3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5935" cy="175260"/>
                      <wp:effectExtent l="0" t="0" r="0" b="0"/>
                      <wp:wrapNone/>
                      <wp:docPr id="346" name="Frame3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62585" cy="175260"/>
                      <wp:effectExtent l="0" t="0" r="0" b="0"/>
                      <wp:wrapNone/>
                      <wp:docPr id="348" name="Frame3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7515" cy="175260"/>
                      <wp:effectExtent l="0" t="0" r="0" b="0"/>
                      <wp:wrapNone/>
                      <wp:docPr id="351" name="Frame35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00685" cy="175260"/>
                      <wp:effectExtent l="0" t="0" r="0" b="0"/>
                      <wp:wrapNone/>
                      <wp:docPr id="353" name="Frame35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28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center"/>
              <w:rPr/>
            </w:pPr>
            <w:r>
              <w:rPr/>
              <w:t>​</w:t>
            </w:r>
          </w:p>
        </w:tc>
        <w:tc>
          <w:tcPr>
            <w:tcW w:w="185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8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100,721</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121,520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120,395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1,125</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r>
      <w:tr>
        <w:trPr/>
        <w:tc>
          <w:tcPr>
            <w:tcW w:w="359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26,730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59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82,257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84,233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(1,976)</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110,062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110,258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11,458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10,137</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10,336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8,601</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1,735</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w:t>
            </w:r>
          </w:p>
        </w:tc>
      </w:tr>
      <w:tr>
        <w:trPr/>
        <w:tc>
          <w:tcPr>
            <w:tcW w:w="3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359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7,358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6,186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1,172</w:t>
            </w:r>
          </w:p>
        </w:tc>
        <w:tc>
          <w:tcPr>
            <w:tcW w:w="326" w:type="dxa"/>
            <w:tcBorders/>
            <w:shd w:fill="CCEEFF" w:val="clear"/>
            <w:vAlign w:val="center"/>
          </w:tcPr>
          <w:p>
            <w:pPr>
              <w:pStyle w:val="TableContents"/>
              <w:bidi w:val="0"/>
              <w:spacing w:before="0" w:after="0"/>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18.9</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tbl>
      <w:tblPr>
        <w:tblW w:w="9961" w:type="dxa"/>
        <w:jc w:val="left"/>
        <w:tblInd w:w="0" w:type="dxa"/>
        <w:tblLayout w:type="fixed"/>
        <w:tblCellMar>
          <w:top w:w="0" w:type="dxa"/>
          <w:left w:w="0" w:type="dxa"/>
          <w:bottom w:w="0" w:type="dxa"/>
          <w:right w:w="0" w:type="dxa"/>
        </w:tblCellMar>
      </w:tblPr>
      <w:tblGrid>
        <w:gridCol w:w="3451"/>
        <w:gridCol w:w="326"/>
        <w:gridCol w:w="211"/>
        <w:gridCol w:w="781"/>
        <w:gridCol w:w="326"/>
        <w:gridCol w:w="571"/>
        <w:gridCol w:w="326"/>
        <w:gridCol w:w="211"/>
        <w:gridCol w:w="781"/>
        <w:gridCol w:w="326"/>
        <w:gridCol w:w="571"/>
        <w:gridCol w:w="326"/>
        <w:gridCol w:w="211"/>
        <w:gridCol w:w="691"/>
        <w:gridCol w:w="326"/>
        <w:gridCol w:w="52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1385" cy="175260"/>
                      <wp:effectExtent l="0" t="0" r="0" b="0"/>
                      <wp:wrapNone/>
                      <wp:docPr id="354" name="Frame35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62585" cy="175260"/>
                      <wp:effectExtent l="0" t="0" r="0" b="0"/>
                      <wp:wrapNone/>
                      <wp:docPr id="359" name="Frame3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95935" cy="175260"/>
                      <wp:effectExtent l="0" t="0" r="0" b="0"/>
                      <wp:wrapNone/>
                      <wp:docPr id="362" name="Frame3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62585" cy="175260"/>
                      <wp:effectExtent l="0" t="0" r="0" b="0"/>
                      <wp:wrapNone/>
                      <wp:docPr id="364" name="Frame3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38785" cy="175260"/>
                      <wp:effectExtent l="0" t="0" r="0" b="0"/>
                      <wp:wrapNone/>
                      <wp:docPr id="367" name="Frame3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34010" cy="175260"/>
                      <wp:effectExtent l="0" t="0" r="0" b="0"/>
                      <wp:wrapNone/>
                      <wp:docPr id="369" name="Frame36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18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center"/>
              <w:rPr/>
            </w:pPr>
            <w:r>
              <w:rPr/>
              <w:t>​</w:t>
            </w:r>
          </w:p>
        </w:tc>
        <w:tc>
          <w:tcPr>
            <w:tcW w:w="188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center"/>
              <w:rPr/>
            </w:pPr>
            <w:r>
              <w:rPr/>
              <w:t>​</w:t>
            </w:r>
          </w:p>
        </w:tc>
        <w:tc>
          <w:tcPr>
            <w:tcW w:w="17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 (Decrease)</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($,000)</w:t>
            </w:r>
          </w:p>
        </w:tc>
        <w:tc>
          <w:tcPr>
            <w:tcW w:w="326" w:type="dxa"/>
            <w:tcBorders/>
            <w:vAlign w:val="center"/>
          </w:tcPr>
          <w:p>
            <w:pPr>
              <w:pStyle w:val="TableContents"/>
              <w:bidi w:val="0"/>
              <w:spacing w:before="0" w:after="0"/>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Statements of Income Data</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26"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303,404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300,638</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366,531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358,724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7,807</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34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operations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Food and paper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75,114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(1,637)</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related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96,192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and 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79,144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34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Company restaurant expenses</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249,240</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247,552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1,688</w:t>
            </w:r>
          </w:p>
        </w:tc>
        <w:tc>
          <w:tcPr>
            <w:tcW w:w="32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37,138</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890" w:type="dxa"/>
        <w:jc w:val="left"/>
        <w:tblInd w:w="0" w:type="dxa"/>
        <w:tblLayout w:type="fixed"/>
        <w:tblCellMar>
          <w:top w:w="0" w:type="dxa"/>
          <w:left w:w="0" w:type="dxa"/>
          <w:bottom w:w="0" w:type="dxa"/>
          <w:right w:w="0" w:type="dxa"/>
        </w:tblCellMar>
      </w:tblPr>
      <w:tblGrid>
        <w:gridCol w:w="3661"/>
        <w:gridCol w:w="109"/>
        <w:gridCol w:w="211"/>
        <w:gridCol w:w="781"/>
        <w:gridCol w:w="146"/>
        <w:gridCol w:w="466"/>
        <w:gridCol w:w="109"/>
        <w:gridCol w:w="211"/>
        <w:gridCol w:w="781"/>
        <w:gridCol w:w="146"/>
        <w:gridCol w:w="481"/>
        <w:gridCol w:w="109"/>
        <w:gridCol w:w="211"/>
        <w:gridCol w:w="691"/>
        <w:gridCol w:w="146"/>
        <w:gridCol w:w="631"/>
      </w:tblGrid>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36,476</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4,515</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11,789</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c>
          <w:tcPr>
            <w:tcW w:w="1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restaurants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46" w:type="dxa"/>
            <w:tcBorders/>
            <w:shd w:fill="CCEEFF" w:val="cle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334,796</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326,590</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8,206</w:t>
            </w:r>
          </w:p>
        </w:tc>
        <w:tc>
          <w:tcPr>
            <w:tcW w:w="1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31,735</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32,134</w:t>
            </w:r>
          </w:p>
        </w:tc>
        <w:tc>
          <w:tcPr>
            <w:tcW w:w="14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(399)</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w:t>
            </w:r>
          </w:p>
        </w:tc>
        <w:tc>
          <w:tcPr>
            <w:tcW w:w="1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28,230</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27,507</w:t>
            </w:r>
          </w:p>
        </w:tc>
        <w:tc>
          <w:tcPr>
            <w:tcW w:w="146" w:type="dxa"/>
            <w:tcBorders/>
            <w:shd w:fill="CCEEFF" w:val="clear"/>
            <w:vAlign w:val="center"/>
          </w:tcPr>
          <w:p>
            <w:pPr>
              <w:pStyle w:val="TableContents"/>
              <w:bidi w:val="0"/>
              <w:spacing w:before="0" w:after="0"/>
              <w:ind w:left="0" w:right="0" w:hanging="0"/>
              <w:jc w:val="righ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723</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w:t>
            </w:r>
          </w:p>
        </w:tc>
        <w:tc>
          <w:tcPr>
            <w:tcW w:w="14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46" w:type="dxa"/>
            <w:tcBorders/>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19,946</w:t>
            </w:r>
          </w:p>
        </w:tc>
        <w:tc>
          <w:tcPr>
            <w:tcW w:w="14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19,731</w:t>
            </w:r>
          </w:p>
        </w:tc>
        <w:tc>
          <w:tcPr>
            <w:tcW w:w="146" w:type="dxa"/>
            <w:tcBorders/>
            <w:shd w:fill="CCEEFF" w:val="clear"/>
            <w:vAlign w:val="center"/>
          </w:tcPr>
          <w:p>
            <w:pPr>
              <w:pStyle w:val="TableContents"/>
              <w:bidi w:val="0"/>
              <w:spacing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146" w:type="dxa"/>
            <w:tcBorders/>
            <w:shd w:fill="CCEEFF" w:val="clear"/>
            <w:vAlign w:val="center"/>
          </w:tcPr>
          <w:p>
            <w:pPr>
              <w:pStyle w:val="TableContents"/>
              <w:bidi w:val="0"/>
              <w:spacing w:before="0" w:after="0"/>
              <w:ind w:left="0" w:right="0" w:hanging="0"/>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September 24, 2025, company-operated restaurant revenue decreased $0.5 million, or 0.5%, from the comparable period in the prior year. The decrease in company-operated restaurant revenue was mainly due to a decrease in company-operated comparable restaurant revenue of $1.2 million, or 1.1%, partially offset by $0.7 million of additional sales from the opening of two restaurants during or after the third quarter of 2024. The company-operated comparable restaurant sales decrease consisted of a 1.3% decrease in average check size, partially offset by a 0.1% increase in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Year-to-date, company-operated restaurant revenue increased $2.8 million, or 0.9%, from the comparable period in the prior year. The increase in company-operated restaurant revenue was mainly due to $2.5 million of additional sales from the opening of two restaurants during or after the first quarter of 2024, as well as an increase in company-operated comparable restaurant revenue of $0.6 million, or 0.2%. The company-operated comparable restaurant sales increase consisted of a 1.6% increase in average check size due to increases in menu prices, partially offset by a 1.3% decrease in transactions. This company-operated restaurant revenue increase was partially offset </w:t>
      </w:r>
      <w:r>
        <w:rPr>
          <w:rFonts w:ascii="Times New Roman;Times;serif" w:hAnsi="Times New Roman;Times;serif"/>
          <w:sz w:val="20"/>
          <w:shd w:fill="FFFFFF" w:val="clear"/>
        </w:rPr>
        <w:t xml:space="preserve">by a $0.2 million decrease in revenue recognized for our loyalty program.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24, 2025, franchise revenue increased $1.5 million, or 13.5%, from the comparable period in the prior year. This increase was primarily due to the $0.9 million in franchisee IT pass through revenue related to the franchisee rollout of the new Point of Sale (“POS”) system, which was offset by a corresponding increase in franchise expenses. In addition, the increase in franchise revenue was due to the five </w:t>
      </w:r>
      <w:r>
        <w:rPr>
          <w:rFonts w:ascii="Times New Roman;Times;serif" w:hAnsi="Times New Roman;Times;serif"/>
          <w:sz w:val="20"/>
          <w:shd w:fill="FFFFFF" w:val="clear"/>
        </w:rPr>
        <w:t xml:space="preserve">franchise-operated restaurant openings during or subsequent to the third quarter of 2024 and a true up of royalty rates, </w:t>
      </w:r>
      <w:r>
        <w:rPr>
          <w:rFonts w:ascii="Times New Roman;Times;serif" w:hAnsi="Times New Roman;Times;serif"/>
          <w:sz w:val="20"/>
        </w:rPr>
        <w:t xml:space="preserve">partially offset by </w:t>
      </w:r>
      <w:r>
        <w:rPr>
          <w:rFonts w:ascii="Times New Roman;Times;serif" w:hAnsi="Times New Roman;Times;serif"/>
          <w:sz w:val="20"/>
          <w:shd w:fill="FFFFFF" w:val="clear"/>
        </w:rPr>
        <w:t>a franchise comparable restaurant sales decrease of 0.6%</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Year-to-date, franchise revenue increased $5.1 million, or 14.8%, from the comparable period in the prior year. This increase was primarily due to the $4.3 million in franchisee IT pass through revenue related to the franchisee rollout of the new POS system which is offset by a corresponding increase in franchise expenses. In addition, the increase in franchise revenue was due to the five </w:t>
      </w:r>
      <w:r>
        <w:rPr>
          <w:rFonts w:ascii="Times New Roman;Times;serif" w:hAnsi="Times New Roman;Times;serif"/>
          <w:sz w:val="20"/>
          <w:shd w:fill="FFFFFF" w:val="clear"/>
        </w:rPr>
        <w:t>franchise-operated restaurant openings during or subsequent to the first quarter of 2024. The increase in franchise revenue</w:t>
      </w:r>
      <w:r>
        <w:rPr>
          <w:rFonts w:ascii="Times New Roman;Times;serif" w:hAnsi="Times New Roman;Times;serif"/>
          <w:sz w:val="20"/>
        </w:rPr>
        <w:t xml:space="preserve"> was partially offset by </w:t>
      </w:r>
      <w:r>
        <w:rPr>
          <w:rFonts w:ascii="Times New Roman;Times;serif" w:hAnsi="Times New Roman;Times;serif"/>
          <w:sz w:val="20"/>
          <w:shd w:fill="FFFFFF" w:val="clear"/>
        </w:rPr>
        <w:t>a franchise comparable restaurant sales decrease of 1.0%</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Franchise Advertising Fee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September 24, 2025, franchise advertising fee revenue increased less than $0.1 million, or 0.6%, from the comparable period in the prior year. Year-to-date, franchise advertising fee revenue decreased less than $0.1 million, or 0.2%, from the comparable period in the prior year. As advertising fee revenue is a percentage of franchisees’ revenue, the fluctuations for the quarter were due to the increases and decreases noted in franchise revenue above.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Food and Paper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September 24, 2025, food and paper costs decreased $0.5 million, or 2.1%,</w:t>
      </w:r>
      <w:r>
        <w:rPr>
          <w:rFonts w:ascii="Times New Roman;Times;serif" w:hAnsi="Times New Roman;Times;serif"/>
          <w:sz w:val="20"/>
          <w:shd w:fill="FFFFFF" w:val="clear"/>
        </w:rPr>
        <w:t xml:space="preserve"> from the comparable period in the prior year. Year-to-date, food and paper costs decreased $1.6 million, or 2.1%, from the comparable period in the prior year.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food and paper costs for both the quarter and year-to-date periods was primarily due to lower sales combined with cost-management initiatives and commodity deflation, partially offset by increased discounts. For the quarter, food and paper costs as a percentage of company-operated restaurant revenue were 24.7%, down from 25.1% in the comparable period of the prior year.</w:t>
      </w:r>
      <w:r>
        <w:rPr>
          <w:rFonts w:ascii="Times New Roman;Times;serif" w:hAnsi="Times New Roman;Times;serif"/>
          <w:sz w:val="20"/>
          <w:shd w:fill="FFFFFF" w:val="clear"/>
        </w:rPr>
        <w:t xml:space="preserve"> </w:t>
      </w:r>
      <w:r>
        <w:rPr>
          <w:rFonts w:ascii="Times New Roman;Times;serif" w:hAnsi="Times New Roman;Times;serif"/>
          <w:sz w:val="20"/>
        </w:rPr>
        <w:t xml:space="preserve">Year-to-date, food and paper costs as a percentage of company-operated restaurant revenue were 24.8%, down from 25.5% in the comparable period of the prior year. The percentage decrease for both the quarter and year-to-date periods was primarily due to menu price increases and </w:t>
      </w:r>
      <w:r>
        <w:rPr>
          <w:rFonts w:ascii="Times New Roman;Times;serif" w:hAnsi="Times New Roman;Times;serif"/>
          <w:sz w:val="20"/>
          <w:shd w:fill="FFFFFF" w:val="clear"/>
        </w:rPr>
        <w:t>the cost decreases highlighted above, partially offset by increased discounts.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Labor and Related Expenses</w:t>
      </w:r>
    </w:p>
    <w:p>
      <w:pPr>
        <w:pStyle w:val="TextBody"/>
        <w:bidi w:val="0"/>
        <w:spacing w:before="0" w:after="240"/>
        <w:ind w:left="0" w:right="0" w:hanging="0"/>
        <w:jc w:val="left"/>
        <w:rPr>
          <w:rFonts w:ascii="Times New Roman;Times;serif" w:hAnsi="Times New Roman;Times;serif"/>
          <w:sz w:val="20"/>
        </w:rPr>
      </w:pPr>
      <w:bookmarkStart w:id="1337" w:name="_Hlk109375858"/>
      <w:bookmarkEnd w:id="1337"/>
      <w:r>
        <w:rPr>
          <w:rFonts w:ascii="Times New Roman;Times;serif" w:hAnsi="Times New Roman;Times;serif"/>
          <w:sz w:val="20"/>
        </w:rPr>
        <w:t>For the quarter ended September 24, 2025, labor and related expenses decreased $2.1 million, or 6.4%, from the comparable period in the prior year. The</w:t>
      </w:r>
      <w:r>
        <w:rPr>
          <w:rFonts w:ascii="Times New Roman;Times;serif" w:hAnsi="Times New Roman;Times;serif"/>
          <w:sz w:val="20"/>
          <w:shd w:fill="FFFFFF" w:val="clear"/>
        </w:rPr>
        <w:t xml:space="preserve"> decrease in labor and related expenses for the quarter was primarily due to </w:t>
      </w:r>
      <w:r>
        <w:rPr>
          <w:rFonts w:ascii="Times New Roman;Times;serif" w:hAnsi="Times New Roman;Times;serif"/>
          <w:sz w:val="20"/>
        </w:rPr>
        <w:t>a $1.3 million reduction in costs related to improved labor efficiencies as part of our cost-management initiatives and $0.5 million decrease related to the decrease in sales and</w:t>
      </w:r>
      <w:r>
        <w:rPr>
          <w:rFonts w:ascii="Times New Roman;Times;serif" w:hAnsi="Times New Roman;Times;serif"/>
          <w:sz w:val="20"/>
          <w:shd w:fill="FFFFFF" w:val="clear"/>
        </w:rPr>
        <w:t xml:space="preserve"> a $0.3 million decrease in other labor-related expenses.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Year-to-date, labor and related expenses decreased $1.2 million, or 1.3%, from the comparable period in the prior year. The decrease for the year-to-date period was due primarily to $3.8 million reduction in costs related to the improved labor efficiencies discussed above, as well as a $0.6 million decrease in other labor-related expenses. The decrease in labor and related expenses for the year was partially offset by a $3.2 million increase due to higher wage rates during fiscal 2025 as a result of legislative increases in the California state minimum wage, which became effective April 1, 2024.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24, 2025, labor and related expenses as a percentage of company-operated restaurant revenue were 30.4%, down from 32.4% in the comparable period in the prior year. </w:t>
      </w:r>
      <w:r>
        <w:rPr>
          <w:rFonts w:ascii="Times New Roman;Times;serif" w:hAnsi="Times New Roman;Times;serif"/>
          <w:sz w:val="20"/>
          <w:shd w:fill="FFFFFF" w:val="clear"/>
        </w:rPr>
        <w:t>Year-to-date labor and related expenses as a percentage of company-operated restaurant revenue were 31.3%, down from 32.0% in the comparable period in the prior year primarily. The percentage</w:t>
      </w:r>
      <w:r>
        <w:rPr>
          <w:rFonts w:ascii="Times New Roman;Times;serif" w:hAnsi="Times New Roman;Times;serif"/>
          <w:sz w:val="20"/>
        </w:rPr>
        <w:t xml:space="preserve"> change for both the quarter and year-to-date periods </w:t>
      </w:r>
      <w:r>
        <w:rPr>
          <w:rFonts w:ascii="Times New Roman;Times;serif" w:hAnsi="Times New Roman;Times;serif"/>
          <w:sz w:val="20"/>
          <w:shd w:fill="FFFFFF" w:val="clear"/>
        </w:rPr>
        <w:t xml:space="preserve">was driven by higher menu prices and the </w:t>
      </w:r>
      <w:r>
        <w:rPr>
          <w:rFonts w:ascii="Times New Roman;Times;serif" w:hAnsi="Times New Roman;Times;serif"/>
          <w:sz w:val="20"/>
        </w:rPr>
        <w:t>improved labor efficiencies</w:t>
      </w:r>
      <w:r>
        <w:rPr>
          <w:rFonts w:ascii="Times New Roman;Times;serif" w:hAnsi="Times New Roman;Times;serif"/>
          <w:sz w:val="20"/>
          <w:shd w:fill="FFFFFF" w:val="clear"/>
        </w:rPr>
        <w:t>, partially offset by the higher wage rates and higher labor-related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Occupancy and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24, 2025, occupancy and other operating expenses increased $0.6 million, or 2.5%, from the comparable period in the prior year. </w:t>
      </w:r>
      <w:r>
        <w:rPr>
          <w:rFonts w:ascii="Times New Roman;Times;serif" w:hAnsi="Times New Roman;Times;serif"/>
          <w:sz w:val="20"/>
          <w:shd w:fill="FFFFFF" w:val="clear"/>
        </w:rPr>
        <w:t xml:space="preserve">The increase was primarily due to increases of $0.3 million in software maintenance, $0.3 million in occupancy and $0.2 million in marketplace delivery fees, partially offset by $0.2 million decrease in utilities and repairs and maintenance costs.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Year-to-date, occupancy and other operating expenses increased $4.5 million, or 6.1%, from the comparable period in the prior year primarily due to increases of $1.0 million in occupancy, $0.9 million in marketplace delivery fees, $0.8 million in software maintenance, $0.6 million in utilities, $0.3 million in operating supplies, $0.2 million in credit card charges and $0.7 million in other 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24, 2025, occupancy and other operating expenses as a percentage of company-operated restaurant revenue </w:t>
      </w:r>
      <w:r>
        <w:rPr>
          <w:rFonts w:ascii="Times New Roman;Times;serif" w:hAnsi="Times New Roman;Times;serif"/>
          <w:sz w:val="20"/>
          <w:shd w:fill="FFFFFF" w:val="clear"/>
        </w:rPr>
        <w:t>were 26.5%, up from 25.8% in the comparable period in the prior year. Year-to-date, occupancy and other operating expenses as a percentage of company-operated restaurant revenue were 26.1%, up from 24.8% in the comparable period of the prior year. Both the quarter and year-to-date period increases resulted from the cost increases highlighted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hanging="0"/>
        <w:jc w:val="left"/>
        <w:rPr>
          <w:rFonts w:ascii="Times New Roman;Times;serif" w:hAnsi="Times New Roman;Times;serif"/>
          <w:sz w:val="20"/>
        </w:rPr>
      </w:pPr>
      <w:bookmarkStart w:id="1338" w:name="_Hlk148454221"/>
      <w:bookmarkStart w:id="1339" w:name="_Hlk133420809"/>
      <w:bookmarkEnd w:id="1338"/>
      <w:bookmarkEnd w:id="1339"/>
      <w:r>
        <w:rPr>
          <w:rFonts w:ascii="Times New Roman;Times;serif" w:hAnsi="Times New Roman;Times;serif"/>
          <w:sz w:val="20"/>
        </w:rPr>
        <w:t xml:space="preserve">For the quarter ended September 24, 2025, general and administrative expenses increased $0.9 million, or 8.1%, from the comparable period in the prior year. The increase for the quarter was primarily due to </w:t>
      </w:r>
      <w:r>
        <w:rPr>
          <w:rFonts w:ascii="Times New Roman;Times;serif" w:hAnsi="Times New Roman;Times;serif"/>
          <w:sz w:val="20"/>
          <w:shd w:fill="FFFFFF" w:val="clear"/>
        </w:rPr>
        <w:t xml:space="preserve">a $0.3 million increase in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compensation expenses, a $0.2 million increase in legal and professional fee costs related to shareholder activism and related matters, a $0.2 million increase in restructuring costs, a $0.1 million increase related to additional rent expense in connection with our corporate office relocation and a $0.1 million increase due to the implementation of enterprise resource planning (“ERP”) system.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Year-to-date, general and administrative expenses increased $2.0 million, or 5.7%, from the comparable period in the prior year. The increase for the year-to-date period was due primarily to a</w:t>
      </w:r>
      <w:r>
        <w:rPr>
          <w:rFonts w:ascii="Times New Roman;Times;serif" w:hAnsi="Times New Roman;Times;serif"/>
          <w:sz w:val="20"/>
        </w:rPr>
        <w:t xml:space="preserve"> $1.6 million</w:t>
      </w:r>
      <w:r>
        <w:rPr>
          <w:rFonts w:ascii="Times New Roman;Times;serif" w:hAnsi="Times New Roman;Times;serif"/>
          <w:sz w:val="20"/>
          <w:shd w:fill="FFFFFF" w:val="clear"/>
        </w:rPr>
        <w:t xml:space="preserve"> increase in legal and professional fee costs related to shareholder activism and related matters and $1.2 million increase in stock compensation expenses. The general and administrative expenses increase was partially offset by $0.6 million received from a legal settlement, net of legal expenses and a $0.3 million decrease in restructuring and executive transition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quarter ended September 24, 2025, general and administrative expenses as a percentage of total revenue were 10.2%, up from 9.5% in the comparable period of the prior year</w:t>
      </w:r>
      <w:r>
        <w:rPr>
          <w:rFonts w:ascii="Times New Roman;Times;serif" w:hAnsi="Times New Roman;Times;serif"/>
          <w:sz w:val="20"/>
          <w:shd w:fill="FFFFFF" w:val="clear"/>
        </w:rPr>
        <w:t xml:space="preserve">. Year-to-date, general and administrative expenses as a percentage of total revenue were 10.1%, up from 9.8% in the comparable period of the prior year. The percentage increase for </w:t>
      </w:r>
      <w:r>
        <w:rPr>
          <w:rFonts w:ascii="Times New Roman;Times;serif" w:hAnsi="Times New Roman;Times;serif"/>
          <w:sz w:val="20"/>
        </w:rPr>
        <w:t>both the quarter and year-to-date periods</w:t>
      </w:r>
      <w:r>
        <w:rPr>
          <w:rFonts w:ascii="Times New Roman;Times;serif" w:hAnsi="Times New Roman;Times;serif"/>
          <w:sz w:val="20"/>
          <w:shd w:fill="FFFFFF" w:val="clear"/>
        </w:rPr>
        <w:t xml:space="preserve"> is primarily due to the cost increases discussed above.</w:t>
      </w:r>
    </w:p>
    <w:p>
      <w:pPr>
        <w:pStyle w:val="TextBody"/>
        <w:bidi w:val="0"/>
        <w:spacing w:before="0" w:after="240"/>
        <w:ind w:left="0" w:right="0" w:hanging="0"/>
        <w:jc w:val="left"/>
        <w:rPr>
          <w:rFonts w:ascii="inherit" w:hAnsi="inherit"/>
          <w:b/>
          <w:i/>
          <w:sz w:val="20"/>
        </w:rPr>
      </w:pPr>
      <w:r>
        <w:rPr>
          <w:rFonts w:ascii="inherit" w:hAnsi="inherit"/>
          <w:b/>
          <w:i/>
          <w:sz w:val="20"/>
        </w:rPr>
        <w:t>Franchise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quarter ended September 24, 2025, </w:t>
      </w:r>
      <w:r>
        <w:rPr>
          <w:rFonts w:ascii="Times New Roman;Times;serif" w:hAnsi="Times New Roman;Times;serif"/>
          <w:color w:val="212529"/>
          <w:sz w:val="20"/>
          <w:shd w:fill="FFFFFF" w:val="clear"/>
        </w:rPr>
        <w:t xml:space="preserve">franchise expenses increased $0.9 million, or 8.8%, </w:t>
      </w:r>
      <w:r>
        <w:rPr>
          <w:rFonts w:ascii="Times New Roman;Times;serif" w:hAnsi="Times New Roman;Times;serif"/>
          <w:sz w:val="20"/>
        </w:rPr>
        <w:t>from the comparable period in the prior year</w:t>
      </w:r>
      <w:r>
        <w:rPr>
          <w:rFonts w:ascii="Times New Roman;Times;serif" w:hAnsi="Times New Roman;Times;serif"/>
          <w:color w:val="212529"/>
          <w:sz w:val="20"/>
          <w:shd w:fill="FFFFFF" w:val="clear"/>
        </w:rPr>
        <w:t xml:space="preserve">. Year-to-date, franchise expenses increased $4.5 million, or 14.1%, from the comparable period in the prior year. </w:t>
      </w:r>
      <w:r>
        <w:rPr>
          <w:rFonts w:ascii="Times New Roman;Times;serif" w:hAnsi="Times New Roman;Times;serif"/>
          <w:sz w:val="20"/>
          <w:shd w:fill="FFFFFF" w:val="clear"/>
        </w:rPr>
        <w:t>The increase for both quarterly and year-to-date periods was</w:t>
      </w:r>
      <w:r>
        <w:rPr>
          <w:rFonts w:ascii="Times New Roman;Times;serif" w:hAnsi="Times New Roman;Times;serif"/>
          <w:color w:val="212529"/>
          <w:sz w:val="20"/>
          <w:shd w:fill="FFFFFF" w:val="clear"/>
        </w:rPr>
        <w:t xml:space="preserve"> due to the $0.9 million and $4.3 million in IT pass-through expenses, respectively, primarily resulting from franchisees rolling out the new POS system.</w:t>
      </w:r>
    </w:p>
    <w:p>
      <w:pPr>
        <w:pStyle w:val="TextBody"/>
        <w:bidi w:val="0"/>
        <w:spacing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Loss on Disposition of Restaurants</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During the thirty-nine weeks ended September 25, 2024, we completed the sale of one restaurant within California to an existing franchisee due to an expiring lease term on April 30, 2024. This sale resulted in cash proceeds of $0.1 million and a net loss on sale of restaurant of less than $0.1 million for the thirteen and thirty-nine weeks ended September 25, 2024. Since the date of the sale, this restaurant is now included in the total number of franchised El Pollo Loco restaurants.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Impairment and Closed-Store Reserves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thirteen and thirty-nine weeks ended September 24, 2025 and September 25, 2024, we did not record any non-cash impairment charges.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and thirty-nine weeks ended September 24, 2025 and September 25, 2024, we recognized less than </w:t>
      </w:r>
      <w:r>
        <w:rPr>
          <w:rFonts w:ascii="Times New Roman;Times;serif" w:hAnsi="Times New Roman;Times;serif"/>
          <w:sz w:val="20"/>
          <w:shd w:fill="FFFFFF" w:val="clear"/>
        </w:rPr>
        <w:t>$0.1 million</w:t>
      </w:r>
      <w:r>
        <w:rPr>
          <w:rFonts w:ascii="Times New Roman;Times;serif" w:hAnsi="Times New Roman;Times;serif"/>
          <w:sz w:val="20"/>
        </w:rPr>
        <w:t xml:space="preserve"> of closed-store reserve expense related to the amortization of ROU assets, property taxes and CAM payments for our closed locations.</w:t>
      </w:r>
      <w:r>
        <w:rPr>
          <w:rFonts w:ascii="Times New Roman;Times;serif" w:hAnsi="Times New Roman;Times;serif"/>
          <w:sz w:val="20"/>
          <w:shd w:fill="FFFFFF"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For the quarter ended September 24, 2025, interest expense, net, decreased $0.4 million from t</w:t>
      </w:r>
      <w:r>
        <w:rPr>
          <w:rFonts w:ascii="Times New Roman;Times;serif" w:hAnsi="Times New Roman;Times;serif"/>
          <w:b w:val="false"/>
          <w:i w:val="false"/>
          <w:caps w:val="false"/>
          <w:smallCaps w:val="false"/>
          <w:sz w:val="20"/>
          <w:shd w:fill="FFFFFF" w:val="clear"/>
        </w:rPr>
        <w:t>he comparable period in the prior year</w:t>
      </w:r>
      <w:r>
        <w:rPr>
          <w:rFonts w:ascii="Times New Roman;Times;serif" w:hAnsi="Times New Roman;Times;serif"/>
          <w:b/>
          <w:i/>
          <w:sz w:val="20"/>
        </w:rPr>
        <w:t>.</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For the year-to-date period, interest expense, net, decreased $1.1 million from the comparable period in the prior year. Both the quarter and year-to-date period decrease</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in interest expense was primarily related to the lower interest rates in the fiscal 2025 and lower outstanding balances on our 2022 Revolver (as defined below) versus t</w:t>
      </w:r>
      <w:r>
        <w:rPr>
          <w:rFonts w:ascii="Times New Roman;Times;serif" w:hAnsi="Times New Roman;Times;serif"/>
          <w:b w:val="false"/>
          <w:i w:val="false"/>
          <w:caps w:val="false"/>
          <w:smallCaps w:val="false"/>
          <w:sz w:val="20"/>
          <w:shd w:fill="FFFFFF" w:val="clear"/>
        </w:rPr>
        <w:t>he comparable periods in the prior year</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Receivable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29, 2024, we terminated most of the obligations under the Tax Receivable Agreement (“TRA”), with respect to any payments or obligations owed to the FS Equity Partners V, L.P. and FS Affiliates V, L.P. (together, the “Sellers”) thereunder in exchange for a payment to the Sellers of $398,896. As of September 24, 2025, there was no remaining obligation owed on our condensed consolidated balance sheets.</w:t>
      </w:r>
    </w:p>
    <w:p>
      <w:pPr>
        <w:pStyle w:val="TextBody"/>
        <w:bidi w:val="0"/>
        <w:spacing w:before="0" w:after="240"/>
        <w:ind w:left="0" w:right="0" w:hanging="0"/>
        <w:jc w:val="left"/>
        <w:rPr>
          <w:rFonts w:ascii="Times New Roman;Times;serif" w:hAnsi="Times New Roman;Times;serif"/>
          <w:b/>
          <w:i/>
          <w:sz w:val="20"/>
        </w:rPr>
      </w:pPr>
      <w:bookmarkStart w:id="1340" w:name="_Hlk101901576"/>
      <w:bookmarkEnd w:id="1340"/>
      <w:r>
        <w:rPr>
          <w:rFonts w:ascii="Times New Roman;Times;serif" w:hAnsi="Times New Roman;Times;serif"/>
          <w:b/>
          <w:i/>
          <w:sz w:val="20"/>
        </w:rPr>
        <w:t>Provision for Income Taxes</w:t>
      </w:r>
    </w:p>
    <w:p>
      <w:pPr>
        <w:pStyle w:val="TextBody"/>
        <w:bidi w:val="0"/>
        <w:spacing w:before="0" w:after="240"/>
        <w:ind w:left="0" w:right="0" w:hanging="0"/>
        <w:jc w:val="left"/>
        <w:rPr>
          <w:rFonts w:ascii="Times New Roman;Times;serif" w:hAnsi="Times New Roman;Times;serif"/>
          <w:sz w:val="20"/>
        </w:rPr>
      </w:pPr>
      <w:bookmarkStart w:id="1341" w:name="_Hlk109397057"/>
      <w:bookmarkEnd w:id="1341"/>
      <w:r>
        <w:rPr>
          <w:rFonts w:ascii="Times New Roman;Times;serif" w:hAnsi="Times New Roman;Times;serif"/>
          <w:sz w:val="20"/>
        </w:rPr>
        <w:t xml:space="preserve">For the quarter ended September 24, 2025, we recorded an income tax provision of $3.0 million, reflecting an estimated effective tax rate of 28.8%. For the quarter ended September 25, 2024, we recorded an income tax provision of $2.4 million, reflecting an estimated effective tax rate of approximately 28.1%.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year-to-date period ended September 24, 2025, we recorded an income tax provision of $8.3 million, reflecting an estimated effective tax rate of approximately 29.3%. For the year-to-date period ended September 25, 2024, we recorded an income tax provision of $7.8 million, reflecting an estimated effective tax rate of approximately 28.3%.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difference between the 21.0% statutory rate and our effective tax rate of 29.3% for the </w:t>
      </w:r>
      <w:r>
        <w:rPr>
          <w:rFonts w:ascii="Times New Roman;Times;serif" w:hAnsi="Times New Roman;Times;serif"/>
          <w:sz w:val="20"/>
          <w:shd w:fill="FFFFFF" w:val="clear"/>
        </w:rPr>
        <w:t>year-to-date period</w:t>
      </w:r>
      <w:r>
        <w:rPr>
          <w:rFonts w:ascii="Times New Roman;Times;serif" w:hAnsi="Times New Roman;Times;serif"/>
          <w:sz w:val="20"/>
        </w:rPr>
        <w:t xml:space="preserve"> ended September 24, 2025 is primarily a result </w:t>
      </w:r>
      <w:r>
        <w:rPr>
          <w:rFonts w:ascii="Times New Roman;Times;serif" w:hAnsi="Times New Roman;Times;serif"/>
          <w:sz w:val="20"/>
          <w:shd w:fill="FFFFFF" w:val="clear"/>
        </w:rPr>
        <w:t>of state taxes</w:t>
      </w:r>
      <w:r>
        <w:rPr>
          <w:rFonts w:ascii="Times New Roman;Times;serif" w:hAnsi="Times New Roman;Times;serif"/>
          <w:sz w:val="20"/>
        </w:rPr>
        <w:t xml:space="preserve"> and the impact of non-tax deductible executive compensation expense, and the impact of lower stock compensation expense related to vesting of restricted stock awards deductible for tax as compared to the cumulative amount recorded as stock-based compensation expense, partially offset by a Work Opportunity Tax Credit benefit</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b/>
          <w:sz w:val="20"/>
        </w:rPr>
      </w:pPr>
      <w:bookmarkStart w:id="1342" w:name="_7d4d4615_a262_4719_bf68_f008887c901f"/>
      <w:bookmarkEnd w:id="1342"/>
      <w:r>
        <w:rPr>
          <w:rFonts w:ascii="Times New Roman;Times;serif" w:hAnsi="Times New Roman;Times;serif"/>
          <w:b/>
          <w:sz w:val="20"/>
        </w:rPr>
        <w:t>Key Performance Indicators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System-Wide Sales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 System-wide sales do not include the eight licensed stores in the Philippines. The total number of currently licensed stores reflects the closure of two licensed restaurants during the thirty-nine weeks ended September 24,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reconciles system-wide sales to company-operated restaurant revenue and total revenue (in thousands):</w:t>
      </w:r>
    </w:p>
    <w:tbl>
      <w:tblPr>
        <w:tblW w:w="10205" w:type="dxa"/>
        <w:jc w:val="left"/>
        <w:tblInd w:w="0" w:type="dxa"/>
        <w:tblLayout w:type="fixed"/>
        <w:tblCellMar>
          <w:top w:w="0" w:type="dxa"/>
          <w:left w:w="0" w:type="dxa"/>
          <w:bottom w:w="0" w:type="dxa"/>
          <w:right w:w="0" w:type="dxa"/>
        </w:tblCellMar>
      </w:tblPr>
      <w:tblGrid>
        <w:gridCol w:w="2672"/>
        <w:gridCol w:w="326"/>
        <w:gridCol w:w="328"/>
        <w:gridCol w:w="1218"/>
        <w:gridCol w:w="326"/>
        <w:gridCol w:w="328"/>
        <w:gridCol w:w="1218"/>
        <w:gridCol w:w="326"/>
        <w:gridCol w:w="328"/>
        <w:gridCol w:w="1218"/>
        <w:gridCol w:w="326"/>
        <w:gridCol w:w="306"/>
        <w:gridCol w:w="1285"/>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696720" cy="175260"/>
                      <wp:effectExtent l="0" t="0" r="0" b="0"/>
                      <wp:wrapNone/>
                      <wp:docPr id="370" name="Frame370"/>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8280" cy="175260"/>
                      <wp:effectExtent l="0" t="0" r="0" b="0"/>
                      <wp:wrapNone/>
                      <wp:docPr id="372" name="Frame37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773430" cy="175260"/>
                      <wp:effectExtent l="0" t="0" r="0" b="0"/>
                      <wp:wrapNone/>
                      <wp:docPr id="373" name="Frame37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8280" cy="175260"/>
                      <wp:effectExtent l="0" t="0" r="0" b="0"/>
                      <wp:wrapNone/>
                      <wp:docPr id="375" name="Frame37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73430" cy="175260"/>
                      <wp:effectExtent l="0" t="0" r="0" b="0"/>
                      <wp:wrapNone/>
                      <wp:docPr id="376" name="Frame37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8280" cy="175260"/>
                      <wp:effectExtent l="0" t="0" r="0" b="0"/>
                      <wp:wrapNone/>
                      <wp:docPr id="378" name="Frame37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773430" cy="175260"/>
                      <wp:effectExtent l="0" t="0" r="0" b="0"/>
                      <wp:wrapNone/>
                      <wp:docPr id="379" name="Frame37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94310" cy="175260"/>
                      <wp:effectExtent l="0" t="0" r="0" b="0"/>
                      <wp:wrapNone/>
                      <wp:docPr id="381" name="Frame381"/>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815975" cy="175260"/>
                      <wp:effectExtent l="0" t="0" r="0" b="0"/>
                      <wp:wrapNone/>
                      <wp:docPr id="382" name="Frame382"/>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34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Thirty-Nine Weeks Ended</w:t>
            </w:r>
          </w:p>
        </w:tc>
      </w:tr>
      <w:tr>
        <w:trPr/>
        <w:tc>
          <w:tcPr>
            <w:tcW w:w="26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100,721</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101,178</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303,404</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300,638</w:t>
            </w:r>
          </w:p>
        </w:tc>
      </w:tr>
      <w:tr>
        <w:trPr/>
        <w:tc>
          <w:tcPr>
            <w:tcW w:w="2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r>
      <w:tr>
        <w:trPr/>
        <w:tc>
          <w:tcPr>
            <w:tcW w:w="267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121,520</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120,395</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366,531</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 </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358,724</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 </w:t>
            </w:r>
          </w:p>
        </w:tc>
        <w:tc>
          <w:tcPr>
            <w:tcW w:w="12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r>
      <w:tr>
        <w:trPr/>
        <w:tc>
          <w:tcPr>
            <w:tcW w:w="26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26" w:type="dxa"/>
            <w:tcBorders/>
            <w:vAlign w:val="center"/>
          </w:tcPr>
          <w:p>
            <w:pPr>
              <w:pStyle w:val="TableContents"/>
              <w:bidi w:val="0"/>
              <w:spacing w:before="0" w:after="0"/>
              <w:ind w:left="0" w:right="0" w:hanging="0"/>
              <w:jc w:val="left"/>
              <w:rPr/>
            </w:pPr>
            <w:r>
              <w:rPr/>
              <w:t>​</w:t>
            </w:r>
          </w:p>
        </w:tc>
        <w:tc>
          <w:tcPr>
            <w:tcW w:w="306" w:type="dxa"/>
            <w:tcBorders/>
            <w:vAlign w:val="center"/>
          </w:tcPr>
          <w:p>
            <w:pPr>
              <w:pStyle w:val="TableContents"/>
              <w:bidi w:val="0"/>
              <w:spacing w:before="0" w:after="0"/>
              <w:ind w:left="0" w:right="0" w:hanging="0"/>
              <w:jc w:val="left"/>
              <w:rPr/>
            </w:pPr>
            <w:r>
              <w:rPr/>
              <w:t>​</w:t>
            </w:r>
          </w:p>
        </w:tc>
        <w:tc>
          <w:tcPr>
            <w:tcW w:w="12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r>
      <w:tr>
        <w:trPr/>
        <w:tc>
          <w:tcPr>
            <w:tcW w:w="26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franchised restaurants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179,788</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178,794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533,596</w:t>
            </w:r>
          </w:p>
        </w:tc>
        <w:tc>
          <w:tcPr>
            <w:tcW w:w="326" w:type="dxa"/>
            <w:tcBorders/>
            <w:shd w:fill="CCEEFF" w:val="clear"/>
            <w:vAlign w:val="center"/>
          </w:tcPr>
          <w:p>
            <w:pPr>
              <w:pStyle w:val="TableContents"/>
              <w:bidi w:val="0"/>
              <w:spacing w:before="0" w:after="0"/>
              <w:ind w:left="0" w:right="0" w:hanging="0"/>
              <w:jc w:val="left"/>
              <w:rPr/>
            </w:pPr>
            <w:r>
              <w:rPr/>
              <w:t>​</w:t>
            </w:r>
          </w:p>
        </w:tc>
        <w:tc>
          <w:tcPr>
            <w:tcW w:w="3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532,830</w:t>
            </w:r>
          </w:p>
        </w:tc>
      </w:tr>
      <w:tr>
        <w:trPr/>
        <w:tc>
          <w:tcPr>
            <w:tcW w:w="26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System-wide sales</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280,509</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279,972</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837,000</w:t>
            </w:r>
          </w:p>
        </w:tc>
        <w:tc>
          <w:tcPr>
            <w:tcW w:w="326" w:type="dxa"/>
            <w:tcBorders/>
            <w:vAlign w:val="center"/>
          </w:tcPr>
          <w:p>
            <w:pPr>
              <w:pStyle w:val="TableContents"/>
              <w:bidi w:val="0"/>
              <w:spacing w:before="0" w:after="0"/>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833,468</w:t>
            </w:r>
          </w:p>
        </w:tc>
      </w:tr>
    </w:tbl>
    <w:tbl>
      <w:tblPr>
        <w:tblW w:w="6662" w:type="dxa"/>
        <w:jc w:val="left"/>
        <w:tblInd w:w="0" w:type="dxa"/>
        <w:tblLayout w:type="fixed"/>
        <w:tblCellMar>
          <w:top w:w="0" w:type="dxa"/>
          <w:left w:w="0" w:type="dxa"/>
          <w:bottom w:w="0" w:type="dxa"/>
          <w:right w:w="0" w:type="dxa"/>
        </w:tblCellMar>
      </w:tblPr>
      <w:tblGrid>
        <w:gridCol w:w="286"/>
        <w:gridCol w:w="6376"/>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System-wide sales do not include the eight licensed stores in the Philippines.</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Company-Operated Restaurant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Comparable Restaurant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24, 2025 and September 25, 2024, there were 485 and 482 comparable restaurants, 171 and 168 company-operated restaurants, and 314 and 314 franchised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Restaurant Contribution and Restaurant Contribution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pStyle w:val="TextBody"/>
        <w:bidi w:val="0"/>
        <w:spacing w:before="0" w:after="0"/>
        <w:ind w:left="0" w:right="0" w:hanging="0"/>
        <w:jc w:val="left"/>
        <w:rPr>
          <w:rFonts w:ascii="Times New Roman;Times;serif" w:hAnsi="Times New Roman;Times;serif"/>
          <w:sz w:val="20"/>
        </w:rPr>
      </w:pPr>
      <w:bookmarkStart w:id="1343" w:name="_Hlk164850916"/>
      <w:bookmarkEnd w:id="1343"/>
      <w:r>
        <w:rPr>
          <w:rFonts w:ascii="Times New Roman;Times;serif" w:hAnsi="Times New Roman;Times;serif"/>
          <w:sz w:val="20"/>
        </w:rPr>
        <w:t xml:space="preserve">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restaurant contribution and restaurant contribution margin to company-operated restaurant revenue is provided below:</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7"/>
        <w:gridCol w:w="326"/>
        <w:gridCol w:w="328"/>
        <w:gridCol w:w="1218"/>
        <w:gridCol w:w="361"/>
        <w:gridCol w:w="328"/>
        <w:gridCol w:w="1218"/>
        <w:gridCol w:w="361"/>
        <w:gridCol w:w="109"/>
        <w:gridCol w:w="328"/>
        <w:gridCol w:w="1218"/>
        <w:gridCol w:w="361"/>
        <w:gridCol w:w="328"/>
        <w:gridCol w:w="1218"/>
        <w:gridCol w:w="406"/>
      </w:tblGrid>
      <w:tr>
        <w:trPr/>
        <w:tc>
          <w:tcPr>
            <w:tcW w:w="2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1595" cy="175260"/>
                      <wp:effectExtent l="0" t="0" r="0" b="0"/>
                      <wp:wrapNone/>
                      <wp:docPr id="383" name="Frame383"/>
                      <a:graphic xmlns:a="http://schemas.openxmlformats.org/drawingml/2006/main">
                        <a:graphicData uri="http://schemas.microsoft.com/office/word/2010/wordprocessingShape">
                          <wps:wsp>
                            <wps:cNvSpPr txBox="1"/>
                            <wps:spPr>
                              <a:xfrm>
                                <a:off x="0" y="0"/>
                                <a:ext cx="1331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8280" cy="175260"/>
                      <wp:effectExtent l="0" t="0" r="0" b="0"/>
                      <wp:wrapNone/>
                      <wp:docPr id="385" name="Frame38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73430" cy="175260"/>
                      <wp:effectExtent l="0" t="0" r="0" b="0"/>
                      <wp:wrapNone/>
                      <wp:docPr id="386" name="Frame38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29235" cy="175260"/>
                      <wp:effectExtent l="0" t="0" r="0" b="0"/>
                      <wp:wrapNone/>
                      <wp:docPr id="387" name="Frame3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8280" cy="175260"/>
                      <wp:effectExtent l="0" t="0" r="0" b="0"/>
                      <wp:wrapNone/>
                      <wp:docPr id="388" name="Frame38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773430" cy="175260"/>
                      <wp:effectExtent l="0" t="0" r="0" b="0"/>
                      <wp:wrapNone/>
                      <wp:docPr id="389" name="Frame38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29235" cy="175260"/>
                      <wp:effectExtent l="0" t="0" r="0" b="0"/>
                      <wp:wrapNone/>
                      <wp:docPr id="390" name="Frame3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8280" cy="175260"/>
                      <wp:effectExtent l="0" t="0" r="0" b="0"/>
                      <wp:wrapNone/>
                      <wp:docPr id="392" name="Frame392"/>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73430" cy="175260"/>
                      <wp:effectExtent l="0" t="0" r="0" b="0"/>
                      <wp:wrapNone/>
                      <wp:docPr id="393" name="Frame393"/>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29235" cy="175260"/>
                      <wp:effectExtent l="0" t="0" r="0" b="0"/>
                      <wp:wrapNone/>
                      <wp:docPr id="394" name="Frame3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8280" cy="175260"/>
                      <wp:effectExtent l="0" t="0" r="0" b="0"/>
                      <wp:wrapNone/>
                      <wp:docPr id="395" name="Frame39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73430" cy="175260"/>
                      <wp:effectExtent l="0" t="0" r="0" b="0"/>
                      <wp:wrapNone/>
                      <wp:docPr id="396" name="Frame39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57810" cy="175260"/>
                      <wp:effectExtent l="0" t="0" r="0" b="0"/>
                      <wp:wrapNone/>
                      <wp:docPr id="397" name="Frame39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c>
          <w:tcPr>
            <w:tcW w:w="406" w:type="dxa"/>
            <w:tcBorders/>
            <w:vAlign w:val="center"/>
          </w:tcPr>
          <w:p>
            <w:pPr>
              <w:pStyle w:val="TableContents"/>
              <w:bidi w:val="0"/>
              <w:spacing w:before="0" w:after="0"/>
              <w:ind w:left="0" w:right="0" w:hanging="0"/>
              <w:jc w:val="center"/>
              <w:rPr/>
            </w:pPr>
            <w:r>
              <w:rPr/>
              <w:t>​</w:t>
            </w:r>
          </w:p>
        </w:tc>
      </w:tr>
      <w:tr>
        <w:trPr/>
        <w:tc>
          <w:tcPr>
            <w:tcW w:w="20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61"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6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61"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406" w:type="dxa"/>
            <w:tcBorders/>
            <w:vAlign w:val="center"/>
          </w:tcPr>
          <w:p>
            <w:pPr>
              <w:pStyle w:val="TableContents"/>
              <w:bidi w:val="0"/>
              <w:spacing w:before="0" w:after="0"/>
              <w:ind w:left="0" w:right="0" w:hanging="0"/>
              <w:jc w:val="center"/>
              <w:rPr/>
            </w:pPr>
            <w:r>
              <w:rPr/>
              <w:t>    </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11,458</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31,735</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32,134</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12,343</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37,138</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35,130</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11,407</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36,476</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11,789</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11,755</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recovery of insurance proceeds, net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disposition of restaurants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18,464</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16,945</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54,164</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53,086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121,520</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366,531</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358,724</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(12,864)</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(11,330)</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(39,419)</w:t>
            </w:r>
          </w:p>
        </w:tc>
        <w:tc>
          <w:tcPr>
            <w:tcW w:w="361"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(34,329)</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(23,757)</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100,721</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101,178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303,404</w:t>
            </w:r>
          </w:p>
        </w:tc>
        <w:tc>
          <w:tcPr>
            <w:tcW w:w="361"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300,638</w:t>
            </w:r>
          </w:p>
        </w:tc>
        <w:tc>
          <w:tcPr>
            <w:tcW w:w="406"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Restaurant Openings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EBITDA and Adjusted EBITDA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EBITDA and Adjusted EBITDA as presented in this report are supplemental measures of our performance that are neither required by, nor presented in accordance with, GAAP. EBITDA and Adjusted EBITDA are not measurements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reconciliations of our net income to our EBITDA and Adjusted EBITDA:</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72"/>
        <w:gridCol w:w="326"/>
        <w:gridCol w:w="367"/>
        <w:gridCol w:w="1179"/>
        <w:gridCol w:w="326"/>
        <w:gridCol w:w="367"/>
        <w:gridCol w:w="1179"/>
        <w:gridCol w:w="326"/>
        <w:gridCol w:w="367"/>
        <w:gridCol w:w="1179"/>
        <w:gridCol w:w="326"/>
        <w:gridCol w:w="338"/>
        <w:gridCol w:w="1253"/>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696720" cy="175260"/>
                      <wp:effectExtent l="0" t="0" r="0" b="0"/>
                      <wp:wrapNone/>
                      <wp:docPr id="398" name="Frame398"/>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33045" cy="175260"/>
                      <wp:effectExtent l="0" t="0" r="0" b="0"/>
                      <wp:wrapNone/>
                      <wp:docPr id="400" name="Frame40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48665" cy="175260"/>
                      <wp:effectExtent l="0" t="0" r="0" b="0"/>
                      <wp:wrapNone/>
                      <wp:docPr id="401" name="Frame401"/>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33045" cy="175260"/>
                      <wp:effectExtent l="0" t="0" r="0" b="0"/>
                      <wp:wrapNone/>
                      <wp:docPr id="403" name="Frame40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48665" cy="175260"/>
                      <wp:effectExtent l="0" t="0" r="0" b="0"/>
                      <wp:wrapNone/>
                      <wp:docPr id="404" name="Frame404"/>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3045" cy="175260"/>
                      <wp:effectExtent l="0" t="0" r="0" b="0"/>
                      <wp:wrapNone/>
                      <wp:docPr id="406" name="Frame40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748665" cy="175260"/>
                      <wp:effectExtent l="0" t="0" r="0" b="0"/>
                      <wp:wrapNone/>
                      <wp:docPr id="407" name="Frame407"/>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4630" cy="175260"/>
                      <wp:effectExtent l="0" t="0" r="0" b="0"/>
                      <wp:wrapNone/>
                      <wp:docPr id="409" name="Frame409"/>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795655" cy="175260"/>
                      <wp:effectExtent l="0" t="0" r="0" b="0"/>
                      <wp:wrapNone/>
                      <wp:docPr id="410" name="Frame410"/>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1"/>
              <w:ind w:left="0" w:right="0" w:hanging="0"/>
              <w:jc w:val="center"/>
              <w:rPr/>
            </w:pPr>
            <w:r>
              <w:rPr/>
              <w:t>    </w:t>
            </w:r>
          </w:p>
        </w:tc>
        <w:tc>
          <w:tcPr>
            <w:tcW w:w="3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r>
      <w:tr>
        <w:trPr/>
        <w:tc>
          <w:tcPr>
            <w:tcW w:w="26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1"/>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7,358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6,186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19,946</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19,731</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8,284</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 of interest income</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3,505</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4,627</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4,034</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11,789</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11,755</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15,431</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14,171</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43,524</w:t>
            </w:r>
          </w:p>
        </w:tc>
        <w:tc>
          <w:tcPr>
            <w:tcW w:w="326" w:type="dxa"/>
            <w:tcBorders/>
            <w:vAlign w:val="center"/>
          </w:tcPr>
          <w:p>
            <w:pPr>
              <w:pStyle w:val="TableContents"/>
              <w:bidi w:val="0"/>
              <w:spacing w:before="0" w:after="1"/>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43,889</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 (a)</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4,116</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 (b)</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and closed-store reserves (c)</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disposition of restaurants (d)</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 </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settlements (e)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legal and professional fees expense (f)</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Duplicate rent expense for corporate office relocation (g)</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 </w:t>
            </w:r>
          </w:p>
        </w:tc>
        <w:tc>
          <w:tcPr>
            <w:tcW w:w="1253" w:type="dxa"/>
            <w:tcBorders/>
            <w:shd w:fill="CCEEFF" w:val="clear"/>
            <w:vAlign w:val="center"/>
          </w:tcPr>
          <w:p>
            <w:pPr>
              <w:pStyle w:val="TableContents"/>
              <w:bidi w:val="0"/>
              <w:spacing w:before="0" w:after="1"/>
              <w:ind w:left="0" w:right="0" w:hanging="0"/>
              <w:jc w:val="right"/>
              <w:rPr/>
            </w:pPr>
            <w:r>
              <w:rPr/>
              <w:t>—</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ERP software implementation costs (h)</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pPr>
            <w:r>
              <w:rPr/>
              <w:t>—</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recovery of insurance proceeds, net (i)</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pPr>
            <w:r>
              <w:rPr/>
              <w:t>​</w:t>
            </w:r>
          </w:p>
        </w:tc>
        <w:tc>
          <w:tcPr>
            <w:tcW w:w="12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Restructuring and executive transition costs (j)</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before="0" w:after="1"/>
              <w:ind w:left="0" w:right="0" w:hanging="0"/>
              <w:jc w:val="left"/>
              <w:rPr/>
            </w:pPr>
            <w:r>
              <w:rPr/>
              <w:t>​</w:t>
            </w:r>
          </w:p>
        </w:tc>
        <w:tc>
          <w:tcPr>
            <w:tcW w:w="338" w:type="dxa"/>
            <w:tcBorders/>
            <w:vAlign w:val="center"/>
          </w:tcPr>
          <w:p>
            <w:pPr>
              <w:pStyle w:val="TableContents"/>
              <w:bidi w:val="0"/>
              <w:spacing w:before="0" w:after="1"/>
              <w:ind w:left="0" w:right="0" w:hanging="0"/>
              <w:jc w:val="left"/>
              <w:rPr/>
            </w:pPr>
            <w:r>
              <w:rPr/>
              <w:t>​</w:t>
            </w:r>
          </w:p>
        </w:tc>
        <w:tc>
          <w:tcPr>
            <w:tcW w:w="12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w:t>
            </w:r>
          </w:p>
        </w:tc>
      </w:tr>
      <w:tr>
        <w:trPr/>
        <w:tc>
          <w:tcPr>
            <w:tcW w:w="26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costs (k)</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67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17,418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15,452</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49,817</w:t>
            </w:r>
          </w:p>
        </w:tc>
        <w:tc>
          <w:tcPr>
            <w:tcW w:w="32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5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48,369</w:t>
            </w:r>
          </w:p>
        </w:tc>
      </w:tr>
    </w:tbl>
    <w:tbl>
      <w:tblPr>
        <w:tblW w:w="4232" w:type="dxa"/>
        <w:jc w:val="left"/>
        <w:tblInd w:w="0" w:type="dxa"/>
        <w:tblLayout w:type="fixed"/>
        <w:tblCellMar>
          <w:top w:w="0" w:type="dxa"/>
          <w:left w:w="0" w:type="dxa"/>
          <w:bottom w:w="0" w:type="dxa"/>
          <w:right w:w="0" w:type="dxa"/>
        </w:tblCellMar>
      </w:tblPr>
      <w:tblGrid>
        <w:gridCol w:w="331"/>
        <w:gridCol w:w="3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costs related to impairment of property and equipment and ROU assets and closing restaurants. During both the thirteen and thirty-nine weeks ended September 24, 2025 and September 25, 2024, we did not record any non-cash impairment charges. During both the thirteen and thirty-nine weeks ended September 24, 2025 and September 25, 2024, we recognized less than $0.1 million of closed-store reserve expense related to the amortization of ROU assets, property taxes and CAM payments for our closed locations.</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thirty-nine weeks ended September 25, 2024, we completed the sale of one restaurant within California to an existing franchisee due to an expiring lease term on April 30, 2024. This sale resulted in cash proceeds of $0.1 million and a net loss on sale of restaurant of less than $0.1 million for the thirty-nine weeks ended September 25, 2024.</w:t>
            </w:r>
          </w:p>
        </w:tc>
      </w:tr>
    </w:tbl>
    <w:tbl>
      <w:tblPr>
        <w:tblW w:w="6542" w:type="dxa"/>
        <w:jc w:val="left"/>
        <w:tblInd w:w="0" w:type="dxa"/>
        <w:tblLayout w:type="fixed"/>
        <w:tblCellMar>
          <w:top w:w="0" w:type="dxa"/>
          <w:left w:w="0" w:type="dxa"/>
          <w:bottom w:w="0" w:type="dxa"/>
          <w:right w:w="0" w:type="dxa"/>
        </w:tblCellMar>
      </w:tblPr>
      <w:tblGrid>
        <w:gridCol w:w="331"/>
        <w:gridCol w:w="621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$0.6 million received from legal settlement, net of legal expenses.</w:t>
            </w:r>
          </w:p>
        </w:tc>
      </w:tr>
    </w:tbl>
    <w:tbl>
      <w:tblPr>
        <w:tblW w:w="7787" w:type="dxa"/>
        <w:jc w:val="left"/>
        <w:tblInd w:w="0" w:type="dxa"/>
        <w:tblLayout w:type="fixed"/>
        <w:tblCellMar>
          <w:top w:w="0" w:type="dxa"/>
          <w:left w:w="0" w:type="dxa"/>
          <w:bottom w:w="0" w:type="dxa"/>
          <w:right w:w="0" w:type="dxa"/>
        </w:tblCellMar>
      </w:tblPr>
      <w:tblGrid>
        <w:gridCol w:w="301"/>
        <w:gridCol w:w="7486"/>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74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legal and professional costs related to shareholder activism and related matters.</w:t>
            </w:r>
          </w:p>
        </w:tc>
      </w:tr>
    </w:tbl>
    <w:tbl>
      <w:tblPr>
        <w:tblW w:w="6572" w:type="dxa"/>
        <w:jc w:val="left"/>
        <w:tblInd w:w="0" w:type="dxa"/>
        <w:tblLayout w:type="fixed"/>
        <w:tblCellMar>
          <w:top w:w="0" w:type="dxa"/>
          <w:left w:w="0" w:type="dxa"/>
          <w:bottom w:w="0" w:type="dxa"/>
          <w:right w:w="0" w:type="dxa"/>
        </w:tblCellMar>
      </w:tblPr>
      <w:tblGrid>
        <w:gridCol w:w="346"/>
        <w:gridCol w:w="62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6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duplicate rent expense for the corporate headquarter relocation.</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costs incurred in connection with the implementation of new ERP system which are included in general and administrative expenses.</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thirty-nine weeks ended September 25, 2024, the Company recognized gains of less than $0.1 million related to the reimbursement of property and equipment and expenses. The gain on recovery of insurance proceeds and lost profits, net of the related costs, is included in the accompanying condensed consolidated statements of income, for the thirty-nine weeks ended September 25, 2024, as a reduction of company restaurant expenses.</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Consists of costs associated with the transition of certain executive officers, such as severance and stock-based compensations costs and costs associated with restructuring certain positions in the organization during the thirteen and thirty-nine weeks ended September 24, 2025 and September 25, 2024, respectively.</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44" w:name="_e11adff8_2ec0_4f25_8f74_b9527e378075"/>
      <w:bookmarkEnd w:id="1344"/>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Our primary sources of liquidity and capital resources have been cash provided from operations, cash and cash equivalents, and the </w:t>
      </w:r>
      <w:r>
        <w:rPr>
          <w:rFonts w:ascii="Times New Roman;Times;serif" w:hAnsi="Times New Roman;Times;serif"/>
          <w:sz w:val="20"/>
        </w:rPr>
        <w:t>2022 Revolver (as defined below)</w:t>
      </w:r>
      <w:r>
        <w:rPr>
          <w:rFonts w:ascii="Times New Roman;Times;serif" w:hAnsi="Times New Roman;Times;serif"/>
          <w:sz w:val="20"/>
          <w:shd w:fill="FFFFFF" w:val="clear"/>
        </w:rPr>
        <w:t xml:space="preserve">.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and beyond from the issuance of the condensed consolidated financial statements.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summary cash flow information for the periods indicated (in thousands):</w:t>
      </w:r>
    </w:p>
    <w:p>
      <w:pPr>
        <w:pStyle w:val="TextBody"/>
        <w:bidi w:val="0"/>
        <w:spacing w:before="0" w:after="240"/>
        <w:ind w:left="0" w:right="0" w:hanging="0"/>
        <w:jc w:val="left"/>
        <w:rPr/>
      </w:pPr>
      <w:r>
        <w:rPr/>
        <w:t>​</w:t>
      </w:r>
    </w:p>
    <w:tbl>
      <w:tblPr>
        <w:tblW w:w="6385" w:type="dxa"/>
        <w:jc w:val="left"/>
        <w:tblInd w:w="0" w:type="dxa"/>
        <w:tblLayout w:type="fixed"/>
        <w:tblCellMar>
          <w:top w:w="0" w:type="dxa"/>
          <w:left w:w="0" w:type="dxa"/>
          <w:bottom w:w="0" w:type="dxa"/>
          <w:right w:w="0" w:type="dxa"/>
        </w:tblCellMar>
      </w:tblPr>
      <w:tblGrid>
        <w:gridCol w:w="2596"/>
        <w:gridCol w:w="326"/>
        <w:gridCol w:w="344"/>
        <w:gridCol w:w="1202"/>
        <w:gridCol w:w="326"/>
        <w:gridCol w:w="338"/>
        <w:gridCol w:w="1253"/>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648460" cy="175260"/>
                      <wp:effectExtent l="0" t="0" r="0" b="0"/>
                      <wp:wrapNone/>
                      <wp:docPr id="411" name="Frame4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8440" cy="175260"/>
                      <wp:effectExtent l="0" t="0" r="0" b="0"/>
                      <wp:wrapNone/>
                      <wp:docPr id="413" name="Frame41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763270" cy="175260"/>
                      <wp:effectExtent l="0" t="0" r="0" b="0"/>
                      <wp:wrapNone/>
                      <wp:docPr id="414" name="Frame414"/>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4630" cy="175260"/>
                      <wp:effectExtent l="0" t="0" r="0" b="0"/>
                      <wp:wrapNone/>
                      <wp:docPr id="416" name="Frame416"/>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95655" cy="175260"/>
                      <wp:effectExtent l="0" t="0" r="0" b="0"/>
                      <wp:wrapNone/>
                      <wp:docPr id="417" name="Frame417"/>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Thirty-Nine Weeks Ended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24, 2025</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25, 2024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3"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34,166</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41,146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(13,811)</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12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(11,967)</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8,388</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thirty-nine weeks ended September 24, 2025, net cash from operating activities decreased by $7.0 million from the comparable period of the prior year. This change was due</w:t>
      </w:r>
      <w:r>
        <w:rPr>
          <w:rFonts w:ascii="Times New Roman;Times;serif" w:hAnsi="Times New Roman;Times;serif"/>
          <w:sz w:val="20"/>
          <w:shd w:fill="FFFFFF" w:val="clear"/>
        </w:rPr>
        <w:t xml:space="preserve"> to unfavorable working capital fluctuations compared to the same period in the prior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For the thirty-nine weeks ended September 24, 2025, net cash used in investing activities decreased by $0.6 million from the comparable period of the prior year. This change was primarily due to a decrease in purchase of property and equipment mostly related to restaurant remodeling during the thirty-nine weeks ended September 24, 2025 when compared to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thirty-nine weeks ended September 24, 2025, net cash used in financing activities changed by $14.1 million from the comparable period of the prior year. The change was primarily due to repurchases of shares of our common stock of $1.8 million during the thirty-nine weeks ended September 24, 2025 compared to repurchases of shares of our common stock of $19.3 million during the thirty-nine weeks ended September 25, 2024. The change was offset by a $10.0 million in net paydown on the 2022 Revolver during the thirty-nine weeks ended September 24, 2025 compared to a $8.0 million net pay downs during the thirty-nine weeks ended September 25,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and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 a guarantor, are a party to a credit agreement (the “2022 Credit Agreement”) among our wholly-owned subsidiary, El Pollo Loco, Inc. (“EPL”), as borrower, and our direct subsidiary, EPL Intermediate, Inc.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us. The obligations of our company, EPL and Intermediate under the 2022 Credit Agreement and related loan documents are secured by a first priority lien on substantially all of their respective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Under the 2022 Revolver, we are restricted from making certain payments such as cash dividends or share repurchases, except that we may, inter alia, (i) pay up to $1.0 million per year to repurchase or redeem our qualified equity interests held by our past or present officers, directors, or employees (or their estates) upon death, disability, or termination of employment, (ii) pay under the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our compliance, on a pro forma basis, with (x) a lease-adjusted consolidated leverage ratio not to exceed 4.25 times and (y) the financial covenants applicable to the 2022 Revolver.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w:t>
      </w:r>
      <w:r>
        <w:rPr>
          <w:rFonts w:ascii="Times New Roman;Times;serif" w:hAnsi="Times New Roman;Times;serif"/>
          <w:sz w:val="20"/>
          <w:shd w:fill="FFFFFF" w:val="clear"/>
        </w:rPr>
        <w:t>Term SOFR with a term of one-month SOFR</w:t>
      </w:r>
      <w:r>
        <w:rPr>
          <w:rFonts w:ascii="Times New Roman;Times;serif" w:hAnsi="Times New Roman;Times;serif"/>
          <w:sz w:val="20"/>
        </w:rPr>
        <w:t xml:space="preserve"> plus 1.00%. For </w:t>
      </w:r>
      <w:r>
        <w:rPr>
          <w:rFonts w:ascii="Times New Roman;Times;serif" w:hAnsi="Times New Roman;Times;serif"/>
          <w:sz w:val="20"/>
          <w:shd w:fill="FFFFFF" w:val="clear"/>
        </w:rPr>
        <w:t>Term SOFR</w:t>
      </w:r>
      <w:r>
        <w:rPr>
          <w:rFonts w:ascii="Times New Roman;Times;serif" w:hAnsi="Times New Roman;Times;serif"/>
          <w:sz w:val="20"/>
        </w:rPr>
        <w:t xml:space="preserve"> loans, the margin is in the range of 1.25% to 2.25%, and for base rate loans the margin is in a range of 0.25% to 1.25%. Borrowings under the 2022 Revolver may be repaid and reborrowed. The interest rate range under the 2022 Revolver was 5.63% to 5.96% and 5.63% to 7.75% for the thirteen and thirty-nine weeks ended September 24, 2025</w:t>
      </w:r>
      <w:r>
        <w:rPr>
          <w:rFonts w:ascii="Times New Roman;Times;serif" w:hAnsi="Times New Roman;Times;serif"/>
          <w:sz w:val="20"/>
          <w:shd w:fill="FFFFFF" w:val="clear"/>
        </w:rPr>
        <w:t xml:space="preserve">, respectively, </w:t>
      </w:r>
      <w:r>
        <w:rPr>
          <w:rFonts w:ascii="Times New Roman;Times;serif" w:hAnsi="Times New Roman;Times;serif"/>
          <w:sz w:val="20"/>
        </w:rPr>
        <w:t>and 6.52% to 6.95% and 6.52% to 6.96% for the thirteen and thirty-nine weeks ended September 25,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2022 Credit Agreement contains certain financial covenants. We were in compliance with the financial covenants as of September 24, 2025.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September 24, 2025, we had $61.0 million in outstanding borrowings under the 2022 Revolver and two letters of credit in the amount of $10.3 million outstanding, and as a result, we had $78.7 million in borrowing availability.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See Note 5, “Long-term debt” in the “Notes to Condensed Consolidated Financial Statements” for additional information.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Material Cash Requirements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material cash requirements as of September 24, 2025 have not changed materially since those disclosed under “Material Cash Requirements” in Part II, Item 7 of our Annual Report on Form 10-K for the year ended December 25, 2024. Our </w:t>
      </w:r>
      <w:r>
        <w:rPr>
          <w:rFonts w:ascii="Times New Roman;Times;serif" w:hAnsi="Times New Roman;Times;serif"/>
          <w:sz w:val="20"/>
          <w:shd w:fill="FFFFFF" w:val="clear"/>
        </w:rPr>
        <w:t>material cash requirements </w:t>
      </w:r>
      <w:r>
        <w:rPr>
          <w:rFonts w:ascii="Times New Roman;Times;serif" w:hAnsi="Times New Roman;Times;serif"/>
          <w:sz w:val="20"/>
        </w:rPr>
        <w:t xml:space="preserve">relate mostly to future (i) debt payments, including expected interest expense, calculated based on current interest rates, (ii) restaurant operating lease payments, (iii) purchasing commitments for chicken, (iv) restaurant finance lease payments, and (v) </w:t>
      </w:r>
      <w:r>
        <w:rPr>
          <w:rFonts w:ascii="Times New Roman;Times;serif" w:hAnsi="Times New Roman;Times;serif"/>
          <w:sz w:val="20"/>
          <w:shd w:fill="FFFFFF" w:val="clear"/>
        </w:rPr>
        <w:t>capital expenditures</w:t>
      </w:r>
      <w:r>
        <w:rPr>
          <w:rFonts w:ascii="Times New Roman;Times;serif" w:hAnsi="Times New Roman;Times;serif"/>
          <w:sz w:val="20"/>
        </w:rPr>
        <w:t>.</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Share Repurchases</w:t>
      </w:r>
    </w:p>
    <w:p>
      <w:pPr>
        <w:pStyle w:val="TextBody"/>
        <w:pBdr/>
        <w:bidi w:val="0"/>
        <w:spacing w:before="240" w:after="0"/>
        <w:ind w:left="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 2023, we announced that our Board of Directors approved a share repurchase program (“Share Repurchase Program”) under which we were authorized to repurchase up to $20,000,000 of shares of our common stock. Under the Share Repurchase Program, we were permitted to repurchase our common stock from time to time, in amounts and at prices that we deemed appropriate, subject to market conditions and other considerations. Pursuant to the Share Repurchase Program, we were authorized to effect repurchases using open market purchases, including pursuant to Rule 10b5-1 trading plans, and/or through privately negotiated transactions. The Share Repurchase Program did not obligate us to acquire any particular number of shares. The Share Repurchase Program expired on March 31, 2025.</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For the thirty-nine weeks ended September 24, 2025, we repurchased 163,229 of common stock under the Share Repurchase Program, using open market purchases, for total consideration of approximately $1.8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45" w:name="Item3QuantitativeandQualitativeDisclosur"/>
      <w:bookmarkStart w:id="1346" w:name="_baf20f78_da47_419e_8c56_4c29570ac60a"/>
      <w:bookmarkEnd w:id="1345"/>
      <w:bookmarkEnd w:id="1346"/>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27, 2022, we refinanced and entered into the 2022 Credit Agreement, which provides for a $150 million five-year senior secured revolving facility. </w:t>
      </w:r>
      <w:r>
        <w:rPr>
          <w:rFonts w:ascii="Times New Roman;Times;serif" w:hAnsi="Times New Roman;Times;serif"/>
          <w:sz w:val="20"/>
          <w:shd w:fill="FFFFFF" w:val="clear"/>
        </w:rPr>
        <w:t xml:space="preserve">We are exposed to market risk from changes in interest rates on our debt, which bears interest, at </w:t>
      </w:r>
      <w:r>
        <w:rPr>
          <w:rFonts w:ascii="Times New Roman;Times;serif" w:hAnsi="Times New Roman;Times;serif"/>
          <w:sz w:val="20"/>
        </w:rPr>
        <w:t>SOFR</w:t>
      </w:r>
      <w:r>
        <w:rPr>
          <w:rFonts w:ascii="Times New Roman;Times;serif" w:hAnsi="Times New Roman;Times;serif"/>
          <w:sz w:val="20"/>
          <w:shd w:fill="FFFFFF" w:val="clear"/>
        </w:rPr>
        <w:t xml:space="preserve"> plus a margin between 1.25% and 2.25%. As of September 24, 2025, we had outstanding borrowings of $61.0 million under our 2022 Revolver, $10.3 million of letters of credit in support of our insurance programs, and the applicable margin on outstanding borrowings under 2022 Revolver was 1.5%.</w:t>
      </w:r>
      <w:r>
        <w:rPr>
          <w:rFonts w:ascii="Times New Roman;Times;serif" w:hAnsi="Times New Roman;Times;serif"/>
          <w:sz w:val="20"/>
        </w:rPr>
        <w:t xml:space="preserve"> </w:t>
      </w:r>
      <w:r>
        <w:rPr>
          <w:rFonts w:ascii="Times New Roman;Times;serif" w:hAnsi="Times New Roman;Times;serif"/>
          <w:sz w:val="20"/>
          <w:shd w:fill="FFFFFF" w:val="clear"/>
        </w:rPr>
        <w:t>A 1.0% increase in the effective interest rate applied to our 2022 Revolver borrowings would result in a pre-tax interest expense increase of $0.6 million on an annualized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thirteen and thirty-nine weeks ended September 24, 2025, we borrowed $1.0 million and $9.0 million, respectively, and paid down $9.0 million and $19.0 million, respectively, on our 2022 Revolver and the outstanding balance as of September 24, 2025 was $61.0 million.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w:t>
      </w:r>
      <w:r>
        <w:rPr>
          <w:rFonts w:ascii="Times New Roman;Times;serif" w:hAnsi="Times New Roman;Times;serif"/>
          <w:sz w:val="20"/>
          <w:shd w:fill="FFFFFF" w:val="clear"/>
        </w:rPr>
        <w:t>If future rates based upon SOFR are higher than SOFR rates as currently determined, we may experience potential increases in interest rates on our variable rate debt, which could adversely impact our interest expense, results of operations and cash flows.</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Inflation has an impact on food, paper, construction, utility, labor and benefits, and general and administrative costs, as well as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diseases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due to trade tariffs, natural disasters and other world events. Therefore, to the extent that we do not pass along cost increases to our customers, our results of operations may be adversely affected. At this time, we do not use financial instruments to hedge our commodity risk.</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47" w:name="Item4ControlsandProcedures_514743"/>
      <w:bookmarkStart w:id="1348" w:name="_e0e43eee_bc0f_497f_8e72_0fb7f5d23edb"/>
      <w:bookmarkEnd w:id="1347"/>
      <w:bookmarkEnd w:id="134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disclosure controls and procedures are based on assumptions about the likelihood of future events, and even effective disclosure controls and procedures can only provide reasonable assurance of achieving their objectives.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September 24,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changes in our internal control over financial reporting occurred during the quarter ended September 24, 2025 that have materially affected, or are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49" w:name="PARTIIOTHERINFORMATION_750351"/>
      <w:bookmarkStart w:id="1350" w:name="_965b9fd9_2037_4dc1_89ed_ff837ed4256f"/>
      <w:bookmarkEnd w:id="1349"/>
      <w:bookmarkEnd w:id="1350"/>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351" w:name="Item1LegalProceedings_952142"/>
      <w:bookmarkEnd w:id="1351"/>
      <w:r>
        <w:rPr>
          <w:rFonts w:ascii="Times New Roman;Times;serif" w:hAnsi="Times New Roman;Times;serif"/>
          <w:b/>
          <w:sz w:val="20"/>
        </w:rPr>
        <w:t>Item 1.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involved in various claims such as wage and hour and other legal actions that arise in the ordinary course of business, but neither we nor our subsidiaries are party to any material legal proceedings. See Note 8, “Commitments and Contingencies—Legal Matters” in the “Notes to Condensed Consolidated Financial Statements” for additional information.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52" w:name="Item1ARiskFactors_611784"/>
      <w:bookmarkStart w:id="1353" w:name="_6ff19806_153b_4e13_8a8a_c9b7df3fa3a2"/>
      <w:bookmarkEnd w:id="1352"/>
      <w:bookmarkEnd w:id="1353"/>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from the risk factors previously disclosed in our Annual Report on Form 10-K for the year ended December 25, 2024 filed with the SEC on March 7, 2025.</w:t>
      </w:r>
    </w:p>
    <w:p>
      <w:pPr>
        <w:pStyle w:val="TextBody"/>
        <w:bidi w:val="0"/>
        <w:spacing w:before="0" w:after="240"/>
        <w:ind w:left="0" w:right="0" w:hanging="0"/>
        <w:jc w:val="left"/>
        <w:rPr>
          <w:rFonts w:ascii="Times New Roman;Times;serif" w:hAnsi="Times New Roman;Times;serif"/>
          <w:b/>
          <w:sz w:val="20"/>
        </w:rPr>
      </w:pPr>
      <w:bookmarkStart w:id="1354" w:name="Item2UnregisteredSalesofEquitySecurities"/>
      <w:bookmarkStart w:id="1355" w:name="_a07bfae4_51c8_41e4_9ac8_e05f85b683dc"/>
      <w:bookmarkEnd w:id="1354"/>
      <w:bookmarkEnd w:id="1355"/>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inherit" w:hAnsi="inherit"/>
          <w:sz w:val="20"/>
        </w:rPr>
        <w:t>T</w:t>
      </w:r>
      <w:r>
        <w:rPr>
          <w:rFonts w:ascii="Times New Roman;Times;serif" w:hAnsi="Times New Roman;Times;serif"/>
          <w:sz w:val="20"/>
        </w:rPr>
        <w:t>he following table summarizes our repurchases of common stock in the quarterly period ended September 24, 2025 (in thousands, except number of shares and per share amounts):</w:t>
      </w:r>
    </w:p>
    <w:tbl>
      <w:tblPr>
        <w:tblW w:w="10205" w:type="dxa"/>
        <w:jc w:val="left"/>
        <w:tblInd w:w="0" w:type="dxa"/>
        <w:tblLayout w:type="fixed"/>
        <w:tblCellMar>
          <w:top w:w="0" w:type="dxa"/>
          <w:left w:w="0" w:type="dxa"/>
          <w:bottom w:w="0" w:type="dxa"/>
          <w:right w:w="0" w:type="dxa"/>
        </w:tblCellMar>
      </w:tblPr>
      <w:tblGrid>
        <w:gridCol w:w="1403"/>
        <w:gridCol w:w="326"/>
        <w:gridCol w:w="1363"/>
        <w:gridCol w:w="234"/>
        <w:gridCol w:w="326"/>
        <w:gridCol w:w="1153"/>
        <w:gridCol w:w="326"/>
        <w:gridCol w:w="2178"/>
        <w:gridCol w:w="109"/>
        <w:gridCol w:w="326"/>
        <w:gridCol w:w="2461"/>
      </w:tblGrid>
      <w:tr>
        <w:trPr/>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890905" cy="175260"/>
                      <wp:effectExtent l="0" t="0" r="0" b="0"/>
                      <wp:wrapNone/>
                      <wp:docPr id="418" name="Frame418"/>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865505" cy="175260"/>
                      <wp:effectExtent l="0" t="0" r="0" b="0"/>
                      <wp:wrapNone/>
                      <wp:docPr id="420" name="Frame420"/>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8590" cy="175260"/>
                      <wp:effectExtent l="0" t="0" r="0" b="0"/>
                      <wp:wrapNone/>
                      <wp:docPr id="421" name="Frame42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2"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32155" cy="175260"/>
                      <wp:effectExtent l="0" t="0" r="0" b="0"/>
                      <wp:wrapNone/>
                      <wp:docPr id="423" name="Frame423"/>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83030" cy="175260"/>
                      <wp:effectExtent l="0" t="0" r="0" b="0"/>
                      <wp:wrapNone/>
                      <wp:docPr id="425" name="Frame425"/>
                      <a:graphic xmlns:a="http://schemas.openxmlformats.org/drawingml/2006/main">
                        <a:graphicData uri="http://schemas.microsoft.com/office/word/2010/wordprocessingShape">
                          <wps:wsp>
                            <wps:cNvSpPr txBox="1"/>
                            <wps:spPr>
                              <a:xfrm>
                                <a:off x="0" y="0"/>
                                <a:ext cx="1383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562735" cy="175260"/>
                      <wp:effectExtent l="0" t="0" r="0" b="0"/>
                      <wp:wrapNone/>
                      <wp:docPr id="428" name="Frame428"/>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63" w:type="dxa"/>
            <w:tcBorders/>
            <w:vAlign w:val="center"/>
          </w:tcPr>
          <w:p>
            <w:pPr>
              <w:pStyle w:val="TableContents"/>
              <w:bidi w:val="0"/>
              <w:spacing w:before="0" w:after="0"/>
              <w:ind w:left="0" w:right="0" w:hanging="0"/>
              <w:jc w:val="center"/>
              <w:rPr/>
            </w:pPr>
            <w:r>
              <w:rPr/>
              <w:t>​</w:t>
            </w:r>
          </w:p>
        </w:tc>
        <w:tc>
          <w:tcPr>
            <w:tcW w:w="2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3" w:type="dxa"/>
            <w:gridSpan w:val="3"/>
            <w:tcBorders/>
            <w:vAlign w:val="center"/>
          </w:tcPr>
          <w:p>
            <w:pPr>
              <w:pStyle w:val="TableContents"/>
              <w:bidi w:val="0"/>
              <w:spacing w:before="0" w:after="0"/>
              <w:ind w:left="0" w:right="0" w:hanging="0"/>
              <w:jc w:val="center"/>
              <w:rPr/>
            </w:pPr>
            <w:r>
              <w:rPr/>
              <w:t>​</w:t>
            </w:r>
          </w:p>
        </w:tc>
        <w:tc>
          <w:tcPr>
            <w:tcW w:w="2461" w:type="dxa"/>
            <w:tcBorders/>
            <w:vAlign w:val="center"/>
          </w:tcPr>
          <w:p>
            <w:pPr>
              <w:pStyle w:val="TableContents"/>
              <w:bidi w:val="0"/>
              <w:spacing w:before="0" w:after="0"/>
              <w:ind w:left="0" w:right="0" w:hanging="0"/>
              <w:jc w:val="left"/>
              <w:rPr/>
            </w:pPr>
            <w:r>
              <w:rPr/>
              <w:t>​</w:t>
            </w:r>
          </w:p>
        </w:tc>
      </w:tr>
      <w:tr>
        <w:trPr/>
        <w:tc>
          <w:tcPr>
            <w:tcW w:w="14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17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Be Purchased Under the Plans or Programs</w:t>
            </w:r>
          </w:p>
        </w:tc>
      </w:tr>
      <w:tr>
        <w:trPr/>
        <w:tc>
          <w:tcPr>
            <w:tcW w:w="1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26, 2025 to July 23, 2025</w:t>
            </w:r>
          </w:p>
        </w:tc>
        <w:tc>
          <w:tcPr>
            <w:tcW w:w="326" w:type="dxa"/>
            <w:tcBorders/>
            <w:shd w:fill="CCEEFF" w:val="clear"/>
            <w:vAlign w:val="center"/>
          </w:tcPr>
          <w:p>
            <w:pPr>
              <w:pStyle w:val="TableContents"/>
              <w:bidi w:val="0"/>
              <w:spacing w:before="0" w:after="0"/>
              <w:ind w:left="0" w:right="0" w:hanging="0"/>
              <w:jc w:val="left"/>
              <w:rPr/>
            </w:pPr>
            <w:r>
              <w:rPr/>
              <w:t> </w:t>
            </w:r>
          </w:p>
        </w:tc>
        <w:tc>
          <w:tcPr>
            <w:tcW w:w="1363" w:type="dxa"/>
            <w:tcBorders/>
            <w:shd w:fill="CCEEFF" w:val="clear"/>
            <w:vAlign w:val="center"/>
          </w:tcPr>
          <w:p>
            <w:pPr>
              <w:pStyle w:val="TableContents"/>
              <w:bidi w:val="0"/>
              <w:spacing w:before="0" w:after="0"/>
              <w:ind w:left="0" w:right="0" w:hanging="0"/>
              <w:jc w:val="right"/>
              <w:rPr/>
            </w:pPr>
            <w:r>
              <w:rPr/>
              <w:t>—</w:t>
            </w:r>
          </w:p>
        </w:tc>
        <w:tc>
          <w:tcPr>
            <w:tcW w:w="23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7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24, 2025 to August 20, 2025</w:t>
            </w:r>
          </w:p>
        </w:tc>
        <w:tc>
          <w:tcPr>
            <w:tcW w:w="326" w:type="dxa"/>
            <w:tcBorders/>
            <w:vAlign w:val="center"/>
          </w:tcPr>
          <w:p>
            <w:pPr>
              <w:pStyle w:val="TableContents"/>
              <w:bidi w:val="0"/>
              <w:spacing w:before="0" w:after="0"/>
              <w:ind w:left="0" w:right="0" w:hanging="0"/>
              <w:jc w:val="left"/>
              <w:rPr/>
            </w:pPr>
            <w:r>
              <w:rPr/>
              <w:t> </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2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326" w:type="dxa"/>
            <w:tcBorders/>
            <w:vAlign w:val="center"/>
          </w:tcPr>
          <w:p>
            <w:pPr>
              <w:pStyle w:val="TableContents"/>
              <w:bidi w:val="0"/>
              <w:spacing w:before="0" w:after="0"/>
              <w:ind w:left="0" w:right="0" w:hanging="0"/>
              <w:jc w:val="right"/>
              <w:rPr/>
            </w:pPr>
            <w:r>
              <w:rPr/>
              <w:t>​</w:t>
            </w:r>
          </w:p>
        </w:tc>
        <w:tc>
          <w:tcPr>
            <w:tcW w:w="217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21, 2025 to September 24, 2025</w:t>
            </w:r>
          </w:p>
        </w:tc>
        <w:tc>
          <w:tcPr>
            <w:tcW w:w="326" w:type="dxa"/>
            <w:tcBorders/>
            <w:shd w:fill="CCEEFF" w:val="clear"/>
            <w:vAlign w:val="center"/>
          </w:tcPr>
          <w:p>
            <w:pPr>
              <w:pStyle w:val="TableContents"/>
              <w:bidi w:val="0"/>
              <w:spacing w:before="0" w:after="0"/>
              <w:ind w:left="0" w:right="0" w:hanging="0"/>
              <w:jc w:val="left"/>
              <w:rPr/>
            </w:pPr>
            <w:r>
              <w:rPr/>
              <w:t> </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4,784</w:t>
            </w:r>
          </w:p>
        </w:tc>
        <w:tc>
          <w:tcPr>
            <w:tcW w:w="23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right"/>
              <w:rPr/>
            </w:pPr>
            <w:r>
              <w:rPr/>
              <w:t>​</w:t>
            </w:r>
          </w:p>
        </w:tc>
        <w:tc>
          <w:tcPr>
            <w:tcW w:w="21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4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3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w:t>
            </w:r>
          </w:p>
        </w:tc>
        <w:tc>
          <w:tcPr>
            <w:tcW w:w="23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Consists of 5,263 shares acquired by us to satisfy employee tax withholding obligations in connection with the vesting of previously issued restricted stock.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Share Repurchase Program expired on March 31,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shd w:fill="FFFFFF" w:val="clear"/>
        <w:bidi w:val="0"/>
        <w:spacing w:before="0" w:after="0"/>
        <w:ind w:left="36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56" w:name="Item3DefaultsofSeniorSecurities_13390"/>
      <w:bookmarkStart w:id="1357" w:name="_94120b2d_0888_49df_ba82_fba98389e98d"/>
      <w:bookmarkEnd w:id="1356"/>
      <w:bookmarkEnd w:id="1357"/>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58" w:name="Item4MineSafetyDisclosures_432267"/>
      <w:bookmarkStart w:id="1359" w:name="_90185603_ad6e_4f3e_b19f_05babac9bba0"/>
      <w:bookmarkEnd w:id="1358"/>
      <w:bookmarkEnd w:id="1359"/>
      <w:r>
        <w:rPr>
          <w:rFonts w:ascii="Times New Roman;Times;serif" w:hAnsi="Times New Roman;Times;serif"/>
          <w:b/>
          <w:sz w:val="20"/>
        </w:rPr>
        <w:t>Item 4. Mine Safety Disclosures.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60" w:name="Item5OtherInformation_929848"/>
      <w:bookmarkStart w:id="1361" w:name="_ead2997e_5208_4fcf_b4a9_b9b7d0bf1a71"/>
      <w:bookmarkEnd w:id="1360"/>
      <w:bookmarkEnd w:id="1361"/>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Insider Trading Arrangements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thirty-nine weeks ended September 24, 2025, none of the Company’s directors or executive officers adopted or terminated any “Rule 10b5-1 trading arrangement” or “non-Rule 10b5-1 trading arrangement,” as those terms are defined in Regulation S-K, Item 408.</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2" w:name="Item6Exhibits_636888"/>
      <w:bookmarkStart w:id="1363" w:name="_dc7d79c3_0d30_47f4_a674_3ec1e2f9fcf1"/>
      <w:bookmarkEnd w:id="1362"/>
      <w:bookmarkEnd w:id="1363"/>
      <w:r>
        <w:rPr>
          <w:rFonts w:ascii="Times New Roman;Times;serif" w:hAnsi="Times New Roman;Times;serif"/>
          <w:b/>
          <w:sz w:val="20"/>
        </w:rPr>
        <w:t>Item 6. Exhibits.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0"/>
        <w:gridCol w:w="4775"/>
        <w:gridCol w:w="950"/>
        <w:gridCol w:w="526"/>
        <w:gridCol w:w="765"/>
        <w:gridCol w:w="721"/>
        <w:gridCol w:w="699"/>
        <w:gridCol w:w="979"/>
      </w:tblGrid>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w:t>
            </w:r>
          </w:p>
        </w:tc>
        <w:tc>
          <w:tcPr>
            <w:tcW w:w="4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Filed Herewith</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w:t>
            </w:r>
          </w:p>
        </w:tc>
        <w:tc>
          <w:tcPr>
            <w:tcW w:w="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 Ended</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Filing Date</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 File Number</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4775"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Amended and Restated Certificate of Incorporation of El Pollo Loco Holdings, Inc.</w:t>
              </w:r>
            </w:hyperlink>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6/5/2025</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765"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979" w:type="dxa"/>
            <w:tcBorders/>
            <w:vAlign w:val="center"/>
          </w:tcPr>
          <w:p>
            <w:pPr>
              <w:pStyle w:val="TableContents"/>
              <w:bidi w:val="0"/>
              <w:spacing w:before="0" w:after="0"/>
              <w:ind w:left="0" w:right="0" w:hanging="0"/>
              <w:jc w:val="center"/>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4775"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2"/>
                </w:rPr>
                <w:t>Certificate of Designations of Series A Preferred Stock of El Pollo Loco Holdings, Inc., as filed with the Secretary of State of the State of Delaware on August 9, 2023</w:t>
              </w:r>
            </w:hyperlink>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8/9/2023</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765"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979" w:type="dxa"/>
            <w:tcBorders/>
            <w:vAlign w:val="center"/>
          </w:tcPr>
          <w:p>
            <w:pPr>
              <w:pStyle w:val="TableContents"/>
              <w:bidi w:val="0"/>
              <w:spacing w:before="0" w:after="0"/>
              <w:ind w:left="0" w:right="0" w:hanging="0"/>
              <w:jc w:val="center"/>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4775"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2"/>
                </w:rPr>
                <w:t>Amended and Restated By-Laws of El Pollo Loco Holdings, Inc.</w:t>
              </w:r>
            </w:hyperlink>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2/2/2024</w:t>
            </w:r>
          </w:p>
        </w:tc>
        <w:tc>
          <w:tcPr>
            <w:tcW w:w="9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765"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center"/>
              <w:rPr/>
            </w:pPr>
            <w:r>
              <w:rPr/>
              <w:t>​</w:t>
            </w:r>
          </w:p>
        </w:tc>
        <w:tc>
          <w:tcPr>
            <w:tcW w:w="979" w:type="dxa"/>
            <w:tcBorders/>
            <w:vAlign w:val="center"/>
          </w:tcPr>
          <w:p>
            <w:pPr>
              <w:pStyle w:val="TableContents"/>
              <w:bidi w:val="0"/>
              <w:spacing w:before="0" w:after="0"/>
              <w:ind w:left="0" w:right="0" w:hanging="0"/>
              <w:jc w:val="center"/>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4775" w:type="dxa"/>
            <w:tcBorders/>
            <w:vAlign w:val="center"/>
          </w:tcPr>
          <w:p>
            <w:pPr>
              <w:pStyle w:val="TableContents"/>
              <w:bidi w:val="0"/>
              <w:spacing w:before="0" w:after="0"/>
              <w:ind w:left="0" w:right="0" w:hanging="0"/>
              <w:jc w:val="left"/>
              <w:rPr/>
            </w:pPr>
            <w:hyperlink w:anchor="loco-20250924xex31d1.htm">
              <w:r>
                <w:rPr>
                  <w:rStyle w:val="InternetLink"/>
                  <w:rFonts w:ascii="Times New Roman;Times;serif" w:hAnsi="Times New Roman;Times;serif"/>
                  <w:b w:val="false"/>
                  <w:i w:val="false"/>
                  <w:caps w:val="false"/>
                  <w:smallCaps w:val="false"/>
                  <w:sz w:val="22"/>
                </w:rPr>
                <w:t>Certification of Chief Executive Officer under section 302 of the Sarbanes–Oxley Act of 2002</w:t>
              </w:r>
            </w:hyperlink>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4775" w:type="dxa"/>
            <w:tcBorders/>
            <w:vAlign w:val="center"/>
          </w:tcPr>
          <w:p>
            <w:pPr>
              <w:pStyle w:val="TableContents"/>
              <w:bidi w:val="0"/>
              <w:spacing w:before="0" w:after="0"/>
              <w:ind w:left="0" w:right="0" w:hanging="0"/>
              <w:jc w:val="left"/>
              <w:rPr/>
            </w:pPr>
            <w:hyperlink w:anchor="loco-20250924xex31d2.htm">
              <w:r>
                <w:rPr>
                  <w:rStyle w:val="InternetLink"/>
                  <w:rFonts w:ascii="Times New Roman;Times;serif" w:hAnsi="Times New Roman;Times;serif"/>
                  <w:b w:val="false"/>
                  <w:i w:val="false"/>
                  <w:caps w:val="false"/>
                  <w:smallCaps w:val="false"/>
                  <w:sz w:val="22"/>
                </w:rPr>
                <w:t>Certification of Chief Financial Officer under section 302 of the Sarbanes–Oxley Act of 2002</w:t>
              </w:r>
            </w:hyperlink>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4775" w:type="dxa"/>
            <w:tcBorders/>
            <w:vAlign w:val="center"/>
          </w:tcPr>
          <w:p>
            <w:pPr>
              <w:pStyle w:val="TableContents"/>
              <w:bidi w:val="0"/>
              <w:spacing w:before="0" w:after="0"/>
              <w:ind w:left="0" w:right="0" w:hanging="0"/>
              <w:jc w:val="left"/>
              <w:rPr/>
            </w:pPr>
            <w:hyperlink w:anchor="loco-20250924xex32d1.htm">
              <w:r>
                <w:rPr>
                  <w:rStyle w:val="InternetLink"/>
                  <w:rFonts w:ascii="Times New Roman;Times;serif" w:hAnsi="Times New Roman;Times;serif"/>
                  <w:b w:val="false"/>
                  <w:i w:val="false"/>
                  <w:caps w:val="false"/>
                  <w:smallCaps w:val="false"/>
                  <w:sz w:val="22"/>
                </w:rPr>
                <w:t>Certification of Chief Executive Officer and Chief Financial Officer under 18 U.S.C. section 1350, adopted by section 906 of the Sarbanes–Oxley Act of 2002</w:t>
              </w:r>
            </w:hyperlink>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0"/>
              </w:rPr>
              <w:t xml:space="preserve">Inline XBRL Instance Document - </w:t>
            </w:r>
            <w:r>
              <w:rPr>
                <w:rFonts w:ascii="Times New Roman;Times;serif" w:hAnsi="Times New Roman;Times;serif"/>
                <w:sz w:val="20"/>
                <w:shd w:fill="FFFFFF" w:val="clear"/>
              </w:rPr>
              <w:t>the instance document does not appear in the Interactive Data File because its XBRL tags are embedded within the Inline XBRL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pPr>
            <w:r>
              <w:rPr/>
              <w:t>​</w:t>
            </w:r>
          </w:p>
        </w:tc>
        <w:tc>
          <w:tcPr>
            <w:tcW w:w="4775"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477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Cover Page Interactive Data File - the cover page interactive data file does not </w:t>
            </w:r>
          </w:p>
        </w:tc>
        <w:tc>
          <w:tcPr>
            <w:tcW w:w="95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526"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569" w:type="dxa"/>
        <w:jc w:val="left"/>
        <w:tblInd w:w="0" w:type="dxa"/>
        <w:tblLayout w:type="fixed"/>
        <w:tblCellMar>
          <w:top w:w="0" w:type="dxa"/>
          <w:left w:w="0" w:type="dxa"/>
          <w:bottom w:w="0" w:type="dxa"/>
          <w:right w:w="0" w:type="dxa"/>
        </w:tblCellMar>
      </w:tblPr>
      <w:tblGrid>
        <w:gridCol w:w="124"/>
        <w:gridCol w:w="8746"/>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8746"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appear in the Interactive Data File because its XBRL tags are embedded within the Inline XBRL Document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4" w:name="SIGNATURES_726842"/>
      <w:bookmarkStart w:id="1365" w:name="_ad4db3df_4d73_4ad7_9a02_b1b8ce0453e0"/>
      <w:bookmarkEnd w:id="1364"/>
      <w:bookmarkEnd w:id="1365"/>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center"/>
        <w:rPr/>
      </w:pPr>
      <w:r>
        <w:rPr/>
        <w:t>​</w:t>
      </w:r>
    </w:p>
    <w:tbl>
      <w:tblPr>
        <w:tblW w:w="6028" w:type="dxa"/>
        <w:jc w:val="left"/>
        <w:tblInd w:w="0" w:type="dxa"/>
        <w:tblLayout w:type="fixed"/>
        <w:tblCellMar>
          <w:top w:w="0" w:type="dxa"/>
          <w:left w:w="0" w:type="dxa"/>
          <w:bottom w:w="0" w:type="dxa"/>
          <w:right w:w="0" w:type="dxa"/>
        </w:tblCellMar>
      </w:tblPr>
      <w:tblGrid>
        <w:gridCol w:w="2011"/>
        <w:gridCol w:w="266"/>
        <w:gridCol w:w="3751"/>
      </w:tblGrid>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   </w:t>
            </w:r>
          </w:p>
        </w:tc>
        <w:tc>
          <w:tcPr>
            <w:tcW w:w="375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El Pollo Loco Holdings, Inc.</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vAlign w:val="center"/>
          </w:tcPr>
          <w:p>
            <w:pPr>
              <w:pStyle w:val="TableContents"/>
              <w:bidi w:val="0"/>
              <w:spacing w:before="0" w:after="40"/>
              <w:ind w:left="0" w:right="0" w:hanging="0"/>
              <w:jc w:val="left"/>
              <w:rPr/>
            </w:pPr>
            <w:r>
              <w:rPr/>
              <w:t>​</w:t>
            </w:r>
          </w:p>
        </w:tc>
      </w:tr>
      <w:tr>
        <w:trPr/>
        <w:tc>
          <w:tcPr>
            <w:tcW w:w="201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October 31, 2025</w:t>
            </w:r>
          </w:p>
        </w:tc>
        <w:tc>
          <w:tcPr>
            <w:tcW w:w="266" w:type="dxa"/>
            <w:tcBorders/>
            <w:vAlign w:val="center"/>
          </w:tcPr>
          <w:p>
            <w:pPr>
              <w:pStyle w:val="TableContents"/>
              <w:bidi w:val="0"/>
              <w:spacing w:before="0" w:after="40"/>
              <w:ind w:left="0" w:right="0" w:hanging="0"/>
              <w:jc w:val="left"/>
              <w:rPr/>
            </w:pPr>
            <w:r>
              <w:rPr/>
              <w:t>​</w:t>
            </w:r>
          </w:p>
        </w:tc>
        <w:tc>
          <w:tcPr>
            <w:tcW w:w="375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Elizabeth Williams</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(duly authorized officer)</w:t>
            </w:r>
          </w:p>
          <w:p>
            <w:pPr>
              <w:pStyle w:val="TableContents"/>
              <w:bidi w:val="0"/>
              <w:spacing w:before="0" w:after="40"/>
              <w:ind w:left="0" w:right="0" w:hanging="0"/>
              <w:jc w:val="left"/>
              <w:rPr/>
            </w:pPr>
            <w:r>
              <w:rPr/>
              <w:t>​</w:t>
            </w:r>
          </w:p>
        </w:tc>
      </w:tr>
      <w:tr>
        <w:trPr/>
        <w:tc>
          <w:tcPr>
            <w:tcW w:w="201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Date: October 31, 2025</w:t>
            </w:r>
          </w:p>
        </w:tc>
        <w:tc>
          <w:tcPr>
            <w:tcW w:w="266" w:type="dxa"/>
            <w:tcBorders/>
            <w:vAlign w:val="center"/>
          </w:tcPr>
          <w:p>
            <w:pPr>
              <w:pStyle w:val="TableContents"/>
              <w:bidi w:val="0"/>
              <w:spacing w:before="0" w:after="40"/>
              <w:ind w:left="0" w:right="0" w:hanging="0"/>
              <w:jc w:val="left"/>
              <w:rPr/>
            </w:pPr>
            <w:r>
              <w:rPr/>
              <w:t>​</w:t>
            </w:r>
          </w:p>
        </w:tc>
        <w:tc>
          <w:tcPr>
            <w:tcW w:w="3751" w:type="dxa"/>
            <w:tcBorders>
              <w:bottom w:val="single" w:sz="8" w:space="0" w:color="000000"/>
            </w:tcBorders>
            <w:tcMar>
              <w:bottom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top w:val="single" w:sz="8" w:space="0" w:color="000000"/>
            </w:tcBorders>
            <w:tcMar>
              <w:top w:w="28" w:type="dxa"/>
            </w:tcMar>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Ira Fils</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11" w:type="dxa"/>
            <w:tcBorders/>
            <w:vAlign w:val="center"/>
          </w:tcPr>
          <w:p>
            <w:pPr>
              <w:pStyle w:val="TableContents"/>
              <w:bidi w:val="0"/>
              <w:spacing w:before="0" w:after="40"/>
              <w:ind w:left="0" w:right="0" w:hanging="0"/>
              <w:jc w:val="left"/>
              <w:rPr/>
            </w:pPr>
            <w:r>
              <w:rPr/>
              <w:t>​</w:t>
            </w:r>
          </w:p>
        </w:tc>
        <w:tc>
          <w:tcPr>
            <w:tcW w:w="266" w:type="dxa"/>
            <w:tcBorders/>
            <w:vAlign w:val="center"/>
          </w:tcPr>
          <w:p>
            <w:pPr>
              <w:pStyle w:val="TableContents"/>
              <w:bidi w:val="0"/>
              <w:spacing w:before="0" w:after="40"/>
              <w:ind w:left="0" w:right="0" w:hanging="0"/>
              <w:jc w:val="left"/>
              <w:rPr/>
            </w:pPr>
            <w:r>
              <w:rPr/>
              <w:t>​</w:t>
            </w:r>
          </w:p>
        </w:tc>
        <w:tc>
          <w:tcPr>
            <w:tcW w:w="3751" w:type="dxa"/>
            <w:tcBorders/>
            <w:vAlign w:val="center"/>
          </w:tcPr>
          <w:p>
            <w:pPr>
              <w:pStyle w:val="TableContents"/>
              <w:bidi w:val="0"/>
              <w:spacing w:before="0" w:after="4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343" w:before="0" w:after="0"/>
        <w:ind w:left="0" w:right="0" w:hanging="0"/>
        <w:jc w:val="left"/>
        <w:rPr/>
      </w:pPr>
      <w:bookmarkStart w:id="1366" w:name="loco-20250924xex31d1.htm"/>
      <w:bookmarkStart w:id="1367" w:name="ksloco20250924xex31d1"/>
      <w:bookmarkEnd w:id="1366"/>
      <w:bookmarkEnd w:id="1367"/>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1368" w:name="New_Section_1"/>
      <w:bookmarkEnd w:id="1368"/>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Elizabeth Williams,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October 31, 2025</w:t>
      </w:r>
    </w:p>
    <w:p>
      <w:pPr>
        <w:pStyle w:val="TextBody"/>
        <w:bidi w:val="0"/>
        <w:spacing w:before="0" w:after="0"/>
        <w:ind w:left="0" w:right="0" w:hanging="0"/>
        <w:jc w:val="left"/>
        <w:rPr/>
      </w:pPr>
      <w:r>
        <w:rPr/>
        <w:t>​</w:t>
      </w:r>
    </w:p>
    <w:tbl>
      <w:tblPr>
        <w:tblW w:w="2491" w:type="dxa"/>
        <w:jc w:val="center"/>
        <w:tblInd w:w="0" w:type="dxa"/>
        <w:tblLayout w:type="fixed"/>
        <w:tblCellMar>
          <w:top w:w="0" w:type="dxa"/>
          <w:left w:w="0" w:type="dxa"/>
          <w:bottom w:w="28" w:type="dxa"/>
          <w:right w:w="0" w:type="dxa"/>
        </w:tblCellMar>
      </w:tblPr>
      <w:tblGrid>
        <w:gridCol w:w="2491"/>
      </w:tblGrid>
      <w:tr>
        <w:trPr/>
        <w:tc>
          <w:tcPr>
            <w:tcW w:w="2491"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581785" cy="172085"/>
                      <wp:effectExtent l="0" t="0" r="0" b="0"/>
                      <wp:wrapNone/>
                      <wp:docPr id="429" name="Frame429"/>
                      <a:graphic xmlns:a="http://schemas.openxmlformats.org/drawingml/2006/main">
                        <a:graphicData uri="http://schemas.microsoft.com/office/word/2010/wordprocessingShape">
                          <wps:wsp>
                            <wps:cNvSpPr txBox="1"/>
                            <wps:spPr>
                              <a:xfrm>
                                <a:off x="0" y="0"/>
                                <a:ext cx="1581785" cy="172085"/>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v:textbox>
                      <w10:wrap type="none"/>
                    </v:rect>
                  </w:pict>
                </mc:Fallback>
              </mc:AlternateContent>
            </w:r>
          </w:p>
        </w:tc>
      </w:tr>
      <w:tr>
        <w:trPr/>
        <w:tc>
          <w:tcPr>
            <w:tcW w:w="2491" w:type="dxa"/>
            <w:tcBorders>
              <w:top w:val="single" w:sz="8" w:space="0" w:color="000000"/>
            </w:tcBorders>
            <w:tcMar>
              <w:top w:w="28" w:type="dxa"/>
              <w:bottom w:w="0" w:type="dxa"/>
            </w:tcMar>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369" w:name="loco-20250924xex31d2.htm"/>
      <w:bookmarkStart w:id="1370" w:name="ksloco20250924xex31d2"/>
      <w:bookmarkEnd w:id="1369"/>
      <w:bookmarkEnd w:id="1370"/>
      <w:r>
        <w:rPr/>
        <w:t>​</w:t>
      </w:r>
      <w:r>
        <w:br w:type="page"/>
      </w:r>
    </w:p>
    <w:p>
      <w:pPr>
        <w:pStyle w:val="TextBody"/>
        <w:bidi w:val="0"/>
        <w:spacing w:lineRule="auto" w:line="343" w:before="0" w:after="0"/>
        <w:ind w:left="0" w:right="0" w:hanging="0"/>
        <w:jc w:val="right"/>
        <w:rPr>
          <w:rFonts w:ascii="Times New Roman;Times;serif" w:hAnsi="Times New Roman;Times;serif"/>
          <w:sz w:val="20"/>
        </w:rPr>
      </w:pPr>
      <w:r>
        <w:rPr>
          <w:rFonts w:ascii="Times New Roman;Times;serif" w:hAnsi="Times New Roman;Times;serif"/>
          <w:b/>
          <w:sz w:val="20"/>
        </w:rPr>
        <w:t>Exhibit 31.</w:t>
      </w:r>
      <w:bookmarkStart w:id="1371" w:name="New_Section_11"/>
      <w:bookmarkEnd w:id="1371"/>
      <w:r>
        <w:rPr>
          <w:rFonts w:ascii="Times New Roman;Times;serif" w:hAnsi="Times New Roman;Times;serif"/>
          <w:b/>
          <w:sz w:val="20"/>
        </w:rPr>
        <w:t>2</w:t>
      </w:r>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CERTIFICATIONS</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I, Ira Fils, certify that: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El Pollo Loco Holdings, Inc.;</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Date: October 31, 2025</w:t>
      </w:r>
    </w:p>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8"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07315" cy="848995"/>
                      <wp:effectExtent l="0" t="0" r="0" b="0"/>
                      <wp:wrapNone/>
                      <wp:docPr id="430" name="Frame430"/>
                      <a:graphic xmlns:a="http://schemas.openxmlformats.org/drawingml/2006/main">
                        <a:graphicData uri="http://schemas.microsoft.com/office/word/2010/wordprocessingShape">
                          <wps:wsp>
                            <wps:cNvSpPr txBox="1"/>
                            <wps:spPr>
                              <a:xfrm>
                                <a:off x="0" y="0"/>
                                <a:ext cx="107315" cy="84899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6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bottom w:w="0"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07315" cy="591820"/>
                      <wp:effectExtent l="0" t="0" r="0" b="0"/>
                      <wp:wrapNone/>
                      <wp:docPr id="431" name="Frame431"/>
                      <a:graphic xmlns:a="http://schemas.openxmlformats.org/drawingml/2006/main">
                        <a:graphicData uri="http://schemas.microsoft.com/office/word/2010/wordprocessingShape">
                          <wps:wsp>
                            <wps:cNvSpPr txBox="1"/>
                            <wps:spPr>
                              <a:xfrm>
                                <a:off x="0" y="0"/>
                                <a:ext cx="107315" cy="59182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1372" w:name="loco-20250924xex32d1.htm"/>
      <w:bookmarkStart w:id="1373" w:name="ksloco20250924xex32d1"/>
      <w:bookmarkEnd w:id="1372"/>
      <w:bookmarkEnd w:id="1373"/>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1374" w:name="New_Section_12"/>
      <w:bookmarkEnd w:id="1374"/>
    </w:p>
    <w:p>
      <w:pPr>
        <w:pStyle w:val="TextBody"/>
        <w:bidi w:val="0"/>
        <w:spacing w:lineRule="auto" w:line="343" w:before="240" w:after="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pStyle w:val="TextBody"/>
        <w:bidi w:val="0"/>
        <w:spacing w:lineRule="auto" w:line="343" w:before="240" w:after="0"/>
        <w:ind w:left="0" w:right="0" w:hanging="0"/>
        <w:jc w:val="left"/>
        <w:rPr>
          <w:rFonts w:ascii="Times New Roman;Times;serif" w:hAnsi="Times New Roman;Times;serif"/>
          <w:sz w:val="20"/>
        </w:rPr>
      </w:pPr>
      <w:r>
        <w:rPr>
          <w:rFonts w:ascii="Times New Roman;Times;serif" w:hAnsi="Times New Roman;Times;serif"/>
          <w:sz w:val="20"/>
        </w:rPr>
        <w:t>Date: October 31, 2025</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07315" cy="175260"/>
                      <wp:effectExtent l="0" t="0" r="0" b="0"/>
                      <wp:wrapNone/>
                      <wp:docPr id="432" name="Frame432"/>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07315" cy="401320"/>
                      <wp:effectExtent l="0" t="0" r="0" b="0"/>
                      <wp:wrapNone/>
                      <wp:docPr id="433" name="Frame433"/>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07315" cy="2078990"/>
                      <wp:effectExtent l="0" t="0" r="0" b="0"/>
                      <wp:wrapNone/>
                      <wp:docPr id="434" name="Frame434"/>
                      <a:graphic xmlns:a="http://schemas.openxmlformats.org/drawingml/2006/main">
                        <a:graphicData uri="http://schemas.microsoft.com/office/word/2010/wordprocessingShape">
                          <wps:wsp>
                            <wps:cNvSpPr txBox="1"/>
                            <wps:spPr>
                              <a:xfrm>
                                <a:off x="0" y="0"/>
                                <a:ext cx="107315" cy="207899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63.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Elizabeth Williams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07315" cy="3839210"/>
                      <wp:effectExtent l="0" t="0" r="0" b="0"/>
                      <wp:wrapNone/>
                      <wp:docPr id="435" name="Frame435"/>
                      <a:graphic xmlns:a="http://schemas.openxmlformats.org/drawingml/2006/main">
                        <a:graphicData uri="http://schemas.microsoft.com/office/word/2010/wordprocessingShape">
                          <wps:wsp>
                            <wps:cNvSpPr txBox="1"/>
                            <wps:spPr>
                              <a:xfrm>
                                <a:off x="0" y="0"/>
                                <a:ext cx="107315" cy="383921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0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Elizabeth Williams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Executive Officer</w:t>
                            </w:r>
                          </w:p>
                        </w:txbxContent>
                      </v:textbox>
                      <w10:wrap type="none"/>
                    </v:rect>
                  </w:pict>
                </mc:Fallback>
              </mc:AlternateContent>
            </w:r>
          </w:p>
        </w:tc>
      </w:tr>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07315" cy="401320"/>
                      <wp:effectExtent l="0" t="0" r="0" b="0"/>
                      <wp:wrapNone/>
                      <wp:docPr id="436" name="Frame436"/>
                      <a:graphic xmlns:a="http://schemas.openxmlformats.org/drawingml/2006/main">
                        <a:graphicData uri="http://schemas.microsoft.com/office/word/2010/wordprocessingShape">
                          <wps:wsp>
                            <wps:cNvSpPr txBox="1"/>
                            <wps:spPr>
                              <a:xfrm>
                                <a:off x="0" y="0"/>
                                <a:ext cx="107315" cy="401320"/>
                              </a:xfrm>
                              <a:prstGeom prst="rect"/>
                              <a:solidFill>
                                <a:srgbClr val="FFFFFF"/>
                              </a:solidFill>
                            </wps:spPr>
                            <wps:txb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31.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6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07315" cy="905510"/>
                      <wp:effectExtent l="0" t="0" r="0" b="0"/>
                      <wp:wrapNone/>
                      <wp:docPr id="437" name="Frame437"/>
                      <a:graphic xmlns:a="http://schemas.openxmlformats.org/drawingml/2006/main">
                        <a:graphicData uri="http://schemas.microsoft.com/office/word/2010/wordprocessingShape">
                          <wps:wsp>
                            <wps:cNvSpPr txBox="1"/>
                            <wps:spPr>
                              <a:xfrm>
                                <a:off x="0" y="0"/>
                                <a:ext cx="107315" cy="905510"/>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7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/s/ Ira Fils</w:t>
                            </w:r>
                          </w:p>
                        </w:txbxContent>
                      </v:textbox>
                      <w10:wrap type="none"/>
                    </v:rect>
                  </w:pict>
                </mc:Fallback>
              </mc:AlternateContent>
            </w:r>
          </w:p>
        </w:tc>
      </w:tr>
      <w:tr>
        <w:trPr/>
        <w:tc>
          <w:tcPr>
            <w:tcW w:w="16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07315" cy="2519045"/>
                      <wp:effectExtent l="0" t="0" r="0" b="0"/>
                      <wp:wrapNone/>
                      <wp:docPr id="438" name="Frame438"/>
                      <a:graphic xmlns:a="http://schemas.openxmlformats.org/drawingml/2006/main">
                        <a:graphicData uri="http://schemas.microsoft.com/office/word/2010/wordprocessingShape">
                          <wps:wsp>
                            <wps:cNvSpPr txBox="1"/>
                            <wps:spPr>
                              <a:xfrm>
                                <a:off x="0" y="0"/>
                                <a:ext cx="107315" cy="2519045"/>
                              </a:xfrm>
                              <a:prstGeom prst="rect"/>
                              <a:solidFill>
                                <a:srgbClr val="FFFFFF"/>
                              </a:solidFill>
                            </wps:spPr>
                            <wps:txb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98.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Ira Fils</w:t>
                            </w:r>
                          </w:p>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Chief Financial Officer</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charset w:val="01"/>
    <w:family w:val="auto"/>
    <w:pitch w:val="default"/>
  </w:font>
  <w:font w:name="inher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6366/000121390025051311/ea024478001ex3-1_elpollo.htm" TargetMode="External"/><Relationship Id="rId3" Type="http://schemas.openxmlformats.org/officeDocument/2006/relationships/hyperlink" Target="https://www.sec.gov/Archives/edgar/data/1606366/000138713123009442/ex3-1.htm" TargetMode="External"/><Relationship Id="rId4" Type="http://schemas.openxmlformats.org/officeDocument/2006/relationships/hyperlink" Target="https://www.sec.gov/Archives/edgar/data/1606366/000160636624000002/loco-20240130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24316</Words>
  <Characters>136264</Characters>
  <CharactersWithSpaces>162501</CharactersWithSpaces>
  <Paragraphs>7149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