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oco-20230927x10q.htm"/>
        <w:bookmarkStart w:id="1" w:name="ksloco20230927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6"/>
        </w:rPr>
      </w:pPr>
      <w:bookmarkStart w:id="2" w:name="_4900eb44_2e8e_4e7a_822d_da5581b9dba4"/>
      <w:bookmarkEnd w:id="2"/>
      <w:r>
        <w:rPr>
          <w:rFonts w:ascii="Times New Roman;Times;serif" w:hAnsi="Times New Roman;Times;serif"/>
          <w:b/>
          <w:sz w:val="26"/>
        </w:rPr>
        <w:t>UNITED STATES</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FORM 10-Q</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8OHIt0MkRE-DadouvyTIKw_1_1"/>
      <w:bookmarkStart w:id="4" w:name="_ef14052a_5c29_4ef4_8825_0f6a0c08e1c6"/>
      <w:bookmarkStart w:id="5" w:name="Tc_8OHIt0MkRE-DadouvyTIKw_1_1"/>
      <w:bookmarkStart w:id="6" w:name="_ef14052a_5c29_4ef4_8825_0f6a0c08e1c6"/>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September 27, 2023</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7" w:name="Tc_9jQr9zisSkCUAgYhrrkdoA_1_1"/>
      <w:bookmarkStart w:id="8" w:name="_a400526e_2f46_49c8_9539_be94fc5aba59"/>
      <w:bookmarkStart w:id="9" w:name="Tc_9jQr9zisSkCUAgYhrrkdoA_1_1"/>
      <w:bookmarkStart w:id="10" w:name="_a400526e_2f46_49c8_9539_be94fc5aba59"/>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 xml:space="preserve">to </w:t>
      </w:r>
      <w:r>
        <w:rPr>
          <w:rFonts w:ascii="Times New Roman;Times;serif" w:hAnsi="Times New Roman;Times;serif"/>
          <w:sz w:val="18"/>
        </w:rPr>
        <w:t>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001-36556</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EL POLLO LOCO HOLDINGS, INC.</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Normal"/>
        <w:bidi w:val="0"/>
        <w:spacing w:before="0" w:after="0"/>
        <w:jc w:val="left"/>
        <w:rPr>
          <w:sz w:val="4"/>
          <w:szCs w:val="4"/>
        </w:rPr>
      </w:pPr>
      <w:r>
        <w:rPr>
          <w:sz w:val="4"/>
          <w:szCs w:val="4"/>
        </w:rPr>
      </w:r>
      <w:bookmarkStart w:id="11" w:name="Tc_G_VW5VAVcUO0AgDke2z1ug_2_2"/>
      <w:bookmarkStart w:id="12" w:name="Tc_or_9IbiL6kqrUSG4_A2K3Q_2_0"/>
      <w:bookmarkStart w:id="13" w:name="_84d322b7_2ffc_414d_8ff1_aa534fb0db0b"/>
      <w:bookmarkStart w:id="14" w:name="Tc_G_VW5VAVcUO0AgDke2z1ug_2_2"/>
      <w:bookmarkStart w:id="15" w:name="Tc_or_9IbiL6kqrUSG4_A2K3Q_2_0"/>
      <w:bookmarkStart w:id="16" w:name="_84d322b7_2ffc_414d_8ff1_aa534fb0db0b"/>
      <w:bookmarkEnd w:id="14"/>
      <w:bookmarkEnd w:id="15"/>
      <w:bookmarkEnd w:id="16"/>
    </w:p>
    <w:tbl>
      <w:tblPr>
        <w:tblW w:w="6111" w:type="dxa"/>
        <w:jc w:val="left"/>
        <w:tblInd w:w="0" w:type="dxa"/>
        <w:tblLayout w:type="fixed"/>
        <w:tblCellMar>
          <w:top w:w="0" w:type="dxa"/>
          <w:left w:w="0" w:type="dxa"/>
          <w:bottom w:w="0" w:type="dxa"/>
          <w:right w:w="0" w:type="dxa"/>
        </w:tblCellMar>
      </w:tblPr>
      <w:tblGrid>
        <w:gridCol w:w="3751"/>
        <w:gridCol w:w="109"/>
        <w:gridCol w:w="2251"/>
      </w:tblGrid>
      <w:tr>
        <w:trPr/>
        <w:tc>
          <w:tcPr>
            <w:tcW w:w="37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51" w:type="dxa"/>
            <w:tcBorders/>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09" w:type="dxa"/>
            <w:tcBorders/>
            <w:vAlign w:val="center"/>
          </w:tcPr>
          <w:p>
            <w:pPr>
              <w:pStyle w:val="TableContents"/>
              <w:bidi w:val="0"/>
              <w:spacing w:before="0" w:after="240"/>
              <w:ind w:left="0" w:right="0" w:hanging="0"/>
              <w:jc w:val="left"/>
              <w:rPr/>
            </w:pPr>
            <w:r>
              <w:rPr/>
              <w:t>​</w:t>
            </w:r>
          </w:p>
        </w:tc>
        <w:tc>
          <w:tcPr>
            <w:tcW w:w="22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20-3563182</w:t>
            </w:r>
          </w:p>
        </w:tc>
      </w:tr>
      <w:tr>
        <w:trPr/>
        <w:tc>
          <w:tcPr>
            <w:tcW w:w="3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 incorporation or organization)</w:t>
            </w:r>
          </w:p>
        </w:tc>
        <w:tc>
          <w:tcPr>
            <w:tcW w:w="109" w:type="dxa"/>
            <w:tcBorders/>
            <w:vAlign w:val="center"/>
          </w:tcPr>
          <w:p>
            <w:pPr>
              <w:pStyle w:val="TableContents"/>
              <w:bidi w:val="0"/>
              <w:spacing w:before="0" w:after="240"/>
              <w:ind w:left="0" w:right="0" w:hanging="0"/>
              <w:jc w:val="left"/>
              <w:rPr/>
            </w:pPr>
            <w:r>
              <w:rPr/>
              <w:t>​</w:t>
            </w:r>
          </w:p>
        </w:tc>
        <w:tc>
          <w:tcPr>
            <w:tcW w:w="22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 Identification No.)</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cfgYPdwtYUi35L-aJUYkPg_2_2"/>
      <w:bookmarkStart w:id="18" w:name="Tc_RmQdmuoIl02MXMQZ-KJ2cQ_2_0"/>
      <w:bookmarkStart w:id="19" w:name="Tc_qzv1yZ_vbEqs41EujJHwgw_1_0"/>
      <w:bookmarkStart w:id="20" w:name="_0663e90b_dd0e_41b9_933b_f1d3da5820c0"/>
      <w:bookmarkStart w:id="21" w:name="Tc_cfgYPdwtYUi35L-aJUYkPg_2_2"/>
      <w:bookmarkStart w:id="22" w:name="Tc_RmQdmuoIl02MXMQZ-KJ2cQ_2_0"/>
      <w:bookmarkStart w:id="23" w:name="Tc_qzv1yZ_vbEqs41EujJHwgw_1_0"/>
      <w:bookmarkStart w:id="24" w:name="_0663e90b_dd0e_41b9_933b_f1d3da5820c0"/>
      <w:bookmarkEnd w:id="21"/>
      <w:bookmarkEnd w:id="22"/>
      <w:bookmarkEnd w:id="23"/>
      <w:bookmarkEnd w:id="24"/>
    </w:p>
    <w:tbl>
      <w:tblPr>
        <w:tblW w:w="5091" w:type="dxa"/>
        <w:jc w:val="left"/>
        <w:tblInd w:w="0" w:type="dxa"/>
        <w:tblLayout w:type="fixed"/>
        <w:tblCellMar>
          <w:top w:w="0" w:type="dxa"/>
          <w:left w:w="0" w:type="dxa"/>
          <w:bottom w:w="0" w:type="dxa"/>
          <w:right w:w="0" w:type="dxa"/>
        </w:tblCellMar>
      </w:tblPr>
      <w:tblGrid>
        <w:gridCol w:w="4201"/>
        <w:gridCol w:w="109"/>
        <w:gridCol w:w="781"/>
      </w:tblGrid>
      <w:tr>
        <w:trPr/>
        <w:tc>
          <w:tcPr>
            <w:tcW w:w="4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3535 Harbor Blvd., Suite 100, Costa Mesa, California</w:t>
            </w:r>
          </w:p>
        </w:tc>
        <w:tc>
          <w:tcPr>
            <w:tcW w:w="109" w:type="dxa"/>
            <w:tcBorders/>
            <w:vAlign w:val="center"/>
          </w:tcPr>
          <w:p>
            <w:pPr>
              <w:pStyle w:val="TableContents"/>
              <w:bidi w:val="0"/>
              <w:spacing w:before="0" w:after="24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92626</w:t>
            </w:r>
          </w:p>
        </w:tc>
      </w:tr>
      <w:tr>
        <w:trPr/>
        <w:tc>
          <w:tcPr>
            <w:tcW w:w="420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109" w:type="dxa"/>
            <w:tcBorders/>
            <w:vAlign w:val="center"/>
          </w:tcPr>
          <w:p>
            <w:pPr>
              <w:pStyle w:val="TableContents"/>
              <w:bidi w:val="0"/>
              <w:spacing w:before="0" w:after="24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(714) 599-5000</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(Registrant’s telephone number, including area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pgmbWOxZJUuXUeVSA5Dv7Q_1_2"/>
      <w:bookmarkStart w:id="26" w:name="Tc_KMpyQsaOUUO2Hz6zanbIcQ_1_1"/>
      <w:bookmarkStart w:id="27" w:name="Tc_SZeYB28MPEGmGQ6rjih5PA_1_0"/>
      <w:bookmarkStart w:id="28" w:name="_aa1cc2db_a0ce_484d_8019_ca04bd10e824"/>
      <w:bookmarkStart w:id="29" w:name="Tc_pgmbWOxZJUuXUeVSA5Dv7Q_1_2"/>
      <w:bookmarkStart w:id="30" w:name="Tc_KMpyQsaOUUO2Hz6zanbIcQ_1_1"/>
      <w:bookmarkStart w:id="31" w:name="Tc_SZeYB28MPEGmGQ6rjih5PA_1_0"/>
      <w:bookmarkStart w:id="32" w:name="_aa1cc2db_a0ce_484d_8019_ca04bd10e824"/>
      <w:bookmarkEnd w:id="29"/>
      <w:bookmarkEnd w:id="30"/>
      <w:bookmarkEnd w:id="31"/>
      <w:bookmarkEnd w:id="32"/>
    </w:p>
    <w:tbl>
      <w:tblPr>
        <w:tblW w:w="9873" w:type="dxa"/>
        <w:jc w:val="left"/>
        <w:tblInd w:w="0" w:type="dxa"/>
        <w:tblLayout w:type="fixed"/>
        <w:tblCellMar>
          <w:top w:w="0" w:type="dxa"/>
          <w:left w:w="0" w:type="dxa"/>
          <w:bottom w:w="0" w:type="dxa"/>
          <w:right w:w="0" w:type="dxa"/>
        </w:tblCellMar>
      </w:tblPr>
      <w:tblGrid>
        <w:gridCol w:w="5146"/>
        <w:gridCol w:w="1456"/>
        <w:gridCol w:w="3271"/>
      </w:tblGrid>
      <w:tr>
        <w:trPr/>
        <w:tc>
          <w:tcPr>
            <w:tcW w:w="51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271" w:type="dxa"/>
            <w:tcBorders/>
            <w:vAlign w:val="center"/>
          </w:tcPr>
          <w:p>
            <w:pPr>
              <w:pStyle w:val="TableContents"/>
              <w:bidi w:val="0"/>
              <w:spacing w:before="0" w:after="0"/>
              <w:ind w:left="0" w:right="0" w:hanging="0"/>
              <w:jc w:val="left"/>
              <w:rPr/>
            </w:pPr>
            <w:r>
              <w:rPr/>
              <w:t>​</w:t>
            </w:r>
          </w:p>
        </w:tc>
      </w:tr>
      <w:tr>
        <w:trPr/>
        <w:tc>
          <w:tcPr>
            <w:tcW w:w="514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45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271"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514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par value $0.01 per share</w:t>
            </w:r>
          </w:p>
        </w:tc>
        <w:tc>
          <w:tcPr>
            <w:tcW w:w="145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LOCO</w:t>
            </w:r>
          </w:p>
        </w:tc>
        <w:tc>
          <w:tcPr>
            <w:tcW w:w="3271"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r>
        <w:trPr/>
        <w:tc>
          <w:tcPr>
            <w:tcW w:w="514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Rights to Purchase Series A Preferred Stock, par value $0.01 per share</w:t>
            </w:r>
          </w:p>
        </w:tc>
        <w:tc>
          <w:tcPr>
            <w:tcW w:w="145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40"/>
              <w:ind w:left="0" w:right="0" w:hanging="0"/>
              <w:jc w:val="center"/>
              <w:rPr/>
            </w:pPr>
            <w:r>
              <w:rPr/>
              <w:t>​</w:t>
            </w:r>
          </w:p>
        </w:tc>
        <w:tc>
          <w:tcPr>
            <w:tcW w:w="3271"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bl>
    <w:p>
      <w:pPr>
        <w:pStyle w:val="TextBody"/>
        <w:bidi w:val="0"/>
        <w:spacing w:before="0" w:after="80"/>
        <w:ind w:left="0" w:right="0" w:firstLine="562"/>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8"/>
        </w:rPr>
        <w:t>Yes</w:t>
      </w:r>
      <w:r>
        <w:rPr>
          <w:rFonts w:ascii="Times New Roman;Times;serif" w:hAnsi="Times New Roman;Times;serif"/>
          <w:sz w:val="20"/>
        </w:rPr>
        <w:t>    ☐  </w:t>
      </w:r>
      <w:r>
        <w:rPr>
          <w:rFonts w:ascii="Times New Roman;Times;serif" w:hAnsi="Times New Roman;Times;serif"/>
          <w:sz w:val="18"/>
        </w:rPr>
        <w:t>No</w:t>
      </w:r>
    </w:p>
    <w:p>
      <w:pPr>
        <w:pStyle w:val="TextBody"/>
        <w:bidi w:val="0"/>
        <w:spacing w:before="0" w:after="80"/>
        <w:ind w:left="0" w:right="0" w:firstLine="562"/>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8"/>
        </w:rPr>
        <w:t>Yes</w:t>
      </w:r>
      <w:r>
        <w:rPr>
          <w:rFonts w:ascii="Times New Roman;Times;serif" w:hAnsi="Times New Roman;Times;serif"/>
          <w:sz w:val="20"/>
        </w:rPr>
        <w:t>    ☐  </w:t>
      </w:r>
      <w:r>
        <w:rPr>
          <w:rFonts w:ascii="Times New Roman;Times;serif" w:hAnsi="Times New Roman;Times;serif"/>
          <w:sz w:val="18"/>
        </w:rPr>
        <w:t>No</w:t>
      </w:r>
    </w:p>
    <w:p>
      <w:pPr>
        <w:pStyle w:val="TextBody"/>
        <w:bidi w:val="0"/>
        <w:spacing w:before="0" w:after="0"/>
        <w:ind w:left="0" w:right="0" w:firstLine="562"/>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firstLine="562"/>
        <w:jc w:val="left"/>
        <w:rPr/>
      </w:pPr>
      <w:r>
        <w:rPr/>
        <w:t>​</w:t>
      </w:r>
    </w:p>
    <w:p>
      <w:pPr>
        <w:pStyle w:val="Normal"/>
        <w:bidi w:val="0"/>
        <w:spacing w:before="0" w:after="0"/>
        <w:jc w:val="left"/>
        <w:rPr>
          <w:sz w:val="4"/>
          <w:szCs w:val="4"/>
        </w:rPr>
      </w:pPr>
      <w:r>
        <w:rPr>
          <w:sz w:val="4"/>
          <w:szCs w:val="4"/>
        </w:rPr>
      </w:r>
      <w:bookmarkStart w:id="33" w:name="Tc_ke91Vj8-9EO8C5WJxnZEzQ_5_2"/>
      <w:bookmarkStart w:id="34" w:name="Tc_H9R_pxVg50GOw8Jz2gZSJg_3_2"/>
      <w:bookmarkStart w:id="35" w:name="Tc_c1CetJEra0ajMvK_CIe6RA_3_1"/>
      <w:bookmarkStart w:id="36" w:name="Tc_ZZ184LAHFUOCFz46_u9Rkw_3_0"/>
      <w:bookmarkStart w:id="37" w:name="Tc_LAVy2JMy0UmOcmKavPKhYg_1_3"/>
      <w:bookmarkStart w:id="38" w:name="Tc_vzK42gQxRUuxdLDozX5EAQ_1_1"/>
      <w:bookmarkStart w:id="39" w:name="Tc_hq3nqKdeREquYMEQ7pxUJg_1_0"/>
      <w:bookmarkStart w:id="40" w:name="_1e36b7ef_5ef7_4a0f_afaf_eb5a0bfe0b7d"/>
      <w:bookmarkStart w:id="41" w:name="Tc_ke91Vj8-9EO8C5WJxnZEzQ_5_2"/>
      <w:bookmarkStart w:id="42" w:name="Tc_H9R_pxVg50GOw8Jz2gZSJg_3_2"/>
      <w:bookmarkStart w:id="43" w:name="Tc_c1CetJEra0ajMvK_CIe6RA_3_1"/>
      <w:bookmarkStart w:id="44" w:name="Tc_ZZ184LAHFUOCFz46_u9Rkw_3_0"/>
      <w:bookmarkStart w:id="45" w:name="Tc_LAVy2JMy0UmOcmKavPKhYg_1_3"/>
      <w:bookmarkStart w:id="46" w:name="Tc_vzK42gQxRUuxdLDozX5EAQ_1_1"/>
      <w:bookmarkStart w:id="47" w:name="Tc_hq3nqKdeREquYMEQ7pxUJg_1_0"/>
      <w:bookmarkStart w:id="48" w:name="_1e36b7ef_5ef7_4a0f_afaf_eb5a0bfe0b7d"/>
      <w:bookmarkEnd w:id="41"/>
      <w:bookmarkEnd w:id="42"/>
      <w:bookmarkEnd w:id="43"/>
      <w:bookmarkEnd w:id="44"/>
      <w:bookmarkEnd w:id="45"/>
      <w:bookmarkEnd w:id="46"/>
      <w:bookmarkEnd w:id="47"/>
      <w:bookmarkEnd w:id="48"/>
    </w:p>
    <w:tbl>
      <w:tblPr>
        <w:tblW w:w="4579" w:type="dxa"/>
        <w:jc w:val="left"/>
        <w:tblInd w:w="0" w:type="dxa"/>
        <w:tblLayout w:type="fixed"/>
        <w:tblCellMar>
          <w:top w:w="0" w:type="dxa"/>
          <w:left w:w="0" w:type="dxa"/>
          <w:bottom w:w="0" w:type="dxa"/>
          <w:right w:w="0" w:type="dxa"/>
        </w:tblCellMar>
      </w:tblPr>
      <w:tblGrid>
        <w:gridCol w:w="1771"/>
        <w:gridCol w:w="316"/>
        <w:gridCol w:w="2131"/>
        <w:gridCol w:w="36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124585" cy="175260"/>
                      <wp:effectExtent l="0" t="0" r="0" b="0"/>
                      <wp:wrapNone/>
                      <wp:docPr id="1" name="Frame1"/>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53185" cy="175260"/>
                      <wp:effectExtent l="0" t="0" r="0" b="0"/>
                      <wp:wrapNone/>
                      <wp:docPr id="3" name="Frame3"/>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175260"/>
                      <wp:effectExtent l="0" t="0" r="0" b="0"/>
                      <wp:wrapNone/>
                      <wp:docPr id="4"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firstLine="562"/>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firstLine="562"/>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w:t>
      </w:r>
      <w:r>
        <w:rPr>
          <w:rFonts w:ascii="Times New Roman;Times;serif" w:hAnsi="Times New Roman;Times;serif"/>
          <w:sz w:val="20"/>
        </w:rPr>
        <w:t>☐  </w:t>
      </w:r>
      <w:r>
        <w:rPr>
          <w:rFonts w:ascii="Times New Roman;Times;serif" w:hAnsi="Times New Roman;Times;serif"/>
          <w:sz w:val="18"/>
        </w:rPr>
        <w:t>Yes    </w:t>
      </w:r>
      <w:r>
        <w:rPr>
          <w:rFonts w:ascii="Times New Roman;Times;serif" w:hAnsi="Times New Roman;Times;serif"/>
          <w:sz w:val="20"/>
        </w:rPr>
        <w:t>☒  </w:t>
      </w:r>
      <w:r>
        <w:rPr>
          <w:rFonts w:ascii="Times New Roman;Times;serif" w:hAnsi="Times New Roman;Times;serif"/>
          <w:sz w:val="18"/>
        </w:rPr>
        <w:t>No</w:t>
      </w:r>
    </w:p>
    <w:p>
      <w:pPr>
        <w:pStyle w:val="TextBody"/>
        <w:bidi w:val="0"/>
        <w:spacing w:before="0" w:after="0"/>
        <w:ind w:left="0" w:right="0" w:firstLine="562"/>
        <w:jc w:val="left"/>
        <w:rPr>
          <w:rFonts w:ascii="Times New Roman;Times;serif" w:hAnsi="Times New Roman;Times;serif"/>
          <w:sz w:val="18"/>
        </w:rPr>
      </w:pPr>
      <w:r>
        <w:rPr>
          <w:rFonts w:ascii="Times New Roman;Times;serif" w:hAnsi="Times New Roman;Times;serif"/>
          <w:sz w:val="18"/>
        </w:rPr>
        <w:t>As of October 27, 2023, there were 32,953,268 shares of the issuer’s common stock outstanding.</w:t>
      </w:r>
    </w:p>
    <w:p>
      <w:pPr>
        <w:pStyle w:val="TextBody"/>
        <w:bidi w:val="0"/>
        <w:spacing w:before="0" w:after="240"/>
        <w:ind w:left="0" w:right="0" w:firstLine="562"/>
        <w:jc w:val="left"/>
        <w:rPr/>
      </w:pPr>
      <w:r>
        <w:rPr/>
        <w:t>​</w:t>
      </w:r>
    </w:p>
    <w:p>
      <w:pPr>
        <w:pStyle w:val="TextBody"/>
        <w:pBdr>
          <w:top w:val="single" w:sz="8" w:space="1" w:color="000000"/>
          <w:bottom w:val="single" w:sz="24" w:space="1" w:color="000000"/>
        </w:pBdr>
        <w:bidi w:val="0"/>
        <w:spacing w:before="0" w:after="240"/>
        <w:ind w:left="0" w:right="0" w:firstLine="562"/>
        <w:jc w:val="left"/>
        <w:rPr/>
      </w:pPr>
      <w:r>
        <w:rPr/>
        <w:t>​</w:t>
      </w:r>
    </w:p>
    <w:p>
      <w:pPr>
        <w:pStyle w:val="TextBody"/>
        <w:bidi w:val="0"/>
        <w:spacing w:before="0" w:after="240"/>
        <w:ind w:left="0" w:right="0" w:firstLine="562"/>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49" w:name="_bb4bebfc_5167_45b0_81b5_fae7bc14ff8f"/>
      <w:bookmarkStart w:id="50" w:name="TOC"/>
      <w:bookmarkEnd w:id="49"/>
      <w:bookmarkEnd w:id="50"/>
      <w:r>
        <w:rPr/>
        <w:t>​</w:t>
      </w:r>
    </w:p>
    <w:tbl>
      <w:tblPr>
        <w:tblW w:w="604" w:type="dxa"/>
        <w:jc w:val="left"/>
        <w:tblInd w:w="0" w:type="dxa"/>
        <w:tblLayout w:type="fixed"/>
        <w:tblCellMar>
          <w:top w:w="0" w:type="dxa"/>
          <w:left w:w="0" w:type="dxa"/>
          <w:bottom w:w="0" w:type="dxa"/>
          <w:right w:w="0" w:type="dxa"/>
        </w:tblCellMar>
      </w:tblPr>
      <w:tblGrid>
        <w:gridCol w:w="124"/>
        <w:gridCol w:w="32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8740" cy="175260"/>
                      <wp:effectExtent l="0" t="0" r="0" b="0"/>
                      <wp:wrapNone/>
                      <wp:docPr id="5" name="Frame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7790" cy="175260"/>
                      <wp:effectExtent l="0" t="0" r="0" b="0"/>
                      <wp:wrapNone/>
                      <wp:docPr id="6" name="Frame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8740" cy="1518920"/>
                      <wp:effectExtent l="0" t="0" r="0" b="0"/>
                      <wp:wrapNone/>
                      <wp:docPr id="7" name="Frame7"/>
                      <a:graphic xmlns:a="http://schemas.openxmlformats.org/drawingml/2006/main">
                        <a:graphicData uri="http://schemas.microsoft.com/office/word/2010/wordprocessingShape">
                          <wps:wsp>
                            <wps:cNvSpPr txBox="1"/>
                            <wps:spPr>
                              <a:xfrm>
                                <a:off x="0" y="0"/>
                                <a:ext cx="78740" cy="1518920"/>
                              </a:xfrm>
                              <a:prstGeom prst="rect"/>
                              <a:solidFill>
                                <a:srgbClr val="FFFFFF"/>
                              </a:solidFill>
                            </wps:spPr>
                            <wps:txbx>
                              <w:txbxContent>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Table of Contents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Table of Contents</w:t>
                            </w:r>
                          </w:p>
                        </w:txbxContent>
                      </v:textbox>
                      <w10:wrap type="none"/>
                    </v:rect>
                  </w:pict>
                </mc:Fallback>
              </mc:AlternateContent>
            </w:r>
          </w:p>
        </w:tc>
        <w:tc>
          <w:tcPr>
            <w:tcW w:w="326" w:type="dxa"/>
            <w:tcBorders/>
            <w:vAlign w:val="center"/>
          </w:tcPr>
          <w:p>
            <w:pPr>
              <w:pStyle w:val="TableContents"/>
              <w:bidi w:val="0"/>
              <w:spacing w:before="0" w:after="40"/>
              <w:ind w:left="0" w:right="0" w:hanging="0"/>
              <w:jc w:val="center"/>
              <w:rPr/>
            </w:pPr>
            <w:r>
              <w:rPr/>
              <w:t>    </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790" cy="350520"/>
                      <wp:effectExtent l="0" t="0" r="0" b="0"/>
                      <wp:wrapNone/>
                      <wp:docPr id="8" name="Frame8"/>
                      <a:graphic xmlns:a="http://schemas.openxmlformats.org/drawingml/2006/main">
                        <a:graphicData uri="http://schemas.microsoft.com/office/word/2010/wordprocessingShape">
                          <wps:wsp>
                            <wps:cNvSpPr txBox="1"/>
                            <wps:spPr>
                              <a:xfrm>
                                <a:off x="0" y="0"/>
                                <a:ext cx="97790" cy="3505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Page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8740" cy="175260"/>
                      <wp:effectExtent l="0" t="0" r="0" b="0"/>
                      <wp:wrapNone/>
                      <wp:docPr id="9" name="Frame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7790" cy="175260"/>
                      <wp:effectExtent l="0" t="0" r="0" b="0"/>
                      <wp:wrapNone/>
                      <wp:docPr id="10" name="Frame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8740" cy="3300730"/>
                      <wp:effectExtent l="0" t="0" r="0" b="0"/>
                      <wp:wrapNone/>
                      <wp:docPr id="11" name="Frame11"/>
                      <a:graphic xmlns:a="http://schemas.openxmlformats.org/drawingml/2006/main">
                        <a:graphicData uri="http://schemas.microsoft.com/office/word/2010/wordprocessingShape">
                          <wps:wsp>
                            <wps:cNvSpPr txBox="1"/>
                            <wps:spPr>
                              <a:xfrm>
                                <a:off x="0" y="0"/>
                                <a:ext cx="78740" cy="3300730"/>
                              </a:xfrm>
                              <a:prstGeom prst="rect"/>
                              <a:solidFill>
                                <a:srgbClr val="FFFFFF"/>
                              </a:solidFill>
                            </wps:spPr>
                            <wps:txbx>
                              <w:txbxContent>
                                <w:p>
                                  <w:pPr>
                                    <w:pStyle w:val="TableContents"/>
                                    <w:bidi w:val="0"/>
                                    <w:spacing w:before="0" w:after="40"/>
                                    <w:ind w:left="0" w:right="0" w:hanging="0"/>
                                    <w:jc w:val="left"/>
                                    <w:rPr/>
                                  </w:pPr>
                                  <w:hyperlink w:anchor="PARTIFINANCIALINFORMATION_255169">
                                    <w:r>
                                      <w:rPr>
                                        <w:rStyle w:val="InternetLink"/>
                                        <w:rFonts w:ascii="Times New Roman;Times;serif" w:hAnsi="Times New Roman;Times;serif"/>
                                        <w:b w:val="false"/>
                                        <w:i w:val="false"/>
                                        <w:caps w:val="false"/>
                                        <w:smallCaps w:val="false"/>
                                        <w:sz w:val="20"/>
                                      </w:rPr>
                                      <w:t>PART I—FINANCIAL INFORMATION</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59.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PARTIFINANCIALINFORMATION_255169">
                              <w:r>
                                <w:rPr>
                                  <w:rStyle w:val="InternetLink"/>
                                  <w:rFonts w:ascii="Times New Roman;Times;serif" w:hAnsi="Times New Roman;Times;serif"/>
                                  <w:b w:val="false"/>
                                  <w:i w:val="false"/>
                                  <w:caps w:val="false"/>
                                  <w:smallCaps w:val="false"/>
                                  <w:sz w:val="20"/>
                                </w:rPr>
                                <w:t>PART I—FINANCIAL INFORMATION</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7790" cy="146685"/>
                      <wp:effectExtent l="0" t="0" r="0" b="0"/>
                      <wp:wrapNone/>
                      <wp:docPr id="12" name="Frame12"/>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78740" cy="3091815"/>
                      <wp:effectExtent l="0" t="0" r="0" b="0"/>
                      <wp:wrapNone/>
                      <wp:docPr id="13" name="Frame13"/>
                      <a:graphic xmlns:a="http://schemas.openxmlformats.org/drawingml/2006/main">
                        <a:graphicData uri="http://schemas.microsoft.com/office/word/2010/wordprocessingShape">
                          <wps:wsp>
                            <wps:cNvSpPr txBox="1"/>
                            <wps:spPr>
                              <a:xfrm>
                                <a:off x="0" y="0"/>
                                <a:ext cx="78740" cy="3091815"/>
                              </a:xfrm>
                              <a:prstGeom prst="rect"/>
                              <a:solidFill>
                                <a:srgbClr val="FFFFFF"/>
                              </a:solidFill>
                            </wps:spPr>
                            <wps:txbx>
                              <w:txbxContent>
                                <w:p>
                                  <w:pPr>
                                    <w:pStyle w:val="TableContents"/>
                                    <w:bidi w:val="0"/>
                                    <w:spacing w:before="0" w:after="40"/>
                                    <w:ind w:left="0" w:right="0" w:hanging="0"/>
                                    <w:jc w:val="left"/>
                                    <w:rPr/>
                                  </w:pPr>
                                  <w:hyperlink w:anchor="Item1FinancialStatements_653632">
                                    <w:r>
                                      <w:rPr>
                                        <w:rStyle w:val="InternetLink"/>
                                        <w:rFonts w:ascii="Times New Roman;Times;serif" w:hAnsi="Times New Roman;Times;serif"/>
                                        <w:b w:val="false"/>
                                        <w:i w:val="false"/>
                                        <w:caps w:val="false"/>
                                        <w:smallCaps w:val="false"/>
                                        <w:sz w:val="20"/>
                                      </w:rPr>
                                      <w:t>Item 1. Financial Statements.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43.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1FinancialStatements_653632">
                              <w:r>
                                <w:rPr>
                                  <w:rStyle w:val="InternetLink"/>
                                  <w:rFonts w:ascii="Times New Roman;Times;serif" w:hAnsi="Times New Roman;Times;serif"/>
                                  <w:b w:val="false"/>
                                  <w:i w:val="false"/>
                                  <w:caps w:val="false"/>
                                  <w:smallCaps w:val="false"/>
                                  <w:sz w:val="20"/>
                                </w:rPr>
                                <w:t>Item 1. Financial Statements.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7790" cy="146685"/>
                      <wp:effectExtent l="0" t="0" r="0" b="0"/>
                      <wp:wrapNone/>
                      <wp:docPr id="14" name="Frame14"/>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8740" cy="2882900"/>
                      <wp:effectExtent l="0" t="0" r="0" b="0"/>
                      <wp:wrapNone/>
                      <wp:docPr id="15" name="Frame15"/>
                      <a:graphic xmlns:a="http://schemas.openxmlformats.org/drawingml/2006/main">
                        <a:graphicData uri="http://schemas.microsoft.com/office/word/2010/wordprocessingShape">
                          <wps:wsp>
                            <wps:cNvSpPr txBox="1"/>
                            <wps:spPr>
                              <a:xfrm>
                                <a:off x="0" y="0"/>
                                <a:ext cx="78740" cy="2882900"/>
                              </a:xfrm>
                              <a:prstGeom prst="rect"/>
                              <a:solidFill>
                                <a:srgbClr val="FFFFFF"/>
                              </a:solidFill>
                            </wps:spPr>
                            <wps:txbx>
                              <w:txbxContent>
                                <w:p>
                                  <w:pPr>
                                    <w:pStyle w:val="TableContents"/>
                                    <w:bidi w:val="0"/>
                                    <w:spacing w:before="0" w:after="40"/>
                                    <w:ind w:left="0" w:right="0" w:firstLine="390"/>
                                    <w:jc w:val="left"/>
                                    <w:rPr/>
                                  </w:pPr>
                                  <w:hyperlink w:anchor="CONDENSEDCONSOLIDATEDBALANCESHEETSUNAUDI">
                                    <w:r>
                                      <w:rPr>
                                        <w:rStyle w:val="InternetLink"/>
                                        <w:rFonts w:ascii="Times New Roman;Times;serif" w:hAnsi="Times New Roman;Times;serif"/>
                                        <w:b w:val="false"/>
                                        <w:i w:val="false"/>
                                        <w:caps w:val="false"/>
                                        <w:smallCaps w:val="false"/>
                                        <w:sz w:val="20"/>
                                      </w:rPr>
                                      <w:t>Condensed Consolidated Balance Sheets (Unaudited)</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2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firstLine="390"/>
                              <w:jc w:val="left"/>
                              <w:rPr/>
                            </w:pPr>
                            <w:hyperlink w:anchor="CONDENSEDCONSOLIDATEDBALANCESHEETSUNAUDI">
                              <w:r>
                                <w:rPr>
                                  <w:rStyle w:val="InternetLink"/>
                                  <w:rFonts w:ascii="Times New Roman;Times;serif" w:hAnsi="Times New Roman;Times;serif"/>
                                  <w:b w:val="false"/>
                                  <w:i w:val="false"/>
                                  <w:caps w:val="false"/>
                                  <w:smallCaps w:val="false"/>
                                  <w:sz w:val="20"/>
                                </w:rPr>
                                <w:t>Condensed Consolidated Balance Sheets (Unaudited)</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7790" cy="146685"/>
                      <wp:effectExtent l="0" t="0" r="0" b="0"/>
                      <wp:wrapNone/>
                      <wp:docPr id="16" name="Frame16"/>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8740" cy="2673985"/>
                      <wp:effectExtent l="0" t="0" r="0" b="0"/>
                      <wp:wrapNone/>
                      <wp:docPr id="17" name="Frame17"/>
                      <a:graphic xmlns:a="http://schemas.openxmlformats.org/drawingml/2006/main">
                        <a:graphicData uri="http://schemas.microsoft.com/office/word/2010/wordprocessingShape">
                          <wps:wsp>
                            <wps:cNvSpPr txBox="1"/>
                            <wps:spPr>
                              <a:xfrm>
                                <a:off x="0" y="0"/>
                                <a:ext cx="78740" cy="2673985"/>
                              </a:xfrm>
                              <a:prstGeom prst="rect"/>
                              <a:solidFill>
                                <a:srgbClr val="FFFFFF"/>
                              </a:solidFill>
                            </wps:spPr>
                            <wps:txbx>
                              <w:txbxContent>
                                <w:p>
                                  <w:pPr>
                                    <w:pStyle w:val="TableContents"/>
                                    <w:bidi w:val="0"/>
                                    <w:spacing w:before="0" w:after="40"/>
                                    <w:ind w:left="0" w:right="0" w:firstLine="390"/>
                                    <w:jc w:val="left"/>
                                    <w:rPr/>
                                  </w:pPr>
                                  <w:hyperlink w:anchor="CONDENSEDCONSOLIDATEDSTATEMENTSOFINCOMEU">
                                    <w:r>
                                      <w:rPr>
                                        <w:rStyle w:val="InternetLink"/>
                                        <w:rFonts w:ascii="Times New Roman;Times;serif" w:hAnsi="Times New Roman;Times;serif"/>
                                        <w:b w:val="false"/>
                                        <w:i w:val="false"/>
                                        <w:caps w:val="false"/>
                                        <w:smallCaps w:val="false"/>
                                        <w:sz w:val="20"/>
                                      </w:rPr>
                                      <w:t>Condensed Consolidated Statements of Income (Unaudited)</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10.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firstLine="390"/>
                              <w:jc w:val="left"/>
                              <w:rPr/>
                            </w:pPr>
                            <w:hyperlink w:anchor="CONDENSEDCONSOLIDATEDSTATEMENTSOFINCOMEU">
                              <w:r>
                                <w:rPr>
                                  <w:rStyle w:val="InternetLink"/>
                                  <w:rFonts w:ascii="Times New Roman;Times;serif" w:hAnsi="Times New Roman;Times;serif"/>
                                  <w:b w:val="false"/>
                                  <w:i w:val="false"/>
                                  <w:caps w:val="false"/>
                                  <w:smallCaps w:val="false"/>
                                  <w:sz w:val="20"/>
                                </w:rPr>
                                <w:t>Condensed Consolidated Statements of Income (Unaudited)</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7790" cy="146685"/>
                      <wp:effectExtent l="0" t="0" r="0" b="0"/>
                      <wp:wrapNone/>
                      <wp:docPr id="18" name="Frame18"/>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8740" cy="2465070"/>
                      <wp:effectExtent l="0" t="0" r="0" b="0"/>
                      <wp:wrapNone/>
                      <wp:docPr id="19" name="Frame19"/>
                      <a:graphic xmlns:a="http://schemas.openxmlformats.org/drawingml/2006/main">
                        <a:graphicData uri="http://schemas.microsoft.com/office/word/2010/wordprocessingShape">
                          <wps:wsp>
                            <wps:cNvSpPr txBox="1"/>
                            <wps:spPr>
                              <a:xfrm>
                                <a:off x="0" y="0"/>
                                <a:ext cx="78740" cy="2465070"/>
                              </a:xfrm>
                              <a:prstGeom prst="rect"/>
                              <a:solidFill>
                                <a:srgbClr val="FFFFFF"/>
                              </a:solidFill>
                            </wps:spPr>
                            <wps:txbx>
                              <w:txbxContent>
                                <w:p>
                                  <w:pPr>
                                    <w:pStyle w:val="TableContents"/>
                                    <w:bidi w:val="0"/>
                                    <w:spacing w:before="0" w:after="40"/>
                                    <w:ind w:left="0" w:right="0" w:firstLine="39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Income (Unaudited)</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94.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firstLine="39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Income (Unaudited)</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97790" cy="146685"/>
                      <wp:effectExtent l="0" t="0" r="0" b="0"/>
                      <wp:wrapNone/>
                      <wp:docPr id="20" name="Frame20"/>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8740" cy="2256155"/>
                      <wp:effectExtent l="0" t="0" r="0" b="0"/>
                      <wp:wrapNone/>
                      <wp:docPr id="21" name="Frame21"/>
                      <a:graphic xmlns:a="http://schemas.openxmlformats.org/drawingml/2006/main">
                        <a:graphicData uri="http://schemas.microsoft.com/office/word/2010/wordprocessingShape">
                          <wps:wsp>
                            <wps:cNvSpPr txBox="1"/>
                            <wps:spPr>
                              <a:xfrm>
                                <a:off x="0" y="0"/>
                                <a:ext cx="78740" cy="2256155"/>
                              </a:xfrm>
                              <a:prstGeom prst="rect"/>
                              <a:solidFill>
                                <a:srgbClr val="FFFFFF"/>
                              </a:solidFill>
                            </wps:spPr>
                            <wps:txbx>
                              <w:txbxContent>
                                <w:p>
                                  <w:pPr>
                                    <w:pStyle w:val="TableContents"/>
                                    <w:bidi w:val="0"/>
                                    <w:spacing w:before="0" w:after="40"/>
                                    <w:ind w:left="0" w:right="0" w:firstLine="39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 (Unaudited)</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77.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firstLine="39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 (Unaudited)</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7790" cy="146685"/>
                      <wp:effectExtent l="0" t="0" r="0" b="0"/>
                      <wp:wrapNone/>
                      <wp:docPr id="22" name="Frame22"/>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8740" cy="2047240"/>
                      <wp:effectExtent l="0" t="0" r="0" b="0"/>
                      <wp:wrapNone/>
                      <wp:docPr id="23" name="Frame23"/>
                      <a:graphic xmlns:a="http://schemas.openxmlformats.org/drawingml/2006/main">
                        <a:graphicData uri="http://schemas.microsoft.com/office/word/2010/wordprocessingShape">
                          <wps:wsp>
                            <wps:cNvSpPr txBox="1"/>
                            <wps:spPr>
                              <a:xfrm>
                                <a:off x="0" y="0"/>
                                <a:ext cx="78740" cy="2047240"/>
                              </a:xfrm>
                              <a:prstGeom prst="rect"/>
                              <a:solidFill>
                                <a:srgbClr val="FFFFFF"/>
                              </a:solidFill>
                            </wps:spPr>
                            <wps:txbx>
                              <w:txbxContent>
                                <w:p>
                                  <w:pPr>
                                    <w:pStyle w:val="TableContents"/>
                                    <w:bidi w:val="0"/>
                                    <w:spacing w:before="0" w:after="40"/>
                                    <w:ind w:left="0" w:right="0" w:firstLine="39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1.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firstLine="39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97790" cy="146685"/>
                      <wp:effectExtent l="0" t="0" r="0" b="0"/>
                      <wp:wrapNone/>
                      <wp:docPr id="24" name="Frame24"/>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8740" cy="1838325"/>
                      <wp:effectExtent l="0" t="0" r="0" b="0"/>
                      <wp:wrapNone/>
                      <wp:docPr id="25" name="Frame25"/>
                      <a:graphic xmlns:a="http://schemas.openxmlformats.org/drawingml/2006/main">
                        <a:graphicData uri="http://schemas.microsoft.com/office/word/2010/wordprocessingShape">
                          <wps:wsp>
                            <wps:cNvSpPr txBox="1"/>
                            <wps:spPr>
                              <a:xfrm>
                                <a:off x="0" y="0"/>
                                <a:ext cx="78740" cy="1838325"/>
                              </a:xfrm>
                              <a:prstGeom prst="rect"/>
                              <a:solidFill>
                                <a:srgbClr val="FFFFFF"/>
                              </a:solidFill>
                            </wps:spPr>
                            <wps:txbx>
                              <w:txbxContent>
                                <w:p>
                                  <w:pPr>
                                    <w:pStyle w:val="TableContents"/>
                                    <w:bidi w:val="0"/>
                                    <w:spacing w:before="0" w:after="40"/>
                                    <w:ind w:left="0" w:right="0" w:firstLine="39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44.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firstLine="39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97790" cy="146685"/>
                      <wp:effectExtent l="0" t="0" r="0" b="0"/>
                      <wp:wrapNone/>
                      <wp:docPr id="26" name="Frame26"/>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8740" cy="1629410"/>
                      <wp:effectExtent l="0" t="0" r="0" b="0"/>
                      <wp:wrapNone/>
                      <wp:docPr id="27" name="Frame27"/>
                      <a:graphic xmlns:a="http://schemas.openxmlformats.org/drawingml/2006/main">
                        <a:graphicData uri="http://schemas.microsoft.com/office/word/2010/wordprocessingShape">
                          <wps:wsp>
                            <wps:cNvSpPr txBox="1"/>
                            <wps:spPr>
                              <a:xfrm>
                                <a:off x="0" y="0"/>
                                <a:ext cx="78740" cy="1629410"/>
                              </a:xfrm>
                              <a:prstGeom prst="rect"/>
                              <a:solidFill>
                                <a:srgbClr val="FFFFFF"/>
                              </a:solidFill>
                            </wps:spPr>
                            <wps:txbx>
                              <w:txbxContent>
                                <w:p>
                                  <w:pPr>
                                    <w:pStyle w:val="TableContents"/>
                                    <w:bidi w:val="0"/>
                                    <w:spacing w:before="0" w:after="4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28.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7790" cy="293370"/>
                      <wp:effectExtent l="0" t="0" r="0" b="0"/>
                      <wp:wrapNone/>
                      <wp:docPr id="28" name="Frame28"/>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8740" cy="1420495"/>
                      <wp:effectExtent l="0" t="0" r="0" b="0"/>
                      <wp:wrapNone/>
                      <wp:docPr id="29" name="Frame29"/>
                      <a:graphic xmlns:a="http://schemas.openxmlformats.org/drawingml/2006/main">
                        <a:graphicData uri="http://schemas.microsoft.com/office/word/2010/wordprocessingShape">
                          <wps:wsp>
                            <wps:cNvSpPr txBox="1"/>
                            <wps:spPr>
                              <a:xfrm>
                                <a:off x="0" y="0"/>
                                <a:ext cx="78740" cy="1420495"/>
                              </a:xfrm>
                              <a:prstGeom prst="rect"/>
                              <a:solidFill>
                                <a:srgbClr val="FFFFFF"/>
                              </a:solidFill>
                            </wps:spPr>
                            <wps:txbx>
                              <w:txbxContent>
                                <w:p>
                                  <w:pPr>
                                    <w:pStyle w:val="TableContents"/>
                                    <w:bidi w:val="0"/>
                                    <w:spacing w:before="0" w:after="4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1.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97790" cy="293370"/>
                      <wp:effectExtent l="0" t="0" r="0" b="0"/>
                      <wp:wrapNone/>
                      <wp:docPr id="30" name="Frame30"/>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8740" cy="1211580"/>
                      <wp:effectExtent l="0" t="0" r="0" b="0"/>
                      <wp:wrapNone/>
                      <wp:docPr id="31" name="Frame31"/>
                      <a:graphic xmlns:a="http://schemas.openxmlformats.org/drawingml/2006/main">
                        <a:graphicData uri="http://schemas.microsoft.com/office/word/2010/wordprocessingShape">
                          <wps:wsp>
                            <wps:cNvSpPr txBox="1"/>
                            <wps:spPr>
                              <a:xfrm>
                                <a:off x="0" y="0"/>
                                <a:ext cx="78740" cy="1211580"/>
                              </a:xfrm>
                              <a:prstGeom prst="rect"/>
                              <a:solidFill>
                                <a:srgbClr val="FFFFFF"/>
                              </a:solidFill>
                            </wps:spPr>
                            <wps:txbx>
                              <w:txbxContent>
                                <w:p>
                                  <w:pPr>
                                    <w:pStyle w:val="TableContents"/>
                                    <w:bidi w:val="0"/>
                                    <w:spacing w:before="0" w:after="40"/>
                                    <w:ind w:left="0" w:right="0" w:hanging="0"/>
                                    <w:jc w:val="left"/>
                                    <w:rPr/>
                                  </w:pPr>
                                  <w:hyperlink w:anchor="Item4ControlsandProcedures_514743">
                                    <w:r>
                                      <w:rPr>
                                        <w:rStyle w:val="InternetLink"/>
                                        <w:rFonts w:ascii="Times New Roman;Times;serif" w:hAnsi="Times New Roman;Times;serif"/>
                                        <w:b w:val="false"/>
                                        <w:i w:val="false"/>
                                        <w:caps w:val="false"/>
                                        <w:smallCaps w:val="false"/>
                                        <w:sz w:val="20"/>
                                      </w:rPr>
                                      <w:t>Item 4. Controls and Procedures.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95.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4ControlsandProcedures_514743">
                              <w:r>
                                <w:rPr>
                                  <w:rStyle w:val="InternetLink"/>
                                  <w:rFonts w:ascii="Times New Roman;Times;serif" w:hAnsi="Times New Roman;Times;serif"/>
                                  <w:b w:val="false"/>
                                  <w:i w:val="false"/>
                                  <w:caps w:val="false"/>
                                  <w:smallCaps w:val="false"/>
                                  <w:sz w:val="20"/>
                                </w:rPr>
                                <w:t>Item 4. Controls and Procedures.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97790" cy="293370"/>
                      <wp:effectExtent l="0" t="0" r="0" b="0"/>
                      <wp:wrapNone/>
                      <wp:docPr id="32" name="Frame32"/>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78740" cy="175260"/>
                      <wp:effectExtent l="0" t="0" r="0" b="0"/>
                      <wp:wrapNone/>
                      <wp:docPr id="33" name="Frame3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97790" cy="175260"/>
                      <wp:effectExtent l="0" t="0" r="0" b="0"/>
                      <wp:wrapNone/>
                      <wp:docPr id="34" name="Frame3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78740" cy="793750"/>
                      <wp:effectExtent l="0" t="0" r="0" b="0"/>
                      <wp:wrapNone/>
                      <wp:docPr id="35" name="Frame35"/>
                      <a:graphic xmlns:a="http://schemas.openxmlformats.org/drawingml/2006/main">
                        <a:graphicData uri="http://schemas.microsoft.com/office/word/2010/wordprocessingShape">
                          <wps:wsp>
                            <wps:cNvSpPr txBox="1"/>
                            <wps:spPr>
                              <a:xfrm>
                                <a:off x="0" y="0"/>
                                <a:ext cx="78740" cy="793750"/>
                              </a:xfrm>
                              <a:prstGeom prst="rect"/>
                              <a:solidFill>
                                <a:srgbClr val="FFFFFF"/>
                              </a:solidFill>
                            </wps:spPr>
                            <wps:txbx>
                              <w:txbxContent>
                                <w:p>
                                  <w:pPr>
                                    <w:pStyle w:val="TableContents"/>
                                    <w:bidi w:val="0"/>
                                    <w:spacing w:before="0" w:after="40"/>
                                    <w:ind w:left="0" w:right="0" w:hanging="0"/>
                                    <w:jc w:val="left"/>
                                    <w:rPr/>
                                  </w:pPr>
                                  <w:hyperlink w:anchor="PARTIIOTHERINFORMATION_750351">
                                    <w:r>
                                      <w:rPr>
                                        <w:rStyle w:val="InternetLink"/>
                                        <w:rFonts w:ascii="Times New Roman;Times;serif" w:hAnsi="Times New Roman;Times;serif"/>
                                        <w:b w:val="false"/>
                                        <w:i w:val="false"/>
                                        <w:caps w:val="false"/>
                                        <w:smallCaps w:val="false"/>
                                        <w:sz w:val="20"/>
                                      </w:rPr>
                                      <w:t>PART II—OTHER INFORMATION</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PARTIIOTHERINFORMATION_750351">
                              <w:r>
                                <w:rPr>
                                  <w:rStyle w:val="InternetLink"/>
                                  <w:rFonts w:ascii="Times New Roman;Times;serif" w:hAnsi="Times New Roman;Times;serif"/>
                                  <w:b w:val="false"/>
                                  <w:i w:val="false"/>
                                  <w:caps w:val="false"/>
                                  <w:smallCaps w:val="false"/>
                                  <w:sz w:val="20"/>
                                </w:rPr>
                                <w:t>PART II—OTHER INFORMATION</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97790" cy="293370"/>
                      <wp:effectExtent l="0" t="0" r="0" b="0"/>
                      <wp:wrapNone/>
                      <wp:docPr id="36" name="Frame36"/>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78740" cy="584835"/>
                      <wp:effectExtent l="0" t="0" r="0" b="0"/>
                      <wp:wrapNone/>
                      <wp:docPr id="37" name="Frame37"/>
                      <a:graphic xmlns:a="http://schemas.openxmlformats.org/drawingml/2006/main">
                        <a:graphicData uri="http://schemas.microsoft.com/office/word/2010/wordprocessingShape">
                          <wps:wsp>
                            <wps:cNvSpPr txBox="1"/>
                            <wps:spPr>
                              <a:xfrm>
                                <a:off x="0" y="0"/>
                                <a:ext cx="78740" cy="584835"/>
                              </a:xfrm>
                              <a:prstGeom prst="rect"/>
                              <a:solidFill>
                                <a:srgbClr val="FFFFFF"/>
                              </a:solidFill>
                            </wps:spPr>
                            <wps:txbx>
                              <w:txbxContent>
                                <w:p>
                                  <w:pPr>
                                    <w:pStyle w:val="TableContents"/>
                                    <w:bidi w:val="0"/>
                                    <w:spacing w:before="0" w:after="40"/>
                                    <w:ind w:left="0" w:right="0" w:hanging="0"/>
                                    <w:jc w:val="left"/>
                                    <w:rPr/>
                                  </w:pPr>
                                  <w:hyperlink w:anchor="Item1LegalProceedings_952142">
                                    <w:r>
                                      <w:rPr>
                                        <w:rStyle w:val="InternetLink"/>
                                        <w:rFonts w:ascii="Times New Roman;Times;serif" w:hAnsi="Times New Roman;Times;serif"/>
                                        <w:b w:val="false"/>
                                        <w:i w:val="false"/>
                                        <w:caps w:val="false"/>
                                        <w:smallCaps w:val="false"/>
                                        <w:sz w:val="20"/>
                                      </w:rPr>
                                      <w:t>Item 1. Legal Proceedings.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6.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1LegalProceedings_952142">
                              <w:r>
                                <w:rPr>
                                  <w:rStyle w:val="InternetLink"/>
                                  <w:rFonts w:ascii="Times New Roman;Times;serif" w:hAnsi="Times New Roman;Times;serif"/>
                                  <w:b w:val="false"/>
                                  <w:i w:val="false"/>
                                  <w:caps w:val="false"/>
                                  <w:smallCaps w:val="false"/>
                                  <w:sz w:val="20"/>
                                </w:rPr>
                                <w:t>Item 1. Legal Proceedings.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97790" cy="293370"/>
                      <wp:effectExtent l="0" t="0" r="0" b="0"/>
                      <wp:wrapNone/>
                      <wp:docPr id="38" name="Frame38"/>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8740" cy="375920"/>
                      <wp:effectExtent l="0" t="0" r="0" b="0"/>
                      <wp:wrapNone/>
                      <wp:docPr id="39" name="Frame39"/>
                      <a:graphic xmlns:a="http://schemas.openxmlformats.org/drawingml/2006/main">
                        <a:graphicData uri="http://schemas.microsoft.com/office/word/2010/wordprocessingShape">
                          <wps:wsp>
                            <wps:cNvSpPr txBox="1"/>
                            <wps:spPr>
                              <a:xfrm>
                                <a:off x="0" y="0"/>
                                <a:ext cx="78740" cy="375920"/>
                              </a:xfrm>
                              <a:prstGeom prst="rect"/>
                              <a:solidFill>
                                <a:srgbClr val="FFFFFF"/>
                              </a:solidFill>
                            </wps:spPr>
                            <wps:txbx>
                              <w:txbxContent>
                                <w:p>
                                  <w:pPr>
                                    <w:pStyle w:val="TableContents"/>
                                    <w:bidi w:val="0"/>
                                    <w:spacing w:before="0" w:after="40"/>
                                    <w:ind w:left="0" w:right="0" w:hanging="0"/>
                                    <w:jc w:val="left"/>
                                    <w:rPr/>
                                  </w:pPr>
                                  <w:hyperlink w:anchor="Item1ARiskFactors_611784">
                                    <w:r>
                                      <w:rPr>
                                        <w:rStyle w:val="InternetLink"/>
                                        <w:rFonts w:ascii="Times New Roman;Times;serif" w:hAnsi="Times New Roman;Times;serif"/>
                                        <w:b w:val="false"/>
                                        <w:i w:val="false"/>
                                        <w:caps w:val="false"/>
                                        <w:smallCaps w:val="false"/>
                                        <w:sz w:val="20"/>
                                      </w:rPr>
                                      <w:t>Item 1A. Risk Factors.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1ARiskFactors_611784">
                              <w:r>
                                <w:rPr>
                                  <w:rStyle w:val="InternetLink"/>
                                  <w:rFonts w:ascii="Times New Roman;Times;serif" w:hAnsi="Times New Roman;Times;serif"/>
                                  <w:b w:val="false"/>
                                  <w:i w:val="false"/>
                                  <w:caps w:val="false"/>
                                  <w:smallCaps w:val="false"/>
                                  <w:sz w:val="20"/>
                                </w:rPr>
                                <w:t>Item 1A. Risk Factors.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97790" cy="293370"/>
                      <wp:effectExtent l="0" t="0" r="0" b="0"/>
                      <wp:wrapNone/>
                      <wp:docPr id="40" name="Frame40"/>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78740" cy="9972040"/>
                      <wp:effectExtent l="0" t="0" r="0" b="0"/>
                      <wp:wrapNone/>
                      <wp:docPr id="41" name="Frame41"/>
                      <a:graphic xmlns:a="http://schemas.openxmlformats.org/drawingml/2006/main">
                        <a:graphicData uri="http://schemas.microsoft.com/office/word/2010/wordprocessingShape">
                          <wps:wsp>
                            <wps:cNvSpPr txBox="1"/>
                            <wps:spPr>
                              <a:xfrm>
                                <a:off x="0" y="0"/>
                                <a:ext cx="78740" cy="9972040"/>
                              </a:xfrm>
                              <a:prstGeom prst="rect"/>
                              <a:solidFill>
                                <a:srgbClr val="FFFFFF"/>
                              </a:solidFill>
                            </wps:spPr>
                            <wps:txbx>
                              <w:txbxContent>
                                <w:p>
                                  <w:pPr>
                                    <w:pStyle w:val="TableContents"/>
                                    <w:bidi w:val="0"/>
                                    <w:spacing w:before="0" w:after="4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Use of Proceeds, and Issuer Purchases of Equity Securities.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Use of Proceeds, and Issuer Purchases of Equity Securities.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97790" cy="293370"/>
                      <wp:effectExtent l="0" t="0" r="0" b="0"/>
                      <wp:wrapNone/>
                      <wp:docPr id="42" name="Frame42"/>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8740" cy="4693920"/>
                      <wp:effectExtent l="0" t="0" r="0" b="0"/>
                      <wp:wrapNone/>
                      <wp:docPr id="43" name="Frame43"/>
                      <a:graphic xmlns:a="http://schemas.openxmlformats.org/drawingml/2006/main">
                        <a:graphicData uri="http://schemas.microsoft.com/office/word/2010/wordprocessingShape">
                          <wps:wsp>
                            <wps:cNvSpPr txBox="1"/>
                            <wps:spPr>
                              <a:xfrm>
                                <a:off x="0" y="0"/>
                                <a:ext cx="78740" cy="4693920"/>
                              </a:xfrm>
                              <a:prstGeom prst="rect"/>
                              <a:solidFill>
                                <a:srgbClr val="FFFFFF"/>
                              </a:solidFill>
                            </wps:spPr>
                            <wps:txbx>
                              <w:txbxContent>
                                <w:p>
                                  <w:pPr>
                                    <w:pStyle w:val="TableContents"/>
                                    <w:bidi w:val="0"/>
                                    <w:spacing w:before="0" w:after="40"/>
                                    <w:ind w:left="0" w:right="0" w:hanging="0"/>
                                    <w:jc w:val="left"/>
                                    <w:rPr/>
                                  </w:pPr>
                                  <w:hyperlink w:anchor="Item3DefaultsofSeniorSecurities_13390">
                                    <w:r>
                                      <w:rPr>
                                        <w:rStyle w:val="InternetLink"/>
                                        <w:rFonts w:ascii="Times New Roman;Times;serif" w:hAnsi="Times New Roman;Times;serif"/>
                                        <w:b w:val="false"/>
                                        <w:i w:val="false"/>
                                        <w:caps w:val="false"/>
                                        <w:smallCaps w:val="false"/>
                                        <w:sz w:val="20"/>
                                      </w:rPr>
                                      <w:t>Item 3. Defaults Upon Senior Securities.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6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3DefaultsofSeniorSecurities_13390">
                              <w:r>
                                <w:rPr>
                                  <w:rStyle w:val="InternetLink"/>
                                  <w:rFonts w:ascii="Times New Roman;Times;serif" w:hAnsi="Times New Roman;Times;serif"/>
                                  <w:b w:val="false"/>
                                  <w:i w:val="false"/>
                                  <w:caps w:val="false"/>
                                  <w:smallCaps w:val="false"/>
                                  <w:sz w:val="20"/>
                                </w:rPr>
                                <w:t>Item 3. Defaults Upon Senior Securities.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97790" cy="293370"/>
                      <wp:effectExtent l="0" t="0" r="0" b="0"/>
                      <wp:wrapNone/>
                      <wp:docPr id="44" name="Frame44"/>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78740" cy="4107180"/>
                      <wp:effectExtent l="0" t="0" r="0" b="0"/>
                      <wp:wrapNone/>
                      <wp:docPr id="45" name="Frame45"/>
                      <a:graphic xmlns:a="http://schemas.openxmlformats.org/drawingml/2006/main">
                        <a:graphicData uri="http://schemas.microsoft.com/office/word/2010/wordprocessingShape">
                          <wps:wsp>
                            <wps:cNvSpPr txBox="1"/>
                            <wps:spPr>
                              <a:xfrm>
                                <a:off x="0" y="0"/>
                                <a:ext cx="78740" cy="4107180"/>
                              </a:xfrm>
                              <a:prstGeom prst="rect"/>
                              <a:solidFill>
                                <a:srgbClr val="FFFFFF"/>
                              </a:solidFill>
                            </wps:spPr>
                            <wps:txbx>
                              <w:txbxContent>
                                <w:p>
                                  <w:pPr>
                                    <w:pStyle w:val="TableContents"/>
                                    <w:bidi w:val="0"/>
                                    <w:spacing w:before="0" w:after="40"/>
                                    <w:ind w:left="0" w:right="0" w:hanging="0"/>
                                    <w:jc w:val="left"/>
                                    <w:rPr/>
                                  </w:pPr>
                                  <w:hyperlink w:anchor="Item4MineSafetyDisclosures_432267">
                                    <w:r>
                                      <w:rPr>
                                        <w:rStyle w:val="InternetLink"/>
                                        <w:rFonts w:ascii="Times New Roman;Times;serif" w:hAnsi="Times New Roman;Times;serif"/>
                                        <w:b w:val="false"/>
                                        <w:i w:val="false"/>
                                        <w:caps w:val="false"/>
                                        <w:smallCaps w:val="false"/>
                                        <w:sz w:val="20"/>
                                      </w:rPr>
                                      <w:t>Item 4. Mine Safety Disclosures.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23.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4MineSafetyDisclosures_432267">
                              <w:r>
                                <w:rPr>
                                  <w:rStyle w:val="InternetLink"/>
                                  <w:rFonts w:ascii="Times New Roman;Times;serif" w:hAnsi="Times New Roman;Times;serif"/>
                                  <w:b w:val="false"/>
                                  <w:i w:val="false"/>
                                  <w:caps w:val="false"/>
                                  <w:smallCaps w:val="false"/>
                                  <w:sz w:val="20"/>
                                </w:rPr>
                                <w:t>Item 4. Mine Safety Disclosures.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97790" cy="293370"/>
                      <wp:effectExtent l="0" t="0" r="0" b="0"/>
                      <wp:wrapNone/>
                      <wp:docPr id="46" name="Frame46"/>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8740" cy="3227070"/>
                      <wp:effectExtent l="0" t="0" r="0" b="0"/>
                      <wp:wrapNone/>
                      <wp:docPr id="47" name="Frame47"/>
                      <a:graphic xmlns:a="http://schemas.openxmlformats.org/drawingml/2006/main">
                        <a:graphicData uri="http://schemas.microsoft.com/office/word/2010/wordprocessingShape">
                          <wps:wsp>
                            <wps:cNvSpPr txBox="1"/>
                            <wps:spPr>
                              <a:xfrm>
                                <a:off x="0" y="0"/>
                                <a:ext cx="78740" cy="3227070"/>
                              </a:xfrm>
                              <a:prstGeom prst="rect"/>
                              <a:solidFill>
                                <a:srgbClr val="FFFFFF"/>
                              </a:solidFill>
                            </wps:spPr>
                            <wps:txbx>
                              <w:txbxContent>
                                <w:p>
                                  <w:pPr>
                                    <w:pStyle w:val="TableContents"/>
                                    <w:bidi w:val="0"/>
                                    <w:spacing w:before="0" w:after="40"/>
                                    <w:ind w:left="0" w:right="0" w:hanging="0"/>
                                    <w:jc w:val="left"/>
                                    <w:rPr/>
                                  </w:pPr>
                                  <w:hyperlink w:anchor="Item5OtherInformation_929848">
                                    <w:r>
                                      <w:rPr>
                                        <w:rStyle w:val="InternetLink"/>
                                        <w:rFonts w:ascii="Times New Roman;Times;serif" w:hAnsi="Times New Roman;Times;serif"/>
                                        <w:b w:val="false"/>
                                        <w:i w:val="false"/>
                                        <w:caps w:val="false"/>
                                        <w:smallCaps w:val="false"/>
                                        <w:sz w:val="20"/>
                                      </w:rPr>
                                      <w:t>Item 5. Other Information.</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54.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5OtherInformation_929848">
                              <w:r>
                                <w:rPr>
                                  <w:rStyle w:val="InternetLink"/>
                                  <w:rFonts w:ascii="Times New Roman;Times;serif" w:hAnsi="Times New Roman;Times;serif"/>
                                  <w:b w:val="false"/>
                                  <w:i w:val="false"/>
                                  <w:caps w:val="false"/>
                                  <w:smallCaps w:val="false"/>
                                  <w:sz w:val="20"/>
                                </w:rPr>
                                <w:t>Item 5. Other Information.</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97790" cy="293370"/>
                      <wp:effectExtent l="0" t="0" r="0" b="0"/>
                      <wp:wrapNone/>
                      <wp:docPr id="48" name="Frame48"/>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78740" cy="2053590"/>
                      <wp:effectExtent l="0" t="0" r="0" b="0"/>
                      <wp:wrapNone/>
                      <wp:docPr id="49" name="Frame49"/>
                      <a:graphic xmlns:a="http://schemas.openxmlformats.org/drawingml/2006/main">
                        <a:graphicData uri="http://schemas.microsoft.com/office/word/2010/wordprocessingShape">
                          <wps:wsp>
                            <wps:cNvSpPr txBox="1"/>
                            <wps:spPr>
                              <a:xfrm>
                                <a:off x="0" y="0"/>
                                <a:ext cx="78740" cy="2053590"/>
                              </a:xfrm>
                              <a:prstGeom prst="rect"/>
                              <a:solidFill>
                                <a:srgbClr val="FFFFFF"/>
                              </a:solidFill>
                            </wps:spPr>
                            <wps:txbx>
                              <w:txbxContent>
                                <w:p>
                                  <w:pPr>
                                    <w:pStyle w:val="TableContents"/>
                                    <w:bidi w:val="0"/>
                                    <w:spacing w:before="0" w:after="40"/>
                                    <w:ind w:left="0" w:right="0" w:hanging="0"/>
                                    <w:jc w:val="left"/>
                                    <w:rPr/>
                                  </w:pPr>
                                  <w:hyperlink w:anchor="Item6Exhibits_636888">
                                    <w:r>
                                      <w:rPr>
                                        <w:rStyle w:val="InternetLink"/>
                                        <w:rFonts w:ascii="Times New Roman;Times;serif" w:hAnsi="Times New Roman;Times;serif"/>
                                        <w:b w:val="false"/>
                                        <w:i w:val="false"/>
                                        <w:caps w:val="false"/>
                                        <w:smallCaps w:val="false"/>
                                        <w:sz w:val="20"/>
                                      </w:rPr>
                                      <w:t>Item 6. Exhibits.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1.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6Exhibits_636888">
                              <w:r>
                                <w:rPr>
                                  <w:rStyle w:val="InternetLink"/>
                                  <w:rFonts w:ascii="Times New Roman;Times;serif" w:hAnsi="Times New Roman;Times;serif"/>
                                  <w:b w:val="false"/>
                                  <w:i w:val="false"/>
                                  <w:caps w:val="false"/>
                                  <w:smallCaps w:val="false"/>
                                  <w:sz w:val="20"/>
                                </w:rPr>
                                <w:t>Item 6. Exhibits.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97790" cy="293370"/>
                      <wp:effectExtent l="0" t="0" r="0" b="0"/>
                      <wp:wrapNone/>
                      <wp:docPr id="50" name="Frame50"/>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78740" cy="1466850"/>
                      <wp:effectExtent l="0" t="0" r="0" b="0"/>
                      <wp:wrapNone/>
                      <wp:docPr id="51" name="Frame51"/>
                      <a:graphic xmlns:a="http://schemas.openxmlformats.org/drawingml/2006/main">
                        <a:graphicData uri="http://schemas.microsoft.com/office/word/2010/wordprocessingShape">
                          <wps:wsp>
                            <wps:cNvSpPr txBox="1"/>
                            <wps:spPr>
                              <a:xfrm>
                                <a:off x="0" y="0"/>
                                <a:ext cx="78740" cy="1466850"/>
                              </a:xfrm>
                              <a:prstGeom prst="rect"/>
                              <a:solidFill>
                                <a:srgbClr val="FFFFFF"/>
                              </a:solidFill>
                            </wps:spPr>
                            <wps:txbx>
                              <w:txbxContent>
                                <w:p>
                                  <w:pPr>
                                    <w:pStyle w:val="TableContents"/>
                                    <w:bidi w:val="0"/>
                                    <w:spacing w:before="0" w:after="40"/>
                                    <w:ind w:left="0" w:right="0" w:hanging="0"/>
                                    <w:jc w:val="left"/>
                                    <w:rPr/>
                                  </w:pPr>
                                  <w:hyperlink w:anchor="SIGNATURES_726842">
                                    <w:r>
                                      <w:rPr>
                                        <w:rStyle w:val="InternetLink"/>
                                        <w:rFonts w:ascii="Times New Roman;Times;serif" w:hAnsi="Times New Roman;Times;serif"/>
                                        <w:b w:val="false"/>
                                        <w:i w:val="false"/>
                                        <w:caps w:val="false"/>
                                        <w:smallCaps w:val="false"/>
                                        <w:sz w:val="20"/>
                                      </w:rPr>
                                      <w:t>Signatures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SIGNATURES_726842">
                              <w:r>
                                <w:rPr>
                                  <w:rStyle w:val="InternetLink"/>
                                  <w:rFonts w:ascii="Times New Roman;Times;serif" w:hAnsi="Times New Roman;Times;serif"/>
                                  <w:b w:val="false"/>
                                  <w:i w:val="false"/>
                                  <w:caps w:val="false"/>
                                  <w:smallCaps w:val="false"/>
                                  <w:sz w:val="20"/>
                                </w:rPr>
                                <w:t>Signatures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97790" cy="293370"/>
                      <wp:effectExtent l="0" t="0" r="0" b="0"/>
                      <wp:wrapNone/>
                      <wp:docPr id="52" name="Frame52"/>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51" w:name="PARTIFINANCIALINFORMATION_255169"/>
      <w:bookmarkStart w:id="52" w:name="_86d46cb2_5404_4a9f_84b4_55380d15b078"/>
      <w:bookmarkEnd w:id="51"/>
      <w:bookmarkEnd w:id="52"/>
      <w:r>
        <w:rPr>
          <w:rFonts w:ascii="Times New Roman;Times;serif" w:hAnsi="Times New Roman;Times;serif"/>
          <w:b/>
          <w:sz w:val="20"/>
        </w:rPr>
        <w:t>PART I—FINANCIAL INFORMATION</w:t>
      </w:r>
    </w:p>
    <w:p>
      <w:pPr>
        <w:pStyle w:val="TextBody"/>
        <w:bidi w:val="0"/>
        <w:spacing w:before="0" w:after="120"/>
        <w:ind w:left="0" w:right="0" w:hanging="0"/>
        <w:jc w:val="left"/>
        <w:rPr>
          <w:rFonts w:ascii="Times New Roman;Times;serif" w:hAnsi="Times New Roman;Times;serif"/>
          <w:b/>
          <w:sz w:val="20"/>
        </w:rPr>
      </w:pPr>
      <w:bookmarkStart w:id="53" w:name="Item1FinancialStatements_653632"/>
      <w:bookmarkEnd w:id="53"/>
      <w:r>
        <w:rPr>
          <w:rFonts w:ascii="Times New Roman;Times;serif" w:hAnsi="Times New Roman;Times;serif"/>
          <w:b/>
          <w:sz w:val="20"/>
        </w:rPr>
        <w:t>Item 1.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120"/>
        <w:ind w:left="0" w:right="0" w:hanging="0"/>
        <w:jc w:val="center"/>
        <w:rPr>
          <w:rFonts w:ascii="Times New Roman;Times;serif" w:hAnsi="Times New Roman;Times;serif"/>
          <w:b/>
          <w:sz w:val="20"/>
        </w:rPr>
      </w:pPr>
      <w:bookmarkStart w:id="54" w:name="CONDENSEDCONSOLIDATEDBALANCESHEETSUNAUDI"/>
      <w:bookmarkEnd w:id="54"/>
      <w:r>
        <w:rPr>
          <w:rFonts w:ascii="Times New Roman;Times;serif" w:hAnsi="Times New Roman;Times;serif"/>
          <w:b/>
          <w:sz w:val="20"/>
        </w:rPr>
        <w:t>CONDENSED CONSOLIDATED BALANCE SHEETS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55" w:name="Tc_qdaAazyPQkOYIztdlJITIg_46_5"/>
      <w:bookmarkStart w:id="56" w:name="Tc_Qntz9I-lf0ON4qdyApbfdQ_46_2"/>
      <w:bookmarkStart w:id="57" w:name="Tc_nU_4f67HMEGDDBbhQF_WJw_46_0"/>
      <w:bookmarkStart w:id="58" w:name="Tc_Tx1e8z6BF0Kxe6KTXBg5cw_45_0"/>
      <w:bookmarkStart w:id="59" w:name="Tc__d-Vu_1t2Uqyt9kM8ZEphQ_44_3"/>
      <w:bookmarkStart w:id="60" w:name="Tc_p1sQb6w0q0uKAZxQVYfhrA_44_0"/>
      <w:bookmarkStart w:id="61" w:name="Tc_j2NEBhMki0aUngXQHX4Tgw_43_0"/>
      <w:bookmarkStart w:id="62" w:name="Tc_RMkGFav7KEqxHolK6Fms7A_42_0"/>
      <w:bookmarkStart w:id="63" w:name="Tc_XKcxxR5oI06_OBNtD15kFA_41_0"/>
      <w:bookmarkStart w:id="64" w:name="_9a6b5006_b5f0_4afd_881a_b5252250741a_3"/>
      <w:bookmarkStart w:id="65" w:name="_9a6b5006_b5f0_4afd_881a_b5252250741a_2"/>
      <w:bookmarkStart w:id="66" w:name="_9a6b5006_b5f0_4afd_881a_b5252250741a"/>
      <w:bookmarkStart w:id="67" w:name="Tc_HNSs0i3hukGQOBobP-CdFQ_40_0"/>
      <w:bookmarkStart w:id="68" w:name="Tc_Cxp3smAaskS8m7U_b_vW0Q_39_0"/>
      <w:bookmarkStart w:id="69" w:name="Tc_nMp_dNaN3Ee-ZsyzTee56Q_38_0"/>
      <w:bookmarkStart w:id="70" w:name="Tc_I0hD-Zu7T0KaQfDqM6BErw_37_0"/>
      <w:bookmarkStart w:id="71" w:name="Tc_CBYgGpDSv0mdONOVbRN8Yw_36_0"/>
      <w:bookmarkStart w:id="72" w:name="Tc_MAkcUKrp50WkWYUZx-94Iw_35_0"/>
      <w:bookmarkStart w:id="73" w:name="Tc_UHz2qKHSkku3aaNEyPUzJg_34_0"/>
      <w:bookmarkStart w:id="74" w:name="Tc_liNd4TDzhEy-NiRXQdKfMw_33_0"/>
      <w:bookmarkStart w:id="75" w:name="Tc_7XTytgpT1UmimUpv3ynOZQ_32_0"/>
      <w:bookmarkStart w:id="76" w:name="Tc_LdkK2cdRcUm5ApdDLWS_wQ_31_0"/>
      <w:bookmarkStart w:id="77" w:name="Tc_3Aialqxq9EmZgtzw4ULHpA_30_0"/>
      <w:bookmarkStart w:id="78" w:name="Tc_5elNdSRozkaq4PkX4GiurA_29_0"/>
      <w:bookmarkStart w:id="79" w:name="Tc_cwYkkz_5jUyjCITzDGlpbA_28_0"/>
      <w:bookmarkStart w:id="80" w:name="Tc_0vx5Dqft6EKwqUWstPCY1Q_27_0"/>
      <w:bookmarkStart w:id="81" w:name="Tc_34j-jaeNPk2ajD3yWL4F2g_26_6"/>
      <w:bookmarkStart w:id="82" w:name="Tc_Gb4NjOYZm02ziyZd9mtyIA_26_0"/>
      <w:bookmarkStart w:id="83" w:name="Tc_GP4lD-3oVEqK7KIsWQeu6g_25_0"/>
      <w:bookmarkStart w:id="84" w:name="Tc_p3T4m1XrLEiJ0o_-fBb9Lg_24_0"/>
      <w:bookmarkStart w:id="85" w:name="Tc_yezzVfpigUWienrlzebLRA_23_0"/>
      <w:bookmarkStart w:id="86" w:name="Tc_L-sObJvs7UyUJacWV_WSKw_22_0"/>
      <w:bookmarkStart w:id="87" w:name="Tc_KTR6M3ODukOA7UITvjWnXA_21_5"/>
      <w:bookmarkStart w:id="88" w:name="Tc_rHHTnT9fDEKoyPYgwf6YvA_21_2"/>
      <w:bookmarkStart w:id="89" w:name="Tc_rRqA8DmNaU-lgX1R-ltIJg_21_0"/>
      <w:bookmarkStart w:id="90" w:name="Tc_JLgi02wTqkG37oZABzjS6A_20_0"/>
      <w:bookmarkStart w:id="91" w:name="Tc_ue45txkKQkOCrvNShTqt6w_19_0"/>
      <w:bookmarkStart w:id="92" w:name="Tc_Y03m9Lo0g0eqTEWEXFd2Vw_18_5"/>
      <w:bookmarkStart w:id="93" w:name="Tc_oEv4x7gyvUafFadU2BtLsQ_18_2"/>
      <w:bookmarkStart w:id="94" w:name="Tc_xf_GsSW_UkqcxLyJvBaimQ_18_0"/>
      <w:bookmarkStart w:id="95" w:name="Tc_IwJOP9jajk6NUzLHJTyayA_17_0"/>
      <w:bookmarkStart w:id="96" w:name="Tc_-lkapDVO6UCT2ZG-Wsr9Aw_16_3"/>
      <w:bookmarkStart w:id="97" w:name="Tc_JMPnPlFXSUKi8BplmB4S_Q_16_0"/>
      <w:bookmarkStart w:id="98" w:name="Tc_xB5lpXjW9EeeFxea_Sfq5A_15_0"/>
      <w:bookmarkStart w:id="99" w:name="Tc_966CGIHiFUGypbrhF3EAyg_14_0"/>
      <w:bookmarkStart w:id="100" w:name="Tc_eu8C7gr_OEu76BAeUkc_bw_13_0"/>
      <w:bookmarkStart w:id="101" w:name="Tc_cggYANz0uUm-05V3iXWMfA_12_0"/>
      <w:bookmarkStart w:id="102" w:name="Tc_n4VEU_8EgEGZIuCLFI5Fug_11_0"/>
      <w:bookmarkStart w:id="103" w:name="Tc_DZIUyVRWj0ew4tUsx10RxQ_10_0"/>
      <w:bookmarkStart w:id="104" w:name="Tc_waLDh7dlhkanahxyfVWtIg_9_3"/>
      <w:bookmarkStart w:id="105" w:name="Tc_iN3iA54ta0K_EwW1KKfs8A_9_0"/>
      <w:bookmarkStart w:id="106" w:name="Tc_EF6ocSf1Z0WXdN1pkfpYMA_8_0"/>
      <w:bookmarkStart w:id="107" w:name="Tc_Yd2uivlwiEiY0ZiQ7qQA0w_7_0"/>
      <w:bookmarkStart w:id="108" w:name="Tc_6NolO55d8UWWG_b7heWVuA_6_0"/>
      <w:bookmarkStart w:id="109" w:name="Tc_4-5iZ99ioUmzFaJV1Xr0jw_5_5"/>
      <w:bookmarkStart w:id="110" w:name="Tc_aTthSNPWZkSRlJvRZ_YO0w_5_2"/>
      <w:bookmarkStart w:id="111" w:name="Tc_SXztCLcHkEW9tnklDtstkQ_5_0"/>
      <w:bookmarkStart w:id="112" w:name="Tc_QbhzU8nX4EqOiVsoYXerVQ_4_0"/>
      <w:bookmarkStart w:id="113" w:name="Tc_cCnfVwVboEevdBPo4sH-xw_3_0"/>
      <w:bookmarkStart w:id="114" w:name="Tc_0EwJFuIhp0ulJwc3d0w0vg_2_5"/>
      <w:bookmarkStart w:id="115" w:name="Tc_OrhqX3dwwkipLuqjtaAqYg_2_2"/>
      <w:bookmarkStart w:id="116" w:name="Tc_uBugD-G_g0qSmjp0C6obdg_1_5"/>
      <w:bookmarkStart w:id="117" w:name="Tc_LpJSyJ3DLUqgDQQIcT5Jng_1_2"/>
      <w:bookmarkStart w:id="118" w:name="_41d33600_14ce_4518_a32d_c92244d6600b"/>
      <w:bookmarkStart w:id="119" w:name="Tc_qdaAazyPQkOYIztdlJITIg_46_5"/>
      <w:bookmarkStart w:id="120" w:name="Tc_Qntz9I-lf0ON4qdyApbfdQ_46_2"/>
      <w:bookmarkStart w:id="121" w:name="Tc_nU_4f67HMEGDDBbhQF_WJw_46_0"/>
      <w:bookmarkStart w:id="122" w:name="Tc_Tx1e8z6BF0Kxe6KTXBg5cw_45_0"/>
      <w:bookmarkStart w:id="123" w:name="Tc__d-Vu_1t2Uqyt9kM8ZEphQ_44_3"/>
      <w:bookmarkStart w:id="124" w:name="Tc_p1sQb6w0q0uKAZxQVYfhrA_44_0"/>
      <w:bookmarkStart w:id="125" w:name="Tc_j2NEBhMki0aUngXQHX4Tgw_43_0"/>
      <w:bookmarkStart w:id="126" w:name="Tc_RMkGFav7KEqxHolK6Fms7A_42_0"/>
      <w:bookmarkStart w:id="127" w:name="Tc_XKcxxR5oI06_OBNtD15kFA_41_0"/>
      <w:bookmarkStart w:id="128" w:name="_9a6b5006_b5f0_4afd_881a_b5252250741a_3"/>
      <w:bookmarkStart w:id="129" w:name="_9a6b5006_b5f0_4afd_881a_b5252250741a_2"/>
      <w:bookmarkStart w:id="130" w:name="_9a6b5006_b5f0_4afd_881a_b5252250741a"/>
      <w:bookmarkStart w:id="131" w:name="Tc_HNSs0i3hukGQOBobP-CdFQ_40_0"/>
      <w:bookmarkStart w:id="132" w:name="Tc_Cxp3smAaskS8m7U_b_vW0Q_39_0"/>
      <w:bookmarkStart w:id="133" w:name="Tc_nMp_dNaN3Ee-ZsyzTee56Q_38_0"/>
      <w:bookmarkStart w:id="134" w:name="Tc_I0hD-Zu7T0KaQfDqM6BErw_37_0"/>
      <w:bookmarkStart w:id="135" w:name="Tc_CBYgGpDSv0mdONOVbRN8Yw_36_0"/>
      <w:bookmarkStart w:id="136" w:name="Tc_MAkcUKrp50WkWYUZx-94Iw_35_0"/>
      <w:bookmarkStart w:id="137" w:name="Tc_UHz2qKHSkku3aaNEyPUzJg_34_0"/>
      <w:bookmarkStart w:id="138" w:name="Tc_liNd4TDzhEy-NiRXQdKfMw_33_0"/>
      <w:bookmarkStart w:id="139" w:name="Tc_7XTytgpT1UmimUpv3ynOZQ_32_0"/>
      <w:bookmarkStart w:id="140" w:name="Tc_LdkK2cdRcUm5ApdDLWS_wQ_31_0"/>
      <w:bookmarkStart w:id="141" w:name="Tc_3Aialqxq9EmZgtzw4ULHpA_30_0"/>
      <w:bookmarkStart w:id="142" w:name="Tc_5elNdSRozkaq4PkX4GiurA_29_0"/>
      <w:bookmarkStart w:id="143" w:name="Tc_cwYkkz_5jUyjCITzDGlpbA_28_0"/>
      <w:bookmarkStart w:id="144" w:name="Tc_0vx5Dqft6EKwqUWstPCY1Q_27_0"/>
      <w:bookmarkStart w:id="145" w:name="Tc_34j-jaeNPk2ajD3yWL4F2g_26_6"/>
      <w:bookmarkStart w:id="146" w:name="Tc_Gb4NjOYZm02ziyZd9mtyIA_26_0"/>
      <w:bookmarkStart w:id="147" w:name="Tc_GP4lD-3oVEqK7KIsWQeu6g_25_0"/>
      <w:bookmarkStart w:id="148" w:name="Tc_p3T4m1XrLEiJ0o_-fBb9Lg_24_0"/>
      <w:bookmarkStart w:id="149" w:name="Tc_yezzVfpigUWienrlzebLRA_23_0"/>
      <w:bookmarkStart w:id="150" w:name="Tc_L-sObJvs7UyUJacWV_WSKw_22_0"/>
      <w:bookmarkStart w:id="151" w:name="Tc_KTR6M3ODukOA7UITvjWnXA_21_5"/>
      <w:bookmarkStart w:id="152" w:name="Tc_rHHTnT9fDEKoyPYgwf6YvA_21_2"/>
      <w:bookmarkStart w:id="153" w:name="Tc_rRqA8DmNaU-lgX1R-ltIJg_21_0"/>
      <w:bookmarkStart w:id="154" w:name="Tc_JLgi02wTqkG37oZABzjS6A_20_0"/>
      <w:bookmarkStart w:id="155" w:name="Tc_ue45txkKQkOCrvNShTqt6w_19_0"/>
      <w:bookmarkStart w:id="156" w:name="Tc_Y03m9Lo0g0eqTEWEXFd2Vw_18_5"/>
      <w:bookmarkStart w:id="157" w:name="Tc_oEv4x7gyvUafFadU2BtLsQ_18_2"/>
      <w:bookmarkStart w:id="158" w:name="Tc_xf_GsSW_UkqcxLyJvBaimQ_18_0"/>
      <w:bookmarkStart w:id="159" w:name="Tc_IwJOP9jajk6NUzLHJTyayA_17_0"/>
      <w:bookmarkStart w:id="160" w:name="Tc_-lkapDVO6UCT2ZG-Wsr9Aw_16_3"/>
      <w:bookmarkStart w:id="161" w:name="Tc_JMPnPlFXSUKi8BplmB4S_Q_16_0"/>
      <w:bookmarkStart w:id="162" w:name="Tc_xB5lpXjW9EeeFxea_Sfq5A_15_0"/>
      <w:bookmarkStart w:id="163" w:name="Tc_966CGIHiFUGypbrhF3EAyg_14_0"/>
      <w:bookmarkStart w:id="164" w:name="Tc_eu8C7gr_OEu76BAeUkc_bw_13_0"/>
      <w:bookmarkStart w:id="165" w:name="Tc_cggYANz0uUm-05V3iXWMfA_12_0"/>
      <w:bookmarkStart w:id="166" w:name="Tc_n4VEU_8EgEGZIuCLFI5Fug_11_0"/>
      <w:bookmarkStart w:id="167" w:name="Tc_DZIUyVRWj0ew4tUsx10RxQ_10_0"/>
      <w:bookmarkStart w:id="168" w:name="Tc_waLDh7dlhkanahxyfVWtIg_9_3"/>
      <w:bookmarkStart w:id="169" w:name="Tc_iN3iA54ta0K_EwW1KKfs8A_9_0"/>
      <w:bookmarkStart w:id="170" w:name="Tc_EF6ocSf1Z0WXdN1pkfpYMA_8_0"/>
      <w:bookmarkStart w:id="171" w:name="Tc_Yd2uivlwiEiY0ZiQ7qQA0w_7_0"/>
      <w:bookmarkStart w:id="172" w:name="Tc_6NolO55d8UWWG_b7heWVuA_6_0"/>
      <w:bookmarkStart w:id="173" w:name="Tc_4-5iZ99ioUmzFaJV1Xr0jw_5_5"/>
      <w:bookmarkStart w:id="174" w:name="Tc_aTthSNPWZkSRlJvRZ_YO0w_5_2"/>
      <w:bookmarkStart w:id="175" w:name="Tc_SXztCLcHkEW9tnklDtstkQ_5_0"/>
      <w:bookmarkStart w:id="176" w:name="Tc_QbhzU8nX4EqOiVsoYXerVQ_4_0"/>
      <w:bookmarkStart w:id="177" w:name="Tc_cCnfVwVboEevdBPo4sH-xw_3_0"/>
      <w:bookmarkStart w:id="178" w:name="Tc_0EwJFuIhp0ulJwc3d0w0vg_2_5"/>
      <w:bookmarkStart w:id="179" w:name="Tc_OrhqX3dwwkipLuqjtaAqYg_2_2"/>
      <w:bookmarkStart w:id="180" w:name="Tc_uBugD-G_g0qSmjp0C6obdg_1_5"/>
      <w:bookmarkStart w:id="181" w:name="Tc_LpJSyJ3DLUqgDQQIcT5Jng_1_2"/>
      <w:bookmarkStart w:id="182" w:name="_41d33600_14ce_4518_a32d_c92244d6600b"/>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tbl>
      <w:tblPr>
        <w:tblW w:w="10205" w:type="dxa"/>
        <w:jc w:val="left"/>
        <w:tblInd w:w="0" w:type="dxa"/>
        <w:tblLayout w:type="fixed"/>
        <w:tblCellMar>
          <w:top w:w="0" w:type="dxa"/>
          <w:left w:w="0" w:type="dxa"/>
          <w:bottom w:w="0" w:type="dxa"/>
          <w:right w:w="0" w:type="dxa"/>
        </w:tblCellMar>
      </w:tblPr>
      <w:tblGrid>
        <w:gridCol w:w="7316"/>
        <w:gridCol w:w="326"/>
        <w:gridCol w:w="246"/>
        <w:gridCol w:w="871"/>
        <w:gridCol w:w="326"/>
        <w:gridCol w:w="220"/>
        <w:gridCol w:w="900"/>
      </w:tblGrid>
      <w:tr>
        <w:trPr/>
        <w:tc>
          <w:tcPr>
            <w:tcW w:w="7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645660" cy="175260"/>
                      <wp:effectExtent l="0" t="0" r="0" b="0"/>
                      <wp:wrapNone/>
                      <wp:docPr id="53" name="Frame53"/>
                      <a:graphic xmlns:a="http://schemas.openxmlformats.org/drawingml/2006/main">
                        <a:graphicData uri="http://schemas.microsoft.com/office/word/2010/wordprocessingShape">
                          <wps:wsp>
                            <wps:cNvSpPr txBox="1"/>
                            <wps:spPr>
                              <a:xfrm>
                                <a:off x="0" y="0"/>
                                <a:ext cx="464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56210" cy="175260"/>
                      <wp:effectExtent l="0" t="0" r="0" b="0"/>
                      <wp:wrapNone/>
                      <wp:docPr id="55" name="Frame55"/>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53085" cy="175260"/>
                      <wp:effectExtent l="0" t="0" r="0" b="0"/>
                      <wp:wrapNone/>
                      <wp:docPr id="56" name="Frame5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9700" cy="175260"/>
                      <wp:effectExtent l="0" t="0" r="0" b="0"/>
                      <wp:wrapNone/>
                      <wp:docPr id="58" name="Frame58"/>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71500" cy="175260"/>
                      <wp:effectExtent l="0" t="0" r="0" b="0"/>
                      <wp:wrapNone/>
                      <wp:docPr id="59" name="Frame59"/>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w:t>
            </w:r>
          </w:p>
        </w:tc>
        <w:tc>
          <w:tcPr>
            <w:tcW w:w="326"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r>
      <w:tr>
        <w:trPr/>
        <w:tc>
          <w:tcPr>
            <w:tcW w:w="7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  </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13,815</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20,493</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and other receivables, net</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9,622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10,084</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2,039</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2,442</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3,653</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3,662</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receivable</w:t>
            </w:r>
          </w:p>
        </w:tc>
        <w:tc>
          <w:tcPr>
            <w:tcW w:w="326" w:type="dxa"/>
            <w:tcBorders/>
            <w:shd w:fill="CCEEFF" w:val="clear"/>
            <w:vAlign w:val="center"/>
          </w:tcPr>
          <w:p>
            <w:pPr>
              <w:pStyle w:val="TableContents"/>
              <w:bidi w:val="0"/>
              <w:spacing w:before="0" w:after="0"/>
              <w:ind w:left="0" w:right="0" w:hanging="0"/>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768</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assets</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29,129</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37,449</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82,187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78,644</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held under finance lease, net</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1,434</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1,532</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held under operating leases, net ("ROU asset")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166,697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165,584</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248,674</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248,674</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Trademarks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61,888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61,888</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assets</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512</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3,019</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2,935</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593,028</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597,218</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pPr>
            <w:r>
              <w:rPr/>
              <w:t>  </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pPr>
            <w:r>
              <w:rPr/>
              <w:t>  </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obligations under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obligations under operating leases</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19,425</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19,995</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10,087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12,741</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salaries and vacation</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7,253</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8,873</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insurance</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11,557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11,120</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income taxes payable</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5,622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pPr>
            <w:r>
              <w:rPr/>
              <w:t>—</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income tax receivable agreement payable</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expenses and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14,975</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15,120</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liabilities</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69,599</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68,513</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Revolver loan</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80,000</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66,000</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Obligations under finance leases, net of current portion</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1,626</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Obligations under operating leases, net of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166,864</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165,149</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taxes</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9,270</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8,517</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receivable agreement payable, net of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454</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409</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6,627</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5,856</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334,356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316,070</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Commitments and contingencies (Note 7)</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pPr>
            <w:r>
              <w:rPr/>
              <w:t>  </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pPr>
            <w:r>
              <w:rPr/>
              <w:t>  </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$0.01 par value, 100,000,000 shares authorized; 100,000 shares designated as Series A Preferred Stock; none issued or outstanding</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Common stock, $0.01</w:t>
            </w:r>
            <w:r>
              <w:rPr>
                <w:rFonts w:ascii="Times New Roman;Times;serif" w:hAnsi="Times New Roman;Times;serif"/>
                <w:sz w:val="20"/>
              </w:rPr>
              <w:t xml:space="preserve"> </w:t>
            </w:r>
            <w:r>
              <w:rPr>
                <w:rFonts w:ascii="Times New Roman;Times;serif" w:hAnsi="Times New Roman;Times;serif"/>
                <w:sz w:val="18"/>
              </w:rPr>
              <w:t>par value, 200,000,000</w:t>
            </w:r>
            <w:r>
              <w:rPr>
                <w:rFonts w:ascii="Times New Roman;Times;serif" w:hAnsi="Times New Roman;Times;serif"/>
                <w:sz w:val="20"/>
              </w:rPr>
              <w:t xml:space="preserve"> </w:t>
            </w:r>
            <w:r>
              <w:rPr>
                <w:rFonts w:ascii="Times New Roman;Times;serif" w:hAnsi="Times New Roman;Times;serif"/>
                <w:sz w:val="18"/>
              </w:rPr>
              <w:t>shares authorized; 32,957,470</w:t>
            </w:r>
            <w:r>
              <w:rPr>
                <w:rFonts w:ascii="Times New Roman;Times;serif" w:hAnsi="Times New Roman;Times;serif"/>
                <w:sz w:val="20"/>
              </w:rPr>
              <w:t xml:space="preserve"> </w:t>
            </w:r>
            <w:r>
              <w:rPr>
                <w:rFonts w:ascii="Times New Roman;Times;serif" w:hAnsi="Times New Roman;Times;serif"/>
                <w:sz w:val="18"/>
              </w:rPr>
              <w:t>and 37,008,061</w:t>
            </w:r>
            <w:r>
              <w:rPr>
                <w:rFonts w:ascii="Times New Roman;Times;serif" w:hAnsi="Times New Roman;Times;serif"/>
                <w:sz w:val="20"/>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as of September 27, 2023 and December 28, 2022,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248,732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292,244</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 (accumulated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9,611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(11,592)</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income</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258,672</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281,148</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593,028</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0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597,218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83" w:name="_ae1f5504_6654_49d0_ad43_ec79abb31e43"/>
      <w:bookmarkEnd w:id="183"/>
      <w:r>
        <w:rPr>
          <w:rFonts w:ascii="Times New Roman;Times;serif" w:hAnsi="Times New Roman;Times;serif"/>
          <w:b/>
          <w:sz w:val="20"/>
        </w:rPr>
        <w:t>EL POLLO LOCO HOLDINGS, INC.</w:t>
      </w:r>
    </w:p>
    <w:p>
      <w:pPr>
        <w:pStyle w:val="TextBody"/>
        <w:bidi w:val="0"/>
        <w:spacing w:before="0" w:after="120"/>
        <w:ind w:left="0" w:right="0" w:hanging="0"/>
        <w:jc w:val="center"/>
        <w:rPr>
          <w:rFonts w:ascii="Times New Roman;Times;serif" w:hAnsi="Times New Roman;Times;serif"/>
          <w:b/>
          <w:sz w:val="20"/>
        </w:rPr>
      </w:pPr>
      <w:bookmarkStart w:id="184" w:name="CONDENSEDCONSOLIDATEDSTATEMENTSOFINCOMEU"/>
      <w:bookmarkEnd w:id="184"/>
      <w:r>
        <w:rPr>
          <w:rFonts w:ascii="Times New Roman;Times;serif" w:hAnsi="Times New Roman;Times;serif"/>
          <w:b/>
          <w:sz w:val="20"/>
        </w:rPr>
        <w:t>CONDENSED CONSOLIDATED STATEMENTS OF INCOME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85" w:name="Tc_xKBt_1efA0ecUJi4pH-eQQ_33_0"/>
      <w:bookmarkStart w:id="186" w:name="Tc_F9AzxhiRmUOLCCJSc7rw0g_32_0"/>
      <w:bookmarkStart w:id="187" w:name="Tc_-0DuV0LC8USEDWW3ZSOdvg_31_0"/>
      <w:bookmarkStart w:id="188" w:name="Tc_mrFtGpEA2kKxsx7CqBROpw_30_11"/>
      <w:bookmarkStart w:id="189" w:name="Tc_tNKZ-LiUNEqxnVcgpFahTg_30_8"/>
      <w:bookmarkStart w:id="190" w:name="Tc_DwmSs76EzEiw0DIS4eb8NQ_30_5"/>
      <w:bookmarkStart w:id="191" w:name="Tc_IO7RKdwMS0GRJsJciRpt0Q_30_2"/>
      <w:bookmarkStart w:id="192" w:name="Tc_wDRBTEBtTU2QBfaq6KeonA_30_0"/>
      <w:bookmarkStart w:id="193" w:name="Tc_55XpyhVWcUy1b9OxFZr7Mg_29_11"/>
      <w:bookmarkStart w:id="194" w:name="Tc_a8EspP0AGEOJ-un2ZDnYFQ_29_8"/>
      <w:bookmarkStart w:id="195" w:name="Tc_zXCW6vd4JkePu83LjVtg1g_29_5"/>
      <w:bookmarkStart w:id="196" w:name="Tc_fxWkPwo_QkaC3VHORcHkeA_29_2"/>
      <w:bookmarkStart w:id="197" w:name="Tc_DSD23sJ3zkGSkl3lEV2EWw_29_0"/>
      <w:bookmarkStart w:id="198" w:name="Tc_9MyvwHBFqkiRvNEQNRBwMA_28_0"/>
      <w:bookmarkStart w:id="199" w:name="Tc_uM4PGoQ99UioNpZKWKRn4w_27_11"/>
      <w:bookmarkStart w:id="200" w:name="Tc_pqrBIRKpuEm2Vm-gpHirsg_27_8"/>
      <w:bookmarkStart w:id="201" w:name="Tc_dsjwip2B5k61zOZBNJcMAg_27_5"/>
      <w:bookmarkStart w:id="202" w:name="Tc_8Ayw0SYaZkGd2yJYhY-9NA_27_2"/>
      <w:bookmarkStart w:id="203" w:name="Tc_uDoCIVYVJ0W4mdM5neUOnw_27_0"/>
      <w:bookmarkStart w:id="204" w:name="Tc_foRZ3nVBv0mRAdR8KjeGjQ_26_0"/>
      <w:bookmarkStart w:id="205" w:name="Tc_bKbu1T-li0eFkeKSe0p9Yg_25_0"/>
      <w:bookmarkStart w:id="206" w:name="Tc_0P8B6mn6hEqnQEvVJKvn_w_24_0"/>
      <w:bookmarkStart w:id="207" w:name="Tc_mR0C10f0H0eIWfj1pXHceA_23_0"/>
      <w:bookmarkStart w:id="208" w:name="Tc_E9iCyyazC0eZ5kSV2YuD0Q_22_0"/>
      <w:bookmarkStart w:id="209" w:name="Tc_N8gkHNcXdk6qIzOa-s269g_21_0"/>
      <w:bookmarkStart w:id="210" w:name="Tc_NukGmmoZYUOit7JSUuuL9w_20_0"/>
      <w:bookmarkStart w:id="211" w:name="Tc_VjWwvdltTUmJw3r4y0tYfg_19_12"/>
      <w:bookmarkStart w:id="212" w:name="Tc_ufdsXXIdc0-Sxu3tOGkoIw_19_6"/>
      <w:bookmarkStart w:id="213" w:name="Tc__oaCwhYAvkiWCE-3fMiZVg_19_0"/>
      <w:bookmarkStart w:id="214" w:name="Tc_42eswAe8UEqyM9P_PA0quw_18_12"/>
      <w:bookmarkStart w:id="215" w:name="Tc_drQ1aAyFekCaRnqGS8lU8w_18_6"/>
      <w:bookmarkStart w:id="216" w:name="Tc_dhBEzo4BRUWS6-yjjWGSGg_18_3"/>
      <w:bookmarkStart w:id="217" w:name="Tc_B2ADWmcpHEKzEMfmTtgv0A_18_0"/>
      <w:bookmarkStart w:id="218" w:name="Tc_fWmBUZn11U6yRdCotufezQ_17_0"/>
      <w:bookmarkStart w:id="219" w:name="Tc_5przVR_mukylOe9Oqe_UEg_16_0"/>
      <w:bookmarkStart w:id="220" w:name="Tc_n1c6tzRlGkmbjMk6HdytQg_15_0"/>
      <w:bookmarkStart w:id="221" w:name="Tc_RdwTxeuQIkyZtJFg_8C-qg_14_0"/>
      <w:bookmarkStart w:id="222" w:name="Tc_xM-3_TnufEikDsSWCtYCDg_13_0"/>
      <w:bookmarkStart w:id="223" w:name="Tc_JjAFIc26OkmT0sBi5OOGVw_12_12"/>
      <w:bookmarkStart w:id="224" w:name="Tc_PN6aH5RNmEOjKhqZA61AXw_12_6"/>
      <w:bookmarkStart w:id="225" w:name="Tc_7ebUyH9fRka44I0TQOi2zg_12_3"/>
      <w:bookmarkStart w:id="226" w:name="Tc_B6QuQLlwfU-iu5N5VAJHuQ_12_0"/>
      <w:bookmarkStart w:id="227" w:name="Tc_N_fOtF7sO0ut2KtXU0A_rw_11_0"/>
      <w:bookmarkStart w:id="228" w:name="Tc_lsLebRYkO0yXXHBxB8a-lA_10_0"/>
      <w:bookmarkStart w:id="229" w:name="Tc_8HOaiqxcdUi2opghXLGnEw_9_0"/>
      <w:bookmarkStart w:id="230" w:name="Tc_GIZduvu3rkuTGT5GwkG9fw_8_0"/>
      <w:bookmarkStart w:id="231" w:name="Tc__Ag_b_QNuU-WLnKZirG05g_7_0"/>
      <w:bookmarkStart w:id="232" w:name="Tc_5M66o6A1XkGxfyOkvupU8g_6_0"/>
      <w:bookmarkStart w:id="233" w:name="Tc_ToiM8wNoNki3o9TcXZR1qA_5_0"/>
      <w:bookmarkStart w:id="234" w:name="Tc_wSsRy6lP6kejv_5wm--M6Q_4_11"/>
      <w:bookmarkStart w:id="235" w:name="Tc__0KzmaebIEqGbtmEfY8P0g_4_8"/>
      <w:bookmarkStart w:id="236" w:name="Tc_ZakVV1kY20eSb2YCAgVHYA_4_5"/>
      <w:bookmarkStart w:id="237" w:name="Tc_4s04v61nVEOUOFdjxJUiTA_4_2"/>
      <w:bookmarkStart w:id="238" w:name="Tc_wgCrJ2pKGk2tOStNENuJ-Q_4_0"/>
      <w:bookmarkStart w:id="239" w:name="Tc_gsZQ5lsoLkySDx7chbVikg_3_0"/>
      <w:bookmarkStart w:id="240" w:name="Tc_sFuP7uNpuk2CHidNsVoAAg_2_11"/>
      <w:bookmarkStart w:id="241" w:name="Tc_aAxEA9mO0k2-aVg4JRk8Jg_2_8"/>
      <w:bookmarkStart w:id="242" w:name="Tc_-Ujm9WNy_U24aOa4rqaxpQ_2_5"/>
      <w:bookmarkStart w:id="243" w:name="Tc_TBcH12B77E6heXaMa1Ufwg_2_2"/>
      <w:bookmarkStart w:id="244" w:name="Tc_1UCJ-nUZXEuGFYGg7oFPjw_1_8"/>
      <w:bookmarkStart w:id="245" w:name="Tc_KG2TwgBagk2ecD47QyP4Bw_1_2"/>
      <w:bookmarkStart w:id="246" w:name="_0e6641e6_d489_442e_9cda_5e48c2ed0862"/>
      <w:bookmarkStart w:id="247" w:name="Tc_xKBt_1efA0ecUJi4pH-eQQ_33_0"/>
      <w:bookmarkStart w:id="248" w:name="Tc_F9AzxhiRmUOLCCJSc7rw0g_32_0"/>
      <w:bookmarkStart w:id="249" w:name="Tc_-0DuV0LC8USEDWW3ZSOdvg_31_0"/>
      <w:bookmarkStart w:id="250" w:name="Tc_mrFtGpEA2kKxsx7CqBROpw_30_11"/>
      <w:bookmarkStart w:id="251" w:name="Tc_tNKZ-LiUNEqxnVcgpFahTg_30_8"/>
      <w:bookmarkStart w:id="252" w:name="Tc_DwmSs76EzEiw0DIS4eb8NQ_30_5"/>
      <w:bookmarkStart w:id="253" w:name="Tc_IO7RKdwMS0GRJsJciRpt0Q_30_2"/>
      <w:bookmarkStart w:id="254" w:name="Tc_wDRBTEBtTU2QBfaq6KeonA_30_0"/>
      <w:bookmarkStart w:id="255" w:name="Tc_55XpyhVWcUy1b9OxFZr7Mg_29_11"/>
      <w:bookmarkStart w:id="256" w:name="Tc_a8EspP0AGEOJ-un2ZDnYFQ_29_8"/>
      <w:bookmarkStart w:id="257" w:name="Tc_zXCW6vd4JkePu83LjVtg1g_29_5"/>
      <w:bookmarkStart w:id="258" w:name="Tc_fxWkPwo_QkaC3VHORcHkeA_29_2"/>
      <w:bookmarkStart w:id="259" w:name="Tc_DSD23sJ3zkGSkl3lEV2EWw_29_0"/>
      <w:bookmarkStart w:id="260" w:name="Tc_9MyvwHBFqkiRvNEQNRBwMA_28_0"/>
      <w:bookmarkStart w:id="261" w:name="Tc_uM4PGoQ99UioNpZKWKRn4w_27_11"/>
      <w:bookmarkStart w:id="262" w:name="Tc_pqrBIRKpuEm2Vm-gpHirsg_27_8"/>
      <w:bookmarkStart w:id="263" w:name="Tc_dsjwip2B5k61zOZBNJcMAg_27_5"/>
      <w:bookmarkStart w:id="264" w:name="Tc_8Ayw0SYaZkGd2yJYhY-9NA_27_2"/>
      <w:bookmarkStart w:id="265" w:name="Tc_uDoCIVYVJ0W4mdM5neUOnw_27_0"/>
      <w:bookmarkStart w:id="266" w:name="Tc_foRZ3nVBv0mRAdR8KjeGjQ_26_0"/>
      <w:bookmarkStart w:id="267" w:name="Tc_bKbu1T-li0eFkeKSe0p9Yg_25_0"/>
      <w:bookmarkStart w:id="268" w:name="Tc_0P8B6mn6hEqnQEvVJKvn_w_24_0"/>
      <w:bookmarkStart w:id="269" w:name="Tc_mR0C10f0H0eIWfj1pXHceA_23_0"/>
      <w:bookmarkStart w:id="270" w:name="Tc_E9iCyyazC0eZ5kSV2YuD0Q_22_0"/>
      <w:bookmarkStart w:id="271" w:name="Tc_N8gkHNcXdk6qIzOa-s269g_21_0"/>
      <w:bookmarkStart w:id="272" w:name="Tc_NukGmmoZYUOit7JSUuuL9w_20_0"/>
      <w:bookmarkStart w:id="273" w:name="Tc_VjWwvdltTUmJw3r4y0tYfg_19_12"/>
      <w:bookmarkStart w:id="274" w:name="Tc_ufdsXXIdc0-Sxu3tOGkoIw_19_6"/>
      <w:bookmarkStart w:id="275" w:name="Tc__oaCwhYAvkiWCE-3fMiZVg_19_0"/>
      <w:bookmarkStart w:id="276" w:name="Tc_42eswAe8UEqyM9P_PA0quw_18_12"/>
      <w:bookmarkStart w:id="277" w:name="Tc_drQ1aAyFekCaRnqGS8lU8w_18_6"/>
      <w:bookmarkStart w:id="278" w:name="Tc_dhBEzo4BRUWS6-yjjWGSGg_18_3"/>
      <w:bookmarkStart w:id="279" w:name="Tc_B2ADWmcpHEKzEMfmTtgv0A_18_0"/>
      <w:bookmarkStart w:id="280" w:name="Tc_fWmBUZn11U6yRdCotufezQ_17_0"/>
      <w:bookmarkStart w:id="281" w:name="Tc_5przVR_mukylOe9Oqe_UEg_16_0"/>
      <w:bookmarkStart w:id="282" w:name="Tc_n1c6tzRlGkmbjMk6HdytQg_15_0"/>
      <w:bookmarkStart w:id="283" w:name="Tc_RdwTxeuQIkyZtJFg_8C-qg_14_0"/>
      <w:bookmarkStart w:id="284" w:name="Tc_xM-3_TnufEikDsSWCtYCDg_13_0"/>
      <w:bookmarkStart w:id="285" w:name="Tc_JjAFIc26OkmT0sBi5OOGVw_12_12"/>
      <w:bookmarkStart w:id="286" w:name="Tc_PN6aH5RNmEOjKhqZA61AXw_12_6"/>
      <w:bookmarkStart w:id="287" w:name="Tc_7ebUyH9fRka44I0TQOi2zg_12_3"/>
      <w:bookmarkStart w:id="288" w:name="Tc_B6QuQLlwfU-iu5N5VAJHuQ_12_0"/>
      <w:bookmarkStart w:id="289" w:name="Tc_N_fOtF7sO0ut2KtXU0A_rw_11_0"/>
      <w:bookmarkStart w:id="290" w:name="Tc_lsLebRYkO0yXXHBxB8a-lA_10_0"/>
      <w:bookmarkStart w:id="291" w:name="Tc_8HOaiqxcdUi2opghXLGnEw_9_0"/>
      <w:bookmarkStart w:id="292" w:name="Tc_GIZduvu3rkuTGT5GwkG9fw_8_0"/>
      <w:bookmarkStart w:id="293" w:name="Tc__Ag_b_QNuU-WLnKZirG05g_7_0"/>
      <w:bookmarkStart w:id="294" w:name="Tc_5M66o6A1XkGxfyOkvupU8g_6_0"/>
      <w:bookmarkStart w:id="295" w:name="Tc_ToiM8wNoNki3o9TcXZR1qA_5_0"/>
      <w:bookmarkStart w:id="296" w:name="Tc_wSsRy6lP6kejv_5wm--M6Q_4_11"/>
      <w:bookmarkStart w:id="297" w:name="Tc__0KzmaebIEqGbtmEfY8P0g_4_8"/>
      <w:bookmarkStart w:id="298" w:name="Tc_ZakVV1kY20eSb2YCAgVHYA_4_5"/>
      <w:bookmarkStart w:id="299" w:name="Tc_4s04v61nVEOUOFdjxJUiTA_4_2"/>
      <w:bookmarkStart w:id="300" w:name="Tc_wgCrJ2pKGk2tOStNENuJ-Q_4_0"/>
      <w:bookmarkStart w:id="301" w:name="Tc_gsZQ5lsoLkySDx7chbVikg_3_0"/>
      <w:bookmarkStart w:id="302" w:name="Tc_sFuP7uNpuk2CHidNsVoAAg_2_11"/>
      <w:bookmarkStart w:id="303" w:name="Tc_aAxEA9mO0k2-aVg4JRk8Jg_2_8"/>
      <w:bookmarkStart w:id="304" w:name="Tc_-Ujm9WNy_U24aOa4rqaxpQ_2_5"/>
      <w:bookmarkStart w:id="305" w:name="Tc_TBcH12B77E6heXaMa1Ufwg_2_2"/>
      <w:bookmarkStart w:id="306" w:name="Tc_1UCJ-nUZXEuGFYGg7oFPjw_1_8"/>
      <w:bookmarkStart w:id="307" w:name="Tc_KG2TwgBagk2ecD47QyP4Bw_1_2"/>
      <w:bookmarkStart w:id="308" w:name="_0e6641e6_d489_442e_9cda_5e48c2ed0862"/>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tbl>
      <w:tblPr>
        <w:tblW w:w="10205" w:type="dxa"/>
        <w:jc w:val="left"/>
        <w:tblInd w:w="0" w:type="dxa"/>
        <w:tblLayout w:type="fixed"/>
        <w:tblCellMar>
          <w:top w:w="0" w:type="dxa"/>
          <w:left w:w="0" w:type="dxa"/>
          <w:bottom w:w="0" w:type="dxa"/>
          <w:right w:w="0" w:type="dxa"/>
        </w:tblCellMar>
      </w:tblPr>
      <w:tblGrid>
        <w:gridCol w:w="2706"/>
        <w:gridCol w:w="326"/>
        <w:gridCol w:w="261"/>
        <w:gridCol w:w="1285"/>
        <w:gridCol w:w="146"/>
        <w:gridCol w:w="261"/>
        <w:gridCol w:w="1285"/>
        <w:gridCol w:w="326"/>
        <w:gridCol w:w="261"/>
        <w:gridCol w:w="1285"/>
        <w:gridCol w:w="146"/>
        <w:gridCol w:w="261"/>
        <w:gridCol w:w="1285"/>
        <w:gridCol w:w="371"/>
      </w:tblGrid>
      <w:tr>
        <w:trPr/>
        <w:tc>
          <w:tcPr>
            <w:tcW w:w="2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718310" cy="175260"/>
                      <wp:effectExtent l="0" t="0" r="0" b="0"/>
                      <wp:wrapNone/>
                      <wp:docPr id="60" name="Frame60"/>
                      <a:graphic xmlns:a="http://schemas.openxmlformats.org/drawingml/2006/main">
                        <a:graphicData uri="http://schemas.microsoft.com/office/word/2010/wordprocessingShape">
                          <wps:wsp>
                            <wps:cNvSpPr txBox="1"/>
                            <wps:spPr>
                              <a:xfrm>
                                <a:off x="0" y="0"/>
                                <a:ext cx="171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65735" cy="175260"/>
                      <wp:effectExtent l="0" t="0" r="0" b="0"/>
                      <wp:wrapNone/>
                      <wp:docPr id="62" name="Frame6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815975" cy="175260"/>
                      <wp:effectExtent l="0" t="0" r="0" b="0"/>
                      <wp:wrapNone/>
                      <wp:docPr id="63" name="Frame63"/>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92710" cy="175260"/>
                      <wp:effectExtent l="0" t="0" r="0" b="0"/>
                      <wp:wrapNone/>
                      <wp:docPr id="64" name="Frame6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65735" cy="175260"/>
                      <wp:effectExtent l="0" t="0" r="0" b="0"/>
                      <wp:wrapNone/>
                      <wp:docPr id="65" name="Frame65"/>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815975" cy="175260"/>
                      <wp:effectExtent l="0" t="0" r="0" b="0"/>
                      <wp:wrapNone/>
                      <wp:docPr id="66" name="Frame66"/>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65735" cy="175260"/>
                      <wp:effectExtent l="0" t="0" r="0" b="0"/>
                      <wp:wrapNone/>
                      <wp:docPr id="68" name="Frame6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815975" cy="175260"/>
                      <wp:effectExtent l="0" t="0" r="0" b="0"/>
                      <wp:wrapNone/>
                      <wp:docPr id="69" name="Frame69"/>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92710" cy="175260"/>
                      <wp:effectExtent l="0" t="0" r="0" b="0"/>
                      <wp:wrapNone/>
                      <wp:docPr id="70" name="Frame7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65735" cy="175260"/>
                      <wp:effectExtent l="0" t="0" r="0" b="0"/>
                      <wp:wrapNone/>
                      <wp:docPr id="71" name="Frame71"/>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815975" cy="175260"/>
                      <wp:effectExtent l="0" t="0" r="0" b="0"/>
                      <wp:wrapNone/>
                      <wp:docPr id="72" name="Frame72"/>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35585" cy="175260"/>
                      <wp:effectExtent l="0" t="0" r="0" b="0"/>
                      <wp:wrapNone/>
                      <wp:docPr id="73" name="Frame7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left"/>
              <w:rPr/>
            </w:pPr>
            <w:r>
              <w:rPr/>
              <w:t>    </w:t>
            </w:r>
          </w:p>
        </w:tc>
        <w:tc>
          <w:tcPr>
            <w:tcW w:w="32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371" w:type="dxa"/>
            <w:tcBorders/>
            <w:vAlign w:val="center"/>
          </w:tcPr>
          <w:p>
            <w:pPr>
              <w:pStyle w:val="TableContents"/>
              <w:bidi w:val="0"/>
              <w:spacing w:before="0" w:after="0"/>
              <w:ind w:left="0" w:right="0" w:hanging="0"/>
              <w:jc w:val="left"/>
              <w:rPr/>
            </w:pPr>
            <w:r>
              <w:rPr/>
              <w:t>    </w:t>
            </w:r>
          </w:p>
        </w:tc>
      </w:tr>
      <w:tr>
        <w:trPr/>
        <w:tc>
          <w:tcPr>
            <w:tcW w:w="2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4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4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71" w:type="dxa"/>
            <w:tcBorders/>
            <w:vAlign w:val="center"/>
          </w:tcPr>
          <w:p>
            <w:pPr>
              <w:pStyle w:val="TableContents"/>
              <w:bidi w:val="0"/>
              <w:spacing w:before="0" w:after="0"/>
              <w:ind w:left="0" w:right="0" w:hanging="0"/>
              <w:jc w:val="left"/>
              <w:rPr/>
            </w:pPr>
            <w:r>
              <w:rPr/>
              <w:t>​</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Company-operated restaurant revenue</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102,703</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103,174</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304,477</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303,585</w:t>
            </w:r>
          </w:p>
        </w:tc>
        <w:tc>
          <w:tcPr>
            <w:tcW w:w="371" w:type="dxa"/>
            <w:tcBorders/>
            <w:vAlign w:val="center"/>
          </w:tcPr>
          <w:p>
            <w:pPr>
              <w:pStyle w:val="TableContents"/>
              <w:bidi w:val="0"/>
              <w:spacing w:before="0" w:after="0"/>
              <w:ind w:left="0" w:right="0" w:hanging="0"/>
              <w:jc w:val="left"/>
              <w:rPr/>
            </w:pPr>
            <w:r>
              <w:rPr/>
              <w:t>​</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10,255</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9,543</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30,046</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28,862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7,441</w:t>
            </w:r>
          </w:p>
        </w:tc>
        <w:tc>
          <w:tcPr>
            <w:tcW w:w="1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7,161</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21,894</w:t>
            </w:r>
          </w:p>
        </w:tc>
        <w:tc>
          <w:tcPr>
            <w:tcW w:w="1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21,590</w:t>
            </w:r>
          </w:p>
        </w:tc>
        <w:tc>
          <w:tcPr>
            <w:tcW w:w="371" w:type="dxa"/>
            <w:tcBorders/>
            <w:vAlign w:val="center"/>
          </w:tcPr>
          <w:p>
            <w:pPr>
              <w:pStyle w:val="TableContents"/>
              <w:bidi w:val="0"/>
              <w:spacing w:before="0" w:after="0"/>
              <w:ind w:left="0" w:right="0" w:hanging="0"/>
              <w:jc w:val="left"/>
              <w:rPr/>
            </w:pPr>
            <w:r>
              <w:rPr/>
              <w:t>​</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120,399</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119,878</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356,417</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354,037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operations</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paper cost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27,552</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30,163</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82,928</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89,586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and related expenses</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33,092</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33,279</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96,910</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98,966</w:t>
            </w:r>
          </w:p>
        </w:tc>
        <w:tc>
          <w:tcPr>
            <w:tcW w:w="371" w:type="dxa"/>
            <w:tcBorders/>
            <w:vAlign w:val="center"/>
          </w:tcPr>
          <w:p>
            <w:pPr>
              <w:pStyle w:val="TableContents"/>
              <w:bidi w:val="0"/>
              <w:spacing w:before="0" w:after="0"/>
              <w:ind w:left="0" w:right="0" w:hanging="0"/>
              <w:jc w:val="left"/>
              <w:rPr/>
            </w:pPr>
            <w:r>
              <w:rPr/>
              <w:t>​</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and other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27,289</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26,920</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77,751</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76,597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recovery of insurance proceeds, lost profits, net</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1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 restaurant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87,933</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90,362</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257,438</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265,149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9,144</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9,855</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31,451</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29,488</w:t>
            </w:r>
          </w:p>
        </w:tc>
        <w:tc>
          <w:tcPr>
            <w:tcW w:w="371" w:type="dxa"/>
            <w:tcBorders/>
            <w:vAlign w:val="center"/>
          </w:tcPr>
          <w:p>
            <w:pPr>
              <w:pStyle w:val="TableContents"/>
              <w:bidi w:val="0"/>
              <w:spacing w:before="0" w:after="0"/>
              <w:ind w:left="0" w:right="0" w:hanging="0"/>
              <w:jc w:val="left"/>
              <w:rPr/>
            </w:pPr>
            <w:r>
              <w:rPr/>
              <w:t>​</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9,583</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9,027</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28,107</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3,946</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11,277</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10,745</w:t>
            </w:r>
          </w:p>
        </w:tc>
        <w:tc>
          <w:tcPr>
            <w:tcW w:w="371" w:type="dxa"/>
            <w:tcBorders/>
            <w:vAlign w:val="center"/>
          </w:tcPr>
          <w:p>
            <w:pPr>
              <w:pStyle w:val="TableContents"/>
              <w:bidi w:val="0"/>
              <w:spacing w:before="0" w:after="0"/>
              <w:ind w:left="0" w:right="0" w:hanging="0"/>
              <w:jc w:val="left"/>
              <w:rPr/>
            </w:pPr>
            <w:r>
              <w:rPr/>
              <w:t>​</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disposal of assets</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recovery of insurance proceeds, property, equipment and expenses</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restaurants</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(4,923)</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(5,034)</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1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w:t>
            </w:r>
          </w:p>
        </w:tc>
        <w:tc>
          <w:tcPr>
            <w:tcW w:w="1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371" w:type="dxa"/>
            <w:tcBorders/>
            <w:vAlign w:val="center"/>
          </w:tcPr>
          <w:p>
            <w:pPr>
              <w:pStyle w:val="TableContents"/>
              <w:bidi w:val="0"/>
              <w:spacing w:before="0" w:after="0"/>
              <w:ind w:left="0" w:right="0" w:hanging="0"/>
              <w:jc w:val="left"/>
              <w:rPr/>
            </w:pPr>
            <w:r>
              <w:rPr/>
              <w:t>​</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106,707</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113,014</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324,086</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333,424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13,692</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6,864</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32,331</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20,613</w:t>
            </w:r>
          </w:p>
        </w:tc>
        <w:tc>
          <w:tcPr>
            <w:tcW w:w="371" w:type="dxa"/>
            <w:tcBorders/>
            <w:vAlign w:val="center"/>
          </w:tcPr>
          <w:p>
            <w:pPr>
              <w:pStyle w:val="TableContents"/>
              <w:bidi w:val="0"/>
              <w:spacing w:before="0" w:after="0"/>
              <w:ind w:left="0" w:right="0" w:hanging="0"/>
              <w:jc w:val="left"/>
              <w:rPr/>
            </w:pPr>
            <w:r>
              <w:rPr/>
              <w:t>​</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3,362</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 agreement expense (income)</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1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1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71" w:type="dxa"/>
            <w:tcBorders/>
            <w:vAlign w:val="center"/>
          </w:tcPr>
          <w:p>
            <w:pPr>
              <w:pStyle w:val="TableContents"/>
              <w:bidi w:val="0"/>
              <w:spacing w:before="0" w:after="0"/>
              <w:ind w:left="0" w:right="0" w:hanging="0"/>
              <w:jc w:val="left"/>
              <w:rPr/>
            </w:pPr>
            <w:r>
              <w:rPr/>
              <w:t>​</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12,204</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6,785</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28,864</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2,975</w:t>
            </w:r>
          </w:p>
        </w:tc>
        <w:tc>
          <w:tcPr>
            <w:tcW w:w="1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7,661</w:t>
            </w:r>
          </w:p>
        </w:tc>
        <w:tc>
          <w:tcPr>
            <w:tcW w:w="1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5,736</w:t>
            </w:r>
          </w:p>
        </w:tc>
        <w:tc>
          <w:tcPr>
            <w:tcW w:w="371" w:type="dxa"/>
            <w:tcBorders/>
            <w:vAlign w:val="center"/>
          </w:tcPr>
          <w:p>
            <w:pPr>
              <w:pStyle w:val="TableContents"/>
              <w:bidi w:val="0"/>
              <w:spacing w:before="0" w:after="0"/>
              <w:ind w:left="0" w:right="0" w:hanging="0"/>
              <w:jc w:val="left"/>
              <w:rPr/>
            </w:pPr>
            <w:r>
              <w:rPr/>
              <w:t>​</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9,229</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5,009</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21,203</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per share</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0.61</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c>
          <w:tcPr>
            <w:tcW w:w="371" w:type="dxa"/>
            <w:tcBorders/>
            <w:vAlign w:val="center"/>
          </w:tcPr>
          <w:p>
            <w:pPr>
              <w:pStyle w:val="TableContents"/>
              <w:bidi w:val="0"/>
              <w:spacing w:before="0" w:after="0"/>
              <w:ind w:left="0" w:right="0" w:hanging="0"/>
              <w:jc w:val="left"/>
              <w:rPr/>
            </w:pPr>
            <w:r>
              <w:rPr/>
              <w:t>​</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Weighted-average shares used in computing net income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33,412,674</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36,402,899</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35,026,731</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36,329,938</w:t>
            </w:r>
          </w:p>
        </w:tc>
        <w:tc>
          <w:tcPr>
            <w:tcW w:w="371" w:type="dxa"/>
            <w:tcBorders/>
            <w:vAlign w:val="center"/>
          </w:tcPr>
          <w:p>
            <w:pPr>
              <w:pStyle w:val="TableContents"/>
              <w:bidi w:val="0"/>
              <w:spacing w:before="0" w:after="0"/>
              <w:ind w:left="0" w:right="0" w:hanging="0"/>
              <w:jc w:val="left"/>
              <w:rPr/>
            </w:pPr>
            <w:r>
              <w:rPr/>
              <w:t>​</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33,490,004</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36,507,050</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35,179,483</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36,491,624</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09" w:name="_95060020_f160_4067_a312_9d0b5f6f8f72"/>
      <w:bookmarkEnd w:id="309"/>
      <w:r>
        <w:rPr>
          <w:rFonts w:ascii="Times New Roman;Times;serif" w:hAnsi="Times New Roman;Times;serif"/>
          <w:b/>
          <w:sz w:val="20"/>
        </w:rPr>
        <w:t>EL POLLO LOCO HOLDINGS, INC.</w:t>
      </w:r>
    </w:p>
    <w:p>
      <w:pPr>
        <w:pStyle w:val="TextBody"/>
        <w:bidi w:val="0"/>
        <w:spacing w:before="0" w:after="120"/>
        <w:ind w:left="0" w:right="0" w:hanging="0"/>
        <w:jc w:val="center"/>
        <w:rPr>
          <w:rFonts w:ascii="Times New Roman;Times;serif" w:hAnsi="Times New Roman;Times;serif"/>
          <w:b/>
          <w:sz w:val="20"/>
        </w:rPr>
      </w:pPr>
      <w:bookmarkStart w:id="310" w:name="CONDENSEDCONSOLIDATEDSTATEMENTSOFCOMPREH"/>
      <w:bookmarkEnd w:id="310"/>
      <w:r>
        <w:rPr>
          <w:rFonts w:ascii="Times New Roman;Times;serif" w:hAnsi="Times New Roman;Times;serif"/>
          <w:b/>
          <w:sz w:val="20"/>
        </w:rPr>
        <w:t>CONDENSED CONSOLIDATED STATEMENTS OF COMPREHENSIVE INCOME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11" w:name="Tc_hQunAbfLOE-I1fvcdyppQA_10_11"/>
      <w:bookmarkStart w:id="312" w:name="Tc_kEE9iZ3QfkeOcw3l2dtBRA_10_8"/>
      <w:bookmarkStart w:id="313" w:name="Tc_LoULGXSEa0GTRd8WbTBSqg_10_5"/>
      <w:bookmarkStart w:id="314" w:name="Tc_xwDXVLBLD0e6N5ZrM5H94w_10_2"/>
      <w:bookmarkStart w:id="315" w:name="Tc_T3Vm1R_7g0iRFrAZvXIyOg_10_0"/>
      <w:bookmarkStart w:id="316" w:name="Tc_ZUUqfMVjjEqYcf086raG_w_9_3"/>
      <w:bookmarkStart w:id="317" w:name="Tc_X7TA2Bx1Q0qOxEMxUtG0hg_9_0"/>
      <w:bookmarkStart w:id="318" w:name="Tc_YZSff9F3XEe9zEB4cSjyNw_8_6"/>
      <w:bookmarkStart w:id="319" w:name="Tc_r3d9FocScEmhLCri4XLyPw_8_3"/>
      <w:bookmarkStart w:id="320" w:name="Tc_gf9ec4onP0inbC6lURmmeg_8_0"/>
      <w:bookmarkStart w:id="321" w:name="Tc_ZP9xXwwHF0S83O9Tq-761g_7_3"/>
      <w:bookmarkStart w:id="322" w:name="Tc_cPt79dxHtkWfQ65Ye3o6cw_7_0"/>
      <w:bookmarkStart w:id="323" w:name="Tc_Aywra3ZA3kuyYXqCHmU0Cw_6_9"/>
      <w:bookmarkStart w:id="324" w:name="Tc_KUkAp4Lm90Wb99Gq8QI26w_6_3"/>
      <w:bookmarkStart w:id="325" w:name="Tc_cegEufed-EiaQlLRjTp2Dg_6_0"/>
      <w:bookmarkStart w:id="326" w:name="Tc_uE_6i-vzd0WYi3-mVSZHJQ_5_0"/>
      <w:bookmarkStart w:id="327" w:name="Tc_ZPVkBVAolUu9RbXMcKJ2ew_4_0"/>
      <w:bookmarkStart w:id="328" w:name="Tc_YVr4RG0u-U6yStF7ZttBtw_3_11"/>
      <w:bookmarkStart w:id="329" w:name="Tc_OmW-XBpdH0mhL3RoXzQzHw_3_8"/>
      <w:bookmarkStart w:id="330" w:name="Tc_Kj4YcJf-KE650PHA2Mk88g_3_5"/>
      <w:bookmarkStart w:id="331" w:name="Tc_ARIOEcU34UiFtQUXXsPPvg_3_2"/>
      <w:bookmarkStart w:id="332" w:name="Tc_ZoEBZR7nUUarAsRKQ3HefA_3_0"/>
      <w:bookmarkStart w:id="333" w:name="Tc_BQFdYN4L80KDJ84v3Y6qWQ_2_11"/>
      <w:bookmarkStart w:id="334" w:name="Tc_aX1BtFtf10-fRhPpZFBXqg_2_8"/>
      <w:bookmarkStart w:id="335" w:name="Tc_TJXGWJ3Jt0a6jjpnxVzJIg_2_5"/>
      <w:bookmarkStart w:id="336" w:name="Tc_h69-ZNRLE0mQH5Yf7zNR5A_2_2"/>
      <w:bookmarkStart w:id="337" w:name="Tc_vl3EpStmFk2s-voC_A2_1A_1_8"/>
      <w:bookmarkStart w:id="338" w:name="Tc_hKE1ntSwZUCmso6Fl37O3Q_1_2"/>
      <w:bookmarkStart w:id="339" w:name="_ae623775_6d31_4a6d_8a99_0f28a4ce8f95"/>
      <w:bookmarkStart w:id="340" w:name="Tc_hQunAbfLOE-I1fvcdyppQA_10_11"/>
      <w:bookmarkStart w:id="341" w:name="Tc_kEE9iZ3QfkeOcw3l2dtBRA_10_8"/>
      <w:bookmarkStart w:id="342" w:name="Tc_LoULGXSEa0GTRd8WbTBSqg_10_5"/>
      <w:bookmarkStart w:id="343" w:name="Tc_xwDXVLBLD0e6N5ZrM5H94w_10_2"/>
      <w:bookmarkStart w:id="344" w:name="Tc_T3Vm1R_7g0iRFrAZvXIyOg_10_0"/>
      <w:bookmarkStart w:id="345" w:name="Tc_ZUUqfMVjjEqYcf086raG_w_9_3"/>
      <w:bookmarkStart w:id="346" w:name="Tc_X7TA2Bx1Q0qOxEMxUtG0hg_9_0"/>
      <w:bookmarkStart w:id="347" w:name="Tc_YZSff9F3XEe9zEB4cSjyNw_8_6"/>
      <w:bookmarkStart w:id="348" w:name="Tc_r3d9FocScEmhLCri4XLyPw_8_3"/>
      <w:bookmarkStart w:id="349" w:name="Tc_gf9ec4onP0inbC6lURmmeg_8_0"/>
      <w:bookmarkStart w:id="350" w:name="Tc_ZP9xXwwHF0S83O9Tq-761g_7_3"/>
      <w:bookmarkStart w:id="351" w:name="Tc_cPt79dxHtkWfQ65Ye3o6cw_7_0"/>
      <w:bookmarkStart w:id="352" w:name="Tc_Aywra3ZA3kuyYXqCHmU0Cw_6_9"/>
      <w:bookmarkStart w:id="353" w:name="Tc_KUkAp4Lm90Wb99Gq8QI26w_6_3"/>
      <w:bookmarkStart w:id="354" w:name="Tc_cegEufed-EiaQlLRjTp2Dg_6_0"/>
      <w:bookmarkStart w:id="355" w:name="Tc_uE_6i-vzd0WYi3-mVSZHJQ_5_0"/>
      <w:bookmarkStart w:id="356" w:name="Tc_ZPVkBVAolUu9RbXMcKJ2ew_4_0"/>
      <w:bookmarkStart w:id="357" w:name="Tc_YVr4RG0u-U6yStF7ZttBtw_3_11"/>
      <w:bookmarkStart w:id="358" w:name="Tc_OmW-XBpdH0mhL3RoXzQzHw_3_8"/>
      <w:bookmarkStart w:id="359" w:name="Tc_Kj4YcJf-KE650PHA2Mk88g_3_5"/>
      <w:bookmarkStart w:id="360" w:name="Tc_ARIOEcU34UiFtQUXXsPPvg_3_2"/>
      <w:bookmarkStart w:id="361" w:name="Tc_ZoEBZR7nUUarAsRKQ3HefA_3_0"/>
      <w:bookmarkStart w:id="362" w:name="Tc_BQFdYN4L80KDJ84v3Y6qWQ_2_11"/>
      <w:bookmarkStart w:id="363" w:name="Tc_aX1BtFtf10-fRhPpZFBXqg_2_8"/>
      <w:bookmarkStart w:id="364" w:name="Tc_TJXGWJ3Jt0a6jjpnxVzJIg_2_5"/>
      <w:bookmarkStart w:id="365" w:name="Tc_h69-ZNRLE0mQH5Yf7zNR5A_2_2"/>
      <w:bookmarkStart w:id="366" w:name="Tc_vl3EpStmFk2s-voC_A2_1A_1_8"/>
      <w:bookmarkStart w:id="367" w:name="Tc_hKE1ntSwZUCmso6Fl37O3Q_1_2"/>
      <w:bookmarkStart w:id="368" w:name="_ae623775_6d31_4a6d_8a99_0f28a4ce8f95"/>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tbl>
      <w:tblPr>
        <w:tblW w:w="10205" w:type="dxa"/>
        <w:jc w:val="left"/>
        <w:tblInd w:w="0" w:type="dxa"/>
        <w:tblLayout w:type="fixed"/>
        <w:tblCellMar>
          <w:top w:w="0" w:type="dxa"/>
          <w:left w:w="0" w:type="dxa"/>
          <w:bottom w:w="0" w:type="dxa"/>
          <w:right w:w="0" w:type="dxa"/>
        </w:tblCellMar>
      </w:tblPr>
      <w:tblGrid>
        <w:gridCol w:w="2777"/>
        <w:gridCol w:w="326"/>
        <w:gridCol w:w="417"/>
        <w:gridCol w:w="1129"/>
        <w:gridCol w:w="109"/>
        <w:gridCol w:w="417"/>
        <w:gridCol w:w="1129"/>
        <w:gridCol w:w="326"/>
        <w:gridCol w:w="367"/>
        <w:gridCol w:w="1179"/>
        <w:gridCol w:w="110"/>
        <w:gridCol w:w="367"/>
        <w:gridCol w:w="1179"/>
        <w:gridCol w:w="373"/>
      </w:tblGrid>
      <w:tr>
        <w:trPr/>
        <w:tc>
          <w:tcPr>
            <w:tcW w:w="2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763395" cy="175260"/>
                      <wp:effectExtent l="0" t="0" r="0" b="0"/>
                      <wp:wrapNone/>
                      <wp:docPr id="74" name="Frame74"/>
                      <a:graphic xmlns:a="http://schemas.openxmlformats.org/drawingml/2006/main">
                        <a:graphicData uri="http://schemas.microsoft.com/office/word/2010/wordprocessingShape">
                          <wps:wsp>
                            <wps:cNvSpPr txBox="1"/>
                            <wps:spPr>
                              <a:xfrm>
                                <a:off x="0" y="0"/>
                                <a:ext cx="176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64795" cy="175260"/>
                      <wp:effectExtent l="0" t="0" r="0" b="0"/>
                      <wp:wrapNone/>
                      <wp:docPr id="76" name="Frame76"/>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716915" cy="175260"/>
                      <wp:effectExtent l="0" t="0" r="0" b="0"/>
                      <wp:wrapNone/>
                      <wp:docPr id="77" name="Frame77"/>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8"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64795" cy="175260"/>
                      <wp:effectExtent l="0" t="0" r="0" b="0"/>
                      <wp:wrapNone/>
                      <wp:docPr id="79" name="Frame79"/>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16915" cy="175260"/>
                      <wp:effectExtent l="0" t="0" r="0" b="0"/>
                      <wp:wrapNone/>
                      <wp:docPr id="80" name="Frame80"/>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33045" cy="175260"/>
                      <wp:effectExtent l="0" t="0" r="0" b="0"/>
                      <wp:wrapNone/>
                      <wp:docPr id="82" name="Frame8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48665" cy="175260"/>
                      <wp:effectExtent l="0" t="0" r="0" b="0"/>
                      <wp:wrapNone/>
                      <wp:docPr id="83" name="Frame83"/>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850" cy="175260"/>
                      <wp:effectExtent l="0" t="0" r="0" b="0"/>
                      <wp:wrapNone/>
                      <wp:docPr id="84" name="Frame84"/>
                      <a:graphic xmlns:a="http://schemas.openxmlformats.org/drawingml/2006/main">
                        <a:graphicData uri="http://schemas.microsoft.com/office/word/2010/wordprocessingShape">
                          <wps:wsp>
                            <wps:cNvSpPr txBox="1"/>
                            <wps:spPr>
                              <a:xfrm>
                                <a:off x="0" y="0"/>
                                <a:ext cx="69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33045" cy="175260"/>
                      <wp:effectExtent l="0" t="0" r="0" b="0"/>
                      <wp:wrapNone/>
                      <wp:docPr id="85" name="Frame8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748665" cy="175260"/>
                      <wp:effectExtent l="0" t="0" r="0" b="0"/>
                      <wp:wrapNone/>
                      <wp:docPr id="86" name="Frame86"/>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36855" cy="175260"/>
                      <wp:effectExtent l="0" t="0" r="0" b="0"/>
                      <wp:wrapNone/>
                      <wp:docPr id="87" name="Frame87"/>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left"/>
              <w:rPr/>
            </w:pPr>
            <w:r>
              <w:rPr/>
              <w:t>    </w:t>
            </w:r>
          </w:p>
        </w:tc>
        <w:tc>
          <w:tcPr>
            <w:tcW w:w="320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373" w:type="dxa"/>
            <w:tcBorders/>
            <w:vAlign w:val="center"/>
          </w:tcPr>
          <w:p>
            <w:pPr>
              <w:pStyle w:val="TableContents"/>
              <w:bidi w:val="0"/>
              <w:spacing w:before="0" w:after="0"/>
              <w:ind w:left="0" w:right="0" w:hanging="0"/>
              <w:jc w:val="left"/>
              <w:rPr/>
            </w:pPr>
            <w:r>
              <w:rPr/>
              <w:t>    </w:t>
            </w:r>
          </w:p>
        </w:tc>
      </w:tr>
      <w:tr>
        <w:trPr/>
        <w:tc>
          <w:tcPr>
            <w:tcW w:w="27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10"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73" w:type="dxa"/>
            <w:tcBorders/>
            <w:vAlign w:val="center"/>
          </w:tcPr>
          <w:p>
            <w:pPr>
              <w:pStyle w:val="TableContents"/>
              <w:bidi w:val="0"/>
              <w:spacing w:before="0" w:after="0"/>
              <w:ind w:left="0" w:right="0" w:hanging="0"/>
              <w:jc w:val="left"/>
              <w:rPr/>
            </w:pPr>
            <w:r>
              <w:rPr/>
              <w:t>​</w:t>
            </w:r>
          </w:p>
        </w:tc>
      </w:tr>
      <w:tr>
        <w:trPr/>
        <w:tc>
          <w:tcPr>
            <w:tcW w:w="27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9,229</w:t>
            </w:r>
          </w:p>
        </w:tc>
        <w:tc>
          <w:tcPr>
            <w:tcW w:w="109"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5,009</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21,203</w:t>
            </w:r>
          </w:p>
        </w:tc>
        <w:tc>
          <w:tcPr>
            <w:tcW w:w="110"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14,265</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27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pPr>
            <w:r>
              <w:rPr/>
              <w:t>​</w:t>
            </w:r>
          </w:p>
        </w:tc>
        <w:tc>
          <w:tcPr>
            <w:tcW w:w="110"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pPr>
            <w:r>
              <w:rPr/>
              <w:t>​</w:t>
            </w:r>
          </w:p>
        </w:tc>
        <w:tc>
          <w:tcPr>
            <w:tcW w:w="373" w:type="dxa"/>
            <w:tcBorders/>
            <w:vAlign w:val="center"/>
          </w:tcPr>
          <w:p>
            <w:pPr>
              <w:pStyle w:val="TableContents"/>
              <w:bidi w:val="0"/>
              <w:spacing w:before="0" w:after="0"/>
              <w:ind w:left="0" w:right="0" w:hanging="0"/>
              <w:jc w:val="left"/>
              <w:rPr/>
            </w:pPr>
            <w:r>
              <w:rPr/>
              <w:t>​</w:t>
            </w:r>
          </w:p>
        </w:tc>
      </w:tr>
      <w:tr>
        <w:trPr/>
        <w:tc>
          <w:tcPr>
            <w:tcW w:w="27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derivative instruments</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 </w:t>
            </w:r>
          </w:p>
        </w:tc>
        <w:tc>
          <w:tcPr>
            <w:tcW w:w="1129"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 </w:t>
            </w:r>
          </w:p>
        </w:tc>
        <w:tc>
          <w:tcPr>
            <w:tcW w:w="112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pPr>
            <w:r>
              <w:rPr/>
              <w:t>​</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27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net gains arising during the period from interest rate swap</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pPr>
            <w:r>
              <w:rPr/>
              <w:t>—</w:t>
            </w:r>
          </w:p>
        </w:tc>
        <w:tc>
          <w:tcPr>
            <w:tcW w:w="110"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w:t>
            </w:r>
          </w:p>
        </w:tc>
        <w:tc>
          <w:tcPr>
            <w:tcW w:w="373" w:type="dxa"/>
            <w:tcBorders/>
            <w:vAlign w:val="center"/>
          </w:tcPr>
          <w:p>
            <w:pPr>
              <w:pStyle w:val="TableContents"/>
              <w:bidi w:val="0"/>
              <w:spacing w:before="0" w:after="0"/>
              <w:ind w:left="0" w:right="0" w:hanging="0"/>
              <w:jc w:val="left"/>
              <w:rPr/>
            </w:pPr>
            <w:r>
              <w:rPr/>
              <w:t>​</w:t>
            </w:r>
          </w:p>
        </w:tc>
      </w:tr>
      <w:tr>
        <w:trPr/>
        <w:tc>
          <w:tcPr>
            <w:tcW w:w="27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Reclassifications of gains into 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 </w:t>
            </w:r>
          </w:p>
        </w:tc>
        <w:tc>
          <w:tcPr>
            <w:tcW w:w="112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 </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110"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27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benefit (expense) </w:t>
            </w:r>
          </w:p>
        </w:tc>
        <w:tc>
          <w:tcPr>
            <w:tcW w:w="326" w:type="dxa"/>
            <w:tcBorders/>
            <w:vAlign w:val="center"/>
          </w:tcPr>
          <w:p>
            <w:pPr>
              <w:pStyle w:val="TableContents"/>
              <w:bidi w:val="0"/>
              <w:spacing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10"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73" w:type="dxa"/>
            <w:tcBorders/>
            <w:vAlign w:val="center"/>
          </w:tcPr>
          <w:p>
            <w:pPr>
              <w:pStyle w:val="TableContents"/>
              <w:bidi w:val="0"/>
              <w:spacing w:before="0" w:after="0"/>
              <w:ind w:left="0" w:right="0" w:hanging="0"/>
              <w:jc w:val="left"/>
              <w:rPr/>
            </w:pPr>
            <w:r>
              <w:rPr/>
              <w:t>​</w:t>
            </w:r>
          </w:p>
        </w:tc>
      </w:tr>
      <w:tr>
        <w:trPr/>
        <w:tc>
          <w:tcPr>
            <w:tcW w:w="27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 net of taxes</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110"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27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26" w:type="dxa"/>
            <w:tcBorders/>
            <w:vAlign w:val="center"/>
          </w:tcPr>
          <w:p>
            <w:pPr>
              <w:pStyle w:val="TableContents"/>
              <w:bidi w:val="0"/>
              <w:spacing w:before="0" w:after="0"/>
              <w:ind w:left="0" w:right="0" w:hanging="0"/>
              <w:jc w:val="left"/>
              <w:rPr/>
            </w:pPr>
            <w:r>
              <w:rPr/>
              <w:t>​</w:t>
            </w:r>
          </w:p>
        </w:tc>
        <w:tc>
          <w:tcPr>
            <w:tcW w:w="4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9,229</w:t>
            </w:r>
          </w:p>
        </w:tc>
        <w:tc>
          <w:tcPr>
            <w:tcW w:w="109" w:type="dxa"/>
            <w:tcBorders/>
            <w:vAlign w:val="center"/>
          </w:tcPr>
          <w:p>
            <w:pPr>
              <w:pStyle w:val="TableContents"/>
              <w:bidi w:val="0"/>
              <w:spacing w:before="0" w:after="0"/>
              <w:ind w:left="0" w:right="0" w:hanging="0"/>
              <w:jc w:val="left"/>
              <w:rPr/>
            </w:pPr>
            <w:r>
              <w:rPr/>
              <w:t>​</w:t>
            </w:r>
          </w:p>
        </w:tc>
        <w:tc>
          <w:tcPr>
            <w:tcW w:w="4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4,683</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21,077</w:t>
            </w:r>
          </w:p>
        </w:tc>
        <w:tc>
          <w:tcPr>
            <w:tcW w:w="110"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14,745</w:t>
            </w:r>
          </w:p>
        </w:tc>
        <w:tc>
          <w:tcPr>
            <w:tcW w:w="37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69" w:name="_b212e22c_360d_42e3_9fbb_f3a4481493aa"/>
      <w:bookmarkEnd w:id="369"/>
      <w:r>
        <w:rPr>
          <w:rFonts w:ascii="Times New Roman;Times;serif" w:hAnsi="Times New Roman;Times;serif"/>
          <w:b/>
          <w:sz w:val="20"/>
        </w:rPr>
        <w:t>EL POLLO LOCO HOLDINGS, INC.</w:t>
      </w:r>
    </w:p>
    <w:p>
      <w:pPr>
        <w:pStyle w:val="TextBody"/>
        <w:bidi w:val="0"/>
        <w:spacing w:before="0" w:after="120"/>
        <w:ind w:left="0" w:right="0" w:hanging="0"/>
        <w:jc w:val="center"/>
        <w:rPr>
          <w:rFonts w:ascii="Times New Roman;Times;serif" w:hAnsi="Times New Roman;Times;serif"/>
          <w:b/>
          <w:sz w:val="20"/>
        </w:rPr>
      </w:pPr>
      <w:bookmarkStart w:id="370" w:name="CONDENSEDCONSOLIDATEDSTATEMENTSOFCHANGES"/>
      <w:bookmarkEnd w:id="370"/>
      <w:r>
        <w:rPr>
          <w:rFonts w:ascii="Times New Roman;Times;serif" w:hAnsi="Times New Roman;Times;serif"/>
          <w:b/>
          <w:sz w:val="20"/>
        </w:rPr>
        <w:t>CONDENSED CONSOLIDATED STATEMENTS OF CHANGES IN STOCKHOLDERS’ EQUITY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data)</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71" w:name="Tc_O3UJKnuHwEep9n0snvIkrg_28_16"/>
      <w:bookmarkStart w:id="372" w:name="Tc_kMJl8mpM3UqfFPIpt3CPMA_28_13"/>
      <w:bookmarkStart w:id="373" w:name="Tc_oe7V1iJqTUaiAq4U-9pQ6w_28_10"/>
      <w:bookmarkStart w:id="374" w:name="Tc_nPSmHuTIB0y_iFB7pK7itQ_28_7"/>
      <w:bookmarkStart w:id="375" w:name="Tc_hb_Qtd-t1Uu_N3i2_N_bLQ_28_4"/>
      <w:bookmarkStart w:id="376" w:name="Tc_7itYp-in5E-6qaiRIAFA2w_28_0"/>
      <w:bookmarkStart w:id="377" w:name="Tc_gwIytVspRU6rbAiP0NxbwQ_27_14"/>
      <w:bookmarkStart w:id="378" w:name="Tc_GiiXdHlqjUS63L-U0gyo2A_27_8"/>
      <w:bookmarkStart w:id="379" w:name="Tc_IRPxy-ueI0aX3ysF-GE8uw_27_5"/>
      <w:bookmarkStart w:id="380" w:name="Tc_vsuNuKTklEq-_plxWDfqmg_27_2"/>
      <w:bookmarkStart w:id="381" w:name="Tc_1xIbCtMl70uurJpkpRpeHw_27_0"/>
      <w:bookmarkStart w:id="382" w:name="Tc_toSypljRX06WrWYOGZKUJg_26_11"/>
      <w:bookmarkStart w:id="383" w:name="Tc_UfM9PYsEbE2PnxzLUK-jdA_26_8"/>
      <w:bookmarkStart w:id="384" w:name="Tc_aImXc7QBR0KNMmwIi58qkQ_26_5"/>
      <w:bookmarkStart w:id="385" w:name="Tc_mwtfMAFdU0yDivvutQlAwQ_26_2"/>
      <w:bookmarkStart w:id="386" w:name="Tc_qtiFYnC3xk6bAdckbNtTUQ_26_0"/>
      <w:bookmarkStart w:id="387" w:name="Tc__nCuBeUdk0e40uydniWXSQ_25_14"/>
      <w:bookmarkStart w:id="388" w:name="Tc_-VlHlDe6a0KjeW92_daN-w_25_11"/>
      <w:bookmarkStart w:id="389" w:name="Tc_ICss2eFU6kWrUf2Ae3k05w_25_5"/>
      <w:bookmarkStart w:id="390" w:name="Tc_ePVjKYL8PEaBW0Rb5HUutA_25_0"/>
      <w:bookmarkStart w:id="391" w:name="Tc_GhOQLKUITkiTGcHCUPZFTQ_24_17"/>
      <w:bookmarkStart w:id="392" w:name="Tc_rigZtzp-WUCQ0KsN-CpK2Q_24_14"/>
      <w:bookmarkStart w:id="393" w:name="Tc_c4vU4T0X5Uqvi9ZOt5s6Jw_24_11"/>
      <w:bookmarkStart w:id="394" w:name="Tc_3F63p3S0-U6EWhBSGVFYtw_24_0"/>
      <w:bookmarkStart w:id="395" w:name="Tc_VLJnz69n80Cl7-Qb3r7VuA_23_14"/>
      <w:bookmarkStart w:id="396" w:name="Tc_GYJ-u_ed-UmMbP9HNDmbXg_23_11"/>
      <w:bookmarkStart w:id="397" w:name="Tc_lU4ZBVYQE0G87wKYxYweNw_23_5"/>
      <w:bookmarkStart w:id="398" w:name="Tc_gGhAqDJQ4Ey9i2AvCz8ymg_23_2"/>
      <w:bookmarkStart w:id="399" w:name="Tc_ytrUqSWq1kKMTc9aGehKgw_23_0"/>
      <w:bookmarkStart w:id="400" w:name="Tc_YsPC8rpXekW7DTAzV6sM2Q_22_13"/>
      <w:bookmarkStart w:id="401" w:name="Tc_0TUrhghFL0CHCZ-jagPQhQ_22_10"/>
      <w:bookmarkStart w:id="402" w:name="Tc_JugcolSqa0ucmr76QxHN0A_22_7"/>
      <w:bookmarkStart w:id="403" w:name="Tc_hPI5nZuR4kWD86E1uy1gkw_22_4"/>
      <w:bookmarkStart w:id="404" w:name="Tc_akY_8c4aN0OI3S-DRi90Cg_22_0"/>
      <w:bookmarkStart w:id="405" w:name="Tc_ni76LE-Ne0ywIGMbUSqBgA_21_16"/>
      <w:bookmarkStart w:id="406" w:name="Tc_PcC8KqapuECmBVC-VxLADw_21_13"/>
      <w:bookmarkStart w:id="407" w:name="Tc_dMCTQb4P4U6Dqf1OEioknA_21_10"/>
      <w:bookmarkStart w:id="408" w:name="Tc_jGj12DGas0C15EYQDBQzdQ_21_7"/>
      <w:bookmarkStart w:id="409" w:name="Tc_ZdERHDiR_UOjGSgLlcI09A_21_4"/>
      <w:bookmarkStart w:id="410" w:name="Tc_r-UvVQ0avkycxtt_f4eWsw_21_2"/>
      <w:bookmarkStart w:id="411" w:name="Tc_SQxhan7olkehxzB5jv-uvA_20_16"/>
      <w:bookmarkStart w:id="412" w:name="Tc_hDM8bjWFTEe3wCqmuI-8Ww_20_13"/>
      <w:bookmarkStart w:id="413" w:name="Tc_qThZjEKGYUilwJYIl9UpCg_20_10"/>
      <w:bookmarkStart w:id="414" w:name="Tc_FjGHdiJQH0WgtXZckXrcnQ_20_7"/>
      <w:bookmarkStart w:id="415" w:name="Tc_BhIyQB0rl0Cuc8YV5svGvw_20_2"/>
      <w:bookmarkStart w:id="416" w:name="Tc_fAriodFuLkWiZ9idK6a_zg_19_16"/>
      <w:bookmarkStart w:id="417" w:name="Tc_458xXFQzG0qFN9ZvjUjptA_19_13"/>
      <w:bookmarkStart w:id="418" w:name="Tc_2VN65V5cq02cxVyTbimThQ_19_7"/>
      <w:bookmarkStart w:id="419" w:name="Tc_GBexfPUzd0KIjpc32fPqzQ_18_13"/>
      <w:bookmarkStart w:id="420" w:name="Tc_0DQx42njuEyOh3uPDlIMTg_17_2"/>
      <w:bookmarkStart w:id="421" w:name="Tc_QRw4Ht3KLEieZI6zVM7iAg_15_16"/>
      <w:bookmarkStart w:id="422" w:name="Tc_mBjutVykgU28v5-RfjyW1Q_15_14"/>
      <w:bookmarkStart w:id="423" w:name="Tc_Tj6fOnntL0emOTT8JozIJA_15_13"/>
      <w:bookmarkStart w:id="424" w:name="Tc_fMkY419B50OcF3mEaGlViA_15_10"/>
      <w:bookmarkStart w:id="425" w:name="Tc__-P2GkTLt0q33C3aMOe4XA_15_7"/>
      <w:bookmarkStart w:id="426" w:name="Tc_cu7JpcoyyUm4LXDXtePfsA_15_4"/>
      <w:bookmarkStart w:id="427" w:name="Tc_mhLFK3DyZkuvi5t7IMqYjQ_15_0"/>
      <w:bookmarkStart w:id="428" w:name="Tc_Ug_-Np3U4U-3UxUtuiNbyA_14_14"/>
      <w:bookmarkStart w:id="429" w:name="Tc_HRHIy-ggQ0-onW-PnH_3zA_14_8"/>
      <w:bookmarkStart w:id="430" w:name="Tc_LyEcDmmrQEOXawjGN-xO2g_14_5"/>
      <w:bookmarkStart w:id="431" w:name="Tc_paLuhX8rTE2OXJsvU6eBsw_14_2"/>
      <w:bookmarkStart w:id="432" w:name="Tc_iAU9lABPW0O1n_JMG1_aNg_14_0"/>
      <w:bookmarkStart w:id="433" w:name="Tc_Bo7AqcgnEE2K-QEetLS6pQ_13_17"/>
      <w:bookmarkStart w:id="434" w:name="Tc_dCwFbCEuH0y3QObd5So7aw_13_14"/>
      <w:bookmarkStart w:id="435" w:name="Tc_w2b6-ws_1UqHmuT0VbNUJg_13_11"/>
      <w:bookmarkStart w:id="436" w:name="Tc_7jVnZe8xXEioM1pSw3DubA_13_8"/>
      <w:bookmarkStart w:id="437" w:name="Tc_mmS_CDW4-E2-GFlmx34l-Q_13_5"/>
      <w:bookmarkStart w:id="438" w:name="Tc_Yev03seOfEuTd4A0l7_lzA_13_0"/>
      <w:bookmarkStart w:id="439" w:name="Tc_3hJkC1A6RUWSIwrYp1Vujw_12_14"/>
      <w:bookmarkStart w:id="440" w:name="Tc_NNj_vFHzbEq1KW57DYB8Yg_12_11"/>
      <w:bookmarkStart w:id="441" w:name="Tc_Lv6mOWAfAkC8TkngHBepKA_12_5"/>
      <w:bookmarkStart w:id="442" w:name="Tc_AyBzpkldTUCABzjQYApoSA_12_2"/>
      <w:bookmarkStart w:id="443" w:name="Tc_PdHeJ1qkFEmDw6YY-ByQmQ_12_0"/>
      <w:bookmarkStart w:id="444" w:name="Tc_LL5Im_TkEkK-LmSqWQdDNQ_11_14"/>
      <w:bookmarkStart w:id="445" w:name="Tc_aqpuKsspZUG9iSiENRnhVw_11_11"/>
      <w:bookmarkStart w:id="446" w:name="Tc__iqlfLLVmkOaNGzXXMS1Wg_11_0"/>
      <w:bookmarkStart w:id="447" w:name="Tc_3s_LOYFatkaYSnmdU5DDsw_10_14"/>
      <w:bookmarkStart w:id="448" w:name="Tc_tlsUqbfR0060zL2I4UqZtA_10_11"/>
      <w:bookmarkStart w:id="449" w:name="Tc_6b2T0F5KHEmD3AiAjIO36Q_10_5"/>
      <w:bookmarkStart w:id="450" w:name="Tc_e7Jr4p-6FUer9DNE9iO3mQ_10_0"/>
      <w:bookmarkStart w:id="451" w:name="Tc_mGWmYx8fCUqorx628GvotA_9_14"/>
      <w:bookmarkStart w:id="452" w:name="Tc_ifQ5NDee2ECqaQyB8eteHg_9_11"/>
      <w:bookmarkStart w:id="453" w:name="Tc_rtv8q6KiY0WgFas8xqkMSQ_9_5"/>
      <w:bookmarkStart w:id="454" w:name="Tc_9l-xiYnIFkS9-iX9CE0sFg_9_0"/>
      <w:bookmarkStart w:id="455" w:name="Tc_CIALpbEUGE-aqUNOBtArAA_8_17"/>
      <w:bookmarkStart w:id="456" w:name="Tc_F4_kOcJHukuSarbwEKMRhg_8_14"/>
      <w:bookmarkStart w:id="457" w:name="Tc_XftdZg6Rjkal6s_EQTtdVw_8_11"/>
      <w:bookmarkStart w:id="458" w:name="Tc__dOsEpOJ40asF4A4uTA6aA_8_8"/>
      <w:bookmarkStart w:id="459" w:name="Tc_clOPb1W8bU2HyBdodLlv1g_8_5"/>
      <w:bookmarkStart w:id="460" w:name="Tc_-VOwZGA0yUG2JgJ5U5tImg_8_0"/>
      <w:bookmarkStart w:id="461" w:name="Tc_nbhuY1NAYUOLARgi59XRmA_7_14"/>
      <w:bookmarkStart w:id="462" w:name="Tc_YiacQc9Vl0-uTQypc4-1UA_7_11"/>
      <w:bookmarkStart w:id="463" w:name="Tc_IDI3xBNM4EWnboBwRes3bQ_7_5"/>
      <w:bookmarkStart w:id="464" w:name="Tc_Gy6vOyGNg0KRxbU-tV0fOA_7_2"/>
      <w:bookmarkStart w:id="465" w:name="Tc_PkXESp_Lh0WX_QDkjNHU-w_7_0"/>
      <w:bookmarkStart w:id="466" w:name="Tc_zJCwKYifyE67GDiTwyLFTw_6_16"/>
      <w:bookmarkStart w:id="467" w:name="Tc_5JTKXbGNjEuIY1ttovw2qA_6_14"/>
      <w:bookmarkStart w:id="468" w:name="Tc_ksVU8W4pOUqB-pvbztFPqw_6_13"/>
      <w:bookmarkStart w:id="469" w:name="Tc_2VI_lY5zaE64UhreH_fhIg_6_10"/>
      <w:bookmarkStart w:id="470" w:name="Tc_QdBbH3NkBEKwIsk7GjCnsg_6_7"/>
      <w:bookmarkStart w:id="471" w:name="Tc_MZ1vTVtif06m3AucZA1C0w_6_4"/>
      <w:bookmarkStart w:id="472" w:name="Tc_beaHYdYRQkeWm60Je65gFA_6_0"/>
      <w:bookmarkStart w:id="473" w:name="Tc_QGQwBzRbWUGBhKp0SbBZTQ_5_16"/>
      <w:bookmarkStart w:id="474" w:name="Tc_ZA1CTmEb7Eq7QWQePV_qJw_5_13"/>
      <w:bookmarkStart w:id="475" w:name="Tc_3aTVEnt8z0-38hHOqapIgw_5_10"/>
      <w:bookmarkStart w:id="476" w:name="Tc_8gtoVJFU50W5AJMFd4VWdw_5_7"/>
      <w:bookmarkStart w:id="477" w:name="Tc_Rt9C5WNBV0OiXjx5OzkpDg_5_4"/>
      <w:bookmarkStart w:id="478" w:name="Tc_kcESg60-hUSkjdlkGMfzDw_5_2"/>
      <w:bookmarkStart w:id="479" w:name="Tc_5h-aBrobfkqx-JYzfA7YGw_4_16"/>
      <w:bookmarkStart w:id="480" w:name="Tc_yrgkCVL29UiQMlJirTTgzQ_4_13"/>
      <w:bookmarkStart w:id="481" w:name="Tc_8Yk7Y_gCiE2M3lH8WCCYrg_4_10"/>
      <w:bookmarkStart w:id="482" w:name="Tc_xp-6fPE5RESZ7bVn4qdhlg_4_7"/>
      <w:bookmarkStart w:id="483" w:name="Tc_KwJ2UcED-k6XE1Yqj_65UQ_4_2"/>
      <w:bookmarkStart w:id="484" w:name="Tc_3OxY4Sqvl0OwnR4-SZRm4A_3_16"/>
      <w:bookmarkStart w:id="485" w:name="Tc_uOJfdTBuKEGy3Hg98yTohw_3_13"/>
      <w:bookmarkStart w:id="486" w:name="Tc_q7FY6tRwxkO0AXgF3u7rNA_3_7"/>
      <w:bookmarkStart w:id="487" w:name="Tc_iuTMg3C7a0SJkFYF0fE6_Q_2_13"/>
      <w:bookmarkStart w:id="488" w:name="Tc_vPIwb1_7ckiTahVXVB8AFA_1_2"/>
      <w:bookmarkStart w:id="489" w:name="_e773aae9_6812_4abe_934d_e503b70d71e7"/>
      <w:bookmarkStart w:id="490" w:name="Tc_O3UJKnuHwEep9n0snvIkrg_28_16"/>
      <w:bookmarkStart w:id="491" w:name="Tc_kMJl8mpM3UqfFPIpt3CPMA_28_13"/>
      <w:bookmarkStart w:id="492" w:name="Tc_oe7V1iJqTUaiAq4U-9pQ6w_28_10"/>
      <w:bookmarkStart w:id="493" w:name="Tc_nPSmHuTIB0y_iFB7pK7itQ_28_7"/>
      <w:bookmarkStart w:id="494" w:name="Tc_hb_Qtd-t1Uu_N3i2_N_bLQ_28_4"/>
      <w:bookmarkStart w:id="495" w:name="Tc_7itYp-in5E-6qaiRIAFA2w_28_0"/>
      <w:bookmarkStart w:id="496" w:name="Tc_gwIytVspRU6rbAiP0NxbwQ_27_14"/>
      <w:bookmarkStart w:id="497" w:name="Tc_GiiXdHlqjUS63L-U0gyo2A_27_8"/>
      <w:bookmarkStart w:id="498" w:name="Tc_IRPxy-ueI0aX3ysF-GE8uw_27_5"/>
      <w:bookmarkStart w:id="499" w:name="Tc_vsuNuKTklEq-_plxWDfqmg_27_2"/>
      <w:bookmarkStart w:id="500" w:name="Tc_1xIbCtMl70uurJpkpRpeHw_27_0"/>
      <w:bookmarkStart w:id="501" w:name="Tc_toSypljRX06WrWYOGZKUJg_26_11"/>
      <w:bookmarkStart w:id="502" w:name="Tc_UfM9PYsEbE2PnxzLUK-jdA_26_8"/>
      <w:bookmarkStart w:id="503" w:name="Tc_aImXc7QBR0KNMmwIi58qkQ_26_5"/>
      <w:bookmarkStart w:id="504" w:name="Tc_mwtfMAFdU0yDivvutQlAwQ_26_2"/>
      <w:bookmarkStart w:id="505" w:name="Tc_qtiFYnC3xk6bAdckbNtTUQ_26_0"/>
      <w:bookmarkStart w:id="506" w:name="Tc__nCuBeUdk0e40uydniWXSQ_25_14"/>
      <w:bookmarkStart w:id="507" w:name="Tc_-VlHlDe6a0KjeW92_daN-w_25_11"/>
      <w:bookmarkStart w:id="508" w:name="Tc_ICss2eFU6kWrUf2Ae3k05w_25_5"/>
      <w:bookmarkStart w:id="509" w:name="Tc_ePVjKYL8PEaBW0Rb5HUutA_25_0"/>
      <w:bookmarkStart w:id="510" w:name="Tc_GhOQLKUITkiTGcHCUPZFTQ_24_17"/>
      <w:bookmarkStart w:id="511" w:name="Tc_rigZtzp-WUCQ0KsN-CpK2Q_24_14"/>
      <w:bookmarkStart w:id="512" w:name="Tc_c4vU4T0X5Uqvi9ZOt5s6Jw_24_11"/>
      <w:bookmarkStart w:id="513" w:name="Tc_3F63p3S0-U6EWhBSGVFYtw_24_0"/>
      <w:bookmarkStart w:id="514" w:name="Tc_VLJnz69n80Cl7-Qb3r7VuA_23_14"/>
      <w:bookmarkStart w:id="515" w:name="Tc_GYJ-u_ed-UmMbP9HNDmbXg_23_11"/>
      <w:bookmarkStart w:id="516" w:name="Tc_lU4ZBVYQE0G87wKYxYweNw_23_5"/>
      <w:bookmarkStart w:id="517" w:name="Tc_gGhAqDJQ4Ey9i2AvCz8ymg_23_2"/>
      <w:bookmarkStart w:id="518" w:name="Tc_ytrUqSWq1kKMTc9aGehKgw_23_0"/>
      <w:bookmarkStart w:id="519" w:name="Tc_YsPC8rpXekW7DTAzV6sM2Q_22_13"/>
      <w:bookmarkStart w:id="520" w:name="Tc_0TUrhghFL0CHCZ-jagPQhQ_22_10"/>
      <w:bookmarkStart w:id="521" w:name="Tc_JugcolSqa0ucmr76QxHN0A_22_7"/>
      <w:bookmarkStart w:id="522" w:name="Tc_hPI5nZuR4kWD86E1uy1gkw_22_4"/>
      <w:bookmarkStart w:id="523" w:name="Tc_akY_8c4aN0OI3S-DRi90Cg_22_0"/>
      <w:bookmarkStart w:id="524" w:name="Tc_ni76LE-Ne0ywIGMbUSqBgA_21_16"/>
      <w:bookmarkStart w:id="525" w:name="Tc_PcC8KqapuECmBVC-VxLADw_21_13"/>
      <w:bookmarkStart w:id="526" w:name="Tc_dMCTQb4P4U6Dqf1OEioknA_21_10"/>
      <w:bookmarkStart w:id="527" w:name="Tc_jGj12DGas0C15EYQDBQzdQ_21_7"/>
      <w:bookmarkStart w:id="528" w:name="Tc_ZdERHDiR_UOjGSgLlcI09A_21_4"/>
      <w:bookmarkStart w:id="529" w:name="Tc_r-UvVQ0avkycxtt_f4eWsw_21_2"/>
      <w:bookmarkStart w:id="530" w:name="Tc_SQxhan7olkehxzB5jv-uvA_20_16"/>
      <w:bookmarkStart w:id="531" w:name="Tc_hDM8bjWFTEe3wCqmuI-8Ww_20_13"/>
      <w:bookmarkStart w:id="532" w:name="Tc_qThZjEKGYUilwJYIl9UpCg_20_10"/>
      <w:bookmarkStart w:id="533" w:name="Tc_FjGHdiJQH0WgtXZckXrcnQ_20_7"/>
      <w:bookmarkStart w:id="534" w:name="Tc_BhIyQB0rl0Cuc8YV5svGvw_20_2"/>
      <w:bookmarkStart w:id="535" w:name="Tc_fAriodFuLkWiZ9idK6a_zg_19_16"/>
      <w:bookmarkStart w:id="536" w:name="Tc_458xXFQzG0qFN9ZvjUjptA_19_13"/>
      <w:bookmarkStart w:id="537" w:name="Tc_2VN65V5cq02cxVyTbimThQ_19_7"/>
      <w:bookmarkStart w:id="538" w:name="Tc_GBexfPUzd0KIjpc32fPqzQ_18_13"/>
      <w:bookmarkStart w:id="539" w:name="Tc_0DQx42njuEyOh3uPDlIMTg_17_2"/>
      <w:bookmarkStart w:id="540" w:name="Tc_QRw4Ht3KLEieZI6zVM7iAg_15_16"/>
      <w:bookmarkStart w:id="541" w:name="Tc_mBjutVykgU28v5-RfjyW1Q_15_14"/>
      <w:bookmarkStart w:id="542" w:name="Tc_Tj6fOnntL0emOTT8JozIJA_15_13"/>
      <w:bookmarkStart w:id="543" w:name="Tc_fMkY419B50OcF3mEaGlViA_15_10"/>
      <w:bookmarkStart w:id="544" w:name="Tc__-P2GkTLt0q33C3aMOe4XA_15_7"/>
      <w:bookmarkStart w:id="545" w:name="Tc_cu7JpcoyyUm4LXDXtePfsA_15_4"/>
      <w:bookmarkStart w:id="546" w:name="Tc_mhLFK3DyZkuvi5t7IMqYjQ_15_0"/>
      <w:bookmarkStart w:id="547" w:name="Tc_Ug_-Np3U4U-3UxUtuiNbyA_14_14"/>
      <w:bookmarkStart w:id="548" w:name="Tc_HRHIy-ggQ0-onW-PnH_3zA_14_8"/>
      <w:bookmarkStart w:id="549" w:name="Tc_LyEcDmmrQEOXawjGN-xO2g_14_5"/>
      <w:bookmarkStart w:id="550" w:name="Tc_paLuhX8rTE2OXJsvU6eBsw_14_2"/>
      <w:bookmarkStart w:id="551" w:name="Tc_iAU9lABPW0O1n_JMG1_aNg_14_0"/>
      <w:bookmarkStart w:id="552" w:name="Tc_Bo7AqcgnEE2K-QEetLS6pQ_13_17"/>
      <w:bookmarkStart w:id="553" w:name="Tc_dCwFbCEuH0y3QObd5So7aw_13_14"/>
      <w:bookmarkStart w:id="554" w:name="Tc_w2b6-ws_1UqHmuT0VbNUJg_13_11"/>
      <w:bookmarkStart w:id="555" w:name="Tc_7jVnZe8xXEioM1pSw3DubA_13_8"/>
      <w:bookmarkStart w:id="556" w:name="Tc_mmS_CDW4-E2-GFlmx34l-Q_13_5"/>
      <w:bookmarkStart w:id="557" w:name="Tc_Yev03seOfEuTd4A0l7_lzA_13_0"/>
      <w:bookmarkStart w:id="558" w:name="Tc_3hJkC1A6RUWSIwrYp1Vujw_12_14"/>
      <w:bookmarkStart w:id="559" w:name="Tc_NNj_vFHzbEq1KW57DYB8Yg_12_11"/>
      <w:bookmarkStart w:id="560" w:name="Tc_Lv6mOWAfAkC8TkngHBepKA_12_5"/>
      <w:bookmarkStart w:id="561" w:name="Tc_AyBzpkldTUCABzjQYApoSA_12_2"/>
      <w:bookmarkStart w:id="562" w:name="Tc_PdHeJ1qkFEmDw6YY-ByQmQ_12_0"/>
      <w:bookmarkStart w:id="563" w:name="Tc_LL5Im_TkEkK-LmSqWQdDNQ_11_14"/>
      <w:bookmarkStart w:id="564" w:name="Tc_aqpuKsspZUG9iSiENRnhVw_11_11"/>
      <w:bookmarkStart w:id="565" w:name="Tc__iqlfLLVmkOaNGzXXMS1Wg_11_0"/>
      <w:bookmarkStart w:id="566" w:name="Tc_3s_LOYFatkaYSnmdU5DDsw_10_14"/>
      <w:bookmarkStart w:id="567" w:name="Tc_tlsUqbfR0060zL2I4UqZtA_10_11"/>
      <w:bookmarkStart w:id="568" w:name="Tc_6b2T0F5KHEmD3AiAjIO36Q_10_5"/>
      <w:bookmarkStart w:id="569" w:name="Tc_e7Jr4p-6FUer9DNE9iO3mQ_10_0"/>
      <w:bookmarkStart w:id="570" w:name="Tc_mGWmYx8fCUqorx628GvotA_9_14"/>
      <w:bookmarkStart w:id="571" w:name="Tc_ifQ5NDee2ECqaQyB8eteHg_9_11"/>
      <w:bookmarkStart w:id="572" w:name="Tc_rtv8q6KiY0WgFas8xqkMSQ_9_5"/>
      <w:bookmarkStart w:id="573" w:name="Tc_9l-xiYnIFkS9-iX9CE0sFg_9_0"/>
      <w:bookmarkStart w:id="574" w:name="Tc_CIALpbEUGE-aqUNOBtArAA_8_17"/>
      <w:bookmarkStart w:id="575" w:name="Tc_F4_kOcJHukuSarbwEKMRhg_8_14"/>
      <w:bookmarkStart w:id="576" w:name="Tc_XftdZg6Rjkal6s_EQTtdVw_8_11"/>
      <w:bookmarkStart w:id="577" w:name="Tc__dOsEpOJ40asF4A4uTA6aA_8_8"/>
      <w:bookmarkStart w:id="578" w:name="Tc_clOPb1W8bU2HyBdodLlv1g_8_5"/>
      <w:bookmarkStart w:id="579" w:name="Tc_-VOwZGA0yUG2JgJ5U5tImg_8_0"/>
      <w:bookmarkStart w:id="580" w:name="Tc_nbhuY1NAYUOLARgi59XRmA_7_14"/>
      <w:bookmarkStart w:id="581" w:name="Tc_YiacQc9Vl0-uTQypc4-1UA_7_11"/>
      <w:bookmarkStart w:id="582" w:name="Tc_IDI3xBNM4EWnboBwRes3bQ_7_5"/>
      <w:bookmarkStart w:id="583" w:name="Tc_Gy6vOyGNg0KRxbU-tV0fOA_7_2"/>
      <w:bookmarkStart w:id="584" w:name="Tc_PkXESp_Lh0WX_QDkjNHU-w_7_0"/>
      <w:bookmarkStart w:id="585" w:name="Tc_zJCwKYifyE67GDiTwyLFTw_6_16"/>
      <w:bookmarkStart w:id="586" w:name="Tc_5JTKXbGNjEuIY1ttovw2qA_6_14"/>
      <w:bookmarkStart w:id="587" w:name="Tc_ksVU8W4pOUqB-pvbztFPqw_6_13"/>
      <w:bookmarkStart w:id="588" w:name="Tc_2VI_lY5zaE64UhreH_fhIg_6_10"/>
      <w:bookmarkStart w:id="589" w:name="Tc_QdBbH3NkBEKwIsk7GjCnsg_6_7"/>
      <w:bookmarkStart w:id="590" w:name="Tc_MZ1vTVtif06m3AucZA1C0w_6_4"/>
      <w:bookmarkStart w:id="591" w:name="Tc_beaHYdYRQkeWm60Je65gFA_6_0"/>
      <w:bookmarkStart w:id="592" w:name="Tc_QGQwBzRbWUGBhKp0SbBZTQ_5_16"/>
      <w:bookmarkStart w:id="593" w:name="Tc_ZA1CTmEb7Eq7QWQePV_qJw_5_13"/>
      <w:bookmarkStart w:id="594" w:name="Tc_3aTVEnt8z0-38hHOqapIgw_5_10"/>
      <w:bookmarkStart w:id="595" w:name="Tc_8gtoVJFU50W5AJMFd4VWdw_5_7"/>
      <w:bookmarkStart w:id="596" w:name="Tc_Rt9C5WNBV0OiXjx5OzkpDg_5_4"/>
      <w:bookmarkStart w:id="597" w:name="Tc_kcESg60-hUSkjdlkGMfzDw_5_2"/>
      <w:bookmarkStart w:id="598" w:name="Tc_5h-aBrobfkqx-JYzfA7YGw_4_16"/>
      <w:bookmarkStart w:id="599" w:name="Tc_yrgkCVL29UiQMlJirTTgzQ_4_13"/>
      <w:bookmarkStart w:id="600" w:name="Tc_8Yk7Y_gCiE2M3lH8WCCYrg_4_10"/>
      <w:bookmarkStart w:id="601" w:name="Tc_xp-6fPE5RESZ7bVn4qdhlg_4_7"/>
      <w:bookmarkStart w:id="602" w:name="Tc_KwJ2UcED-k6XE1Yqj_65UQ_4_2"/>
      <w:bookmarkStart w:id="603" w:name="Tc_3OxY4Sqvl0OwnR4-SZRm4A_3_16"/>
      <w:bookmarkStart w:id="604" w:name="Tc_uOJfdTBuKEGy3Hg98yTohw_3_13"/>
      <w:bookmarkStart w:id="605" w:name="Tc_q7FY6tRwxkO0AXgF3u7rNA_3_7"/>
      <w:bookmarkStart w:id="606" w:name="Tc_iuTMg3C7a0SJkFYF0fE6_Q_2_13"/>
      <w:bookmarkStart w:id="607" w:name="Tc_vPIwb1_7ckiTahVXVB8AFA_1_2"/>
      <w:bookmarkStart w:id="608" w:name="_e773aae9_6812_4abe_934d_e503b70d71e7"/>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tbl>
      <w:tblPr>
        <w:tblW w:w="10205" w:type="dxa"/>
        <w:jc w:val="left"/>
        <w:tblInd w:w="0" w:type="dxa"/>
        <w:tblLayout w:type="fixed"/>
        <w:tblCellMar>
          <w:top w:w="0" w:type="dxa"/>
          <w:left w:w="0" w:type="dxa"/>
          <w:bottom w:w="0" w:type="dxa"/>
          <w:right w:w="0" w:type="dxa"/>
        </w:tblCellMar>
      </w:tblPr>
      <w:tblGrid>
        <w:gridCol w:w="2150"/>
        <w:gridCol w:w="326"/>
        <w:gridCol w:w="1039"/>
        <w:gridCol w:w="326"/>
        <w:gridCol w:w="230"/>
        <w:gridCol w:w="461"/>
        <w:gridCol w:w="326"/>
        <w:gridCol w:w="211"/>
        <w:gridCol w:w="784"/>
        <w:gridCol w:w="326"/>
        <w:gridCol w:w="234"/>
        <w:gridCol w:w="817"/>
        <w:gridCol w:w="326"/>
        <w:gridCol w:w="370"/>
        <w:gridCol w:w="846"/>
        <w:gridCol w:w="326"/>
        <w:gridCol w:w="212"/>
        <w:gridCol w:w="895"/>
      </w:tblGrid>
      <w:tr>
        <w:trPr/>
        <w:tc>
          <w:tcPr>
            <w:tcW w:w="2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65250" cy="175260"/>
                      <wp:effectExtent l="0" t="0" r="0" b="0"/>
                      <wp:wrapNone/>
                      <wp:docPr id="88" name="Frame88"/>
                      <a:graphic xmlns:a="http://schemas.openxmlformats.org/drawingml/2006/main">
                        <a:graphicData uri="http://schemas.microsoft.com/office/word/2010/wordprocessingShape">
                          <wps:wsp>
                            <wps:cNvSpPr txBox="1"/>
                            <wps:spPr>
                              <a:xfrm>
                                <a:off x="0" y="0"/>
                                <a:ext cx="1365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59765" cy="175260"/>
                      <wp:effectExtent l="0" t="0" r="0" b="0"/>
                      <wp:wrapNone/>
                      <wp:docPr id="90" name="Frame90"/>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6050" cy="175260"/>
                      <wp:effectExtent l="0" t="0" r="0" b="0"/>
                      <wp:wrapNone/>
                      <wp:docPr id="92" name="Frame9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92735" cy="175260"/>
                      <wp:effectExtent l="0" t="0" r="0" b="0"/>
                      <wp:wrapNone/>
                      <wp:docPr id="93" name="Frame93"/>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97840" cy="175260"/>
                      <wp:effectExtent l="0" t="0" r="0" b="0"/>
                      <wp:wrapNone/>
                      <wp:docPr id="96" name="Frame96"/>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48590" cy="175260"/>
                      <wp:effectExtent l="0" t="0" r="0" b="0"/>
                      <wp:wrapNone/>
                      <wp:docPr id="98" name="Frame98"/>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18795" cy="175260"/>
                      <wp:effectExtent l="0" t="0" r="0" b="0"/>
                      <wp:wrapNone/>
                      <wp:docPr id="99" name="Frame99"/>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34950" cy="175260"/>
                      <wp:effectExtent l="0" t="0" r="0" b="0"/>
                      <wp:wrapNone/>
                      <wp:docPr id="101" name="Frame101"/>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37210" cy="175260"/>
                      <wp:effectExtent l="0" t="0" r="0" b="0"/>
                      <wp:wrapNone/>
                      <wp:docPr id="102" name="Frame102"/>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4620" cy="175260"/>
                      <wp:effectExtent l="0" t="0" r="0" b="0"/>
                      <wp:wrapNone/>
                      <wp:docPr id="104" name="Frame104"/>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68325" cy="175260"/>
                      <wp:effectExtent l="0" t="0" r="0" b="0"/>
                      <wp:wrapNone/>
                      <wp:docPr id="105" name="Frame105"/>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729"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 September 27, 2023</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center"/>
              <w:rPr/>
            </w:pPr>
            <w:r>
              <w:rPr/>
              <w:t>​</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5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9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28, 2023</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35,643,747</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276,222</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276,960</w:t>
            </w:r>
          </w:p>
        </w:tc>
      </w:tr>
      <w:tr>
        <w:trPr/>
        <w:tc>
          <w:tcPr>
            <w:tcW w:w="21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10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related to restricted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28,222</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pPr>
            <w:r>
              <w:rPr/>
              <w:t>—</w:t>
            </w:r>
          </w:p>
        </w:tc>
      </w:tr>
      <w:tr>
        <w:trPr/>
        <w:tc>
          <w:tcPr>
            <w:tcW w:w="21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 net</w:t>
            </w:r>
          </w:p>
        </w:tc>
        <w:tc>
          <w:tcPr>
            <w:tcW w:w="326" w:type="dxa"/>
            <w:tcBorders/>
            <w:vAlign w:val="center"/>
          </w:tcPr>
          <w:p>
            <w:pPr>
              <w:pStyle w:val="TableContents"/>
              <w:bidi w:val="0"/>
              <w:spacing w:before="0" w:after="1"/>
              <w:ind w:left="0" w:right="0" w:hanging="0"/>
              <w:jc w:val="left"/>
              <w:rPr/>
            </w:pPr>
            <w:r>
              <w:rPr/>
              <w:t>​</w:t>
            </w:r>
          </w:p>
        </w:tc>
        <w:tc>
          <w:tcPr>
            <w:tcW w:w="10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35,666</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 for employee tax withholdings</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(4,639)</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21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vAlign w:val="center"/>
          </w:tcPr>
          <w:p>
            <w:pPr>
              <w:pStyle w:val="TableContents"/>
              <w:bidi w:val="0"/>
              <w:spacing w:before="0" w:after="1"/>
              <w:ind w:left="0" w:right="0" w:hanging="0"/>
              <w:jc w:val="left"/>
              <w:rPr/>
            </w:pPr>
            <w:r>
              <w:rPr/>
              <w:t>​</w:t>
            </w:r>
          </w:p>
        </w:tc>
        <w:tc>
          <w:tcPr>
            <w:tcW w:w="10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(2,706,214)</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(28,437)</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(28,464)</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 - excise tax</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r>
      <w:tr>
        <w:trPr/>
        <w:tc>
          <w:tcPr>
            <w:tcW w:w="21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 of common stock related to restricted shares</w:t>
            </w:r>
          </w:p>
        </w:tc>
        <w:tc>
          <w:tcPr>
            <w:tcW w:w="326" w:type="dxa"/>
            <w:tcBorders/>
            <w:vAlign w:val="center"/>
          </w:tcPr>
          <w:p>
            <w:pPr>
              <w:pStyle w:val="TableContents"/>
              <w:bidi w:val="0"/>
              <w:spacing w:before="0" w:after="1"/>
              <w:ind w:left="0" w:right="0" w:hanging="0"/>
              <w:jc w:val="left"/>
              <w:rPr/>
            </w:pPr>
            <w:r>
              <w:rPr/>
              <w:t>​</w:t>
            </w:r>
          </w:p>
        </w:tc>
        <w:tc>
          <w:tcPr>
            <w:tcW w:w="10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(39,312)</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right"/>
              <w:rPr/>
            </w:pPr>
            <w:r>
              <w:rPr/>
              <w:t>—</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9,229</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9,229</w:t>
            </w:r>
          </w:p>
        </w:tc>
      </w:tr>
      <w:tr>
        <w:trPr/>
        <w:tc>
          <w:tcPr>
            <w:tcW w:w="215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September 27, 2023</w:t>
            </w:r>
          </w:p>
        </w:tc>
        <w:tc>
          <w:tcPr>
            <w:tcW w:w="326" w:type="dxa"/>
            <w:tcBorders/>
            <w:vAlign w:val="center"/>
          </w:tcPr>
          <w:p>
            <w:pPr>
              <w:pStyle w:val="TableContents"/>
              <w:bidi w:val="0"/>
              <w:spacing w:before="0" w:after="1"/>
              <w:ind w:left="0" w:right="0" w:hanging="0"/>
              <w:jc w:val="left"/>
              <w:rPr/>
            </w:pPr>
            <w:r>
              <w:rPr/>
              <w:t>​</w:t>
            </w:r>
          </w:p>
        </w:tc>
        <w:tc>
          <w:tcPr>
            <w:tcW w:w="103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32,957,470</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248,732</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9,611</w:t>
            </w:r>
          </w:p>
        </w:tc>
        <w:tc>
          <w:tcPr>
            <w:tcW w:w="326" w:type="dxa"/>
            <w:tcBorders/>
            <w:vAlign w:val="center"/>
          </w:tcPr>
          <w:p>
            <w:pPr>
              <w:pStyle w:val="TableContents"/>
              <w:bidi w:val="0"/>
              <w:spacing w:before="0" w:after="1"/>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258,672</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pPr>
            <w:r>
              <w:rPr/>
              <w:t>​</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729"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 September 28, 2022</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center"/>
              <w:rPr/>
            </w:pPr>
            <w:r>
              <w:rPr/>
              <w:t>​</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    </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5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9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29, 2022</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37,002,513</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346,095</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(23,137)</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323,843</w:t>
            </w:r>
          </w:p>
        </w:tc>
      </w:tr>
      <w:tr>
        <w:trPr/>
        <w:tc>
          <w:tcPr>
            <w:tcW w:w="21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10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related to restricted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53,476</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 </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895" w:type="dxa"/>
            <w:tcBorders/>
            <w:shd w:fill="CCEEFF" w:val="clear"/>
            <w:vAlign w:val="center"/>
          </w:tcPr>
          <w:p>
            <w:pPr>
              <w:pStyle w:val="TableContents"/>
              <w:bidi w:val="0"/>
              <w:spacing w:before="0" w:after="1"/>
              <w:ind w:left="0" w:right="0" w:hanging="0"/>
              <w:jc w:val="right"/>
              <w:rPr/>
            </w:pPr>
            <w:r>
              <w:rPr/>
              <w:t>—</w:t>
            </w:r>
          </w:p>
        </w:tc>
      </w:tr>
      <w:tr>
        <w:trPr/>
        <w:tc>
          <w:tcPr>
            <w:tcW w:w="21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 for employee tax withholdings</w:t>
            </w:r>
          </w:p>
        </w:tc>
        <w:tc>
          <w:tcPr>
            <w:tcW w:w="326" w:type="dxa"/>
            <w:tcBorders/>
            <w:vAlign w:val="center"/>
          </w:tcPr>
          <w:p>
            <w:pPr>
              <w:pStyle w:val="TableContents"/>
              <w:bidi w:val="0"/>
              <w:spacing w:before="0" w:after="1"/>
              <w:ind w:left="0" w:right="0" w:hanging="0"/>
              <w:jc w:val="left"/>
              <w:rPr/>
            </w:pPr>
            <w:r>
              <w:rPr/>
              <w:t>​</w:t>
            </w:r>
          </w:p>
        </w:tc>
        <w:tc>
          <w:tcPr>
            <w:tcW w:w="10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(2,584)</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w:t>
            </w:r>
          </w:p>
        </w:tc>
      </w:tr>
      <w:tr>
        <w:trPr/>
        <w:tc>
          <w:tcPr>
            <w:tcW w:w="21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103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5,009</w:t>
            </w:r>
          </w:p>
        </w:tc>
        <w:tc>
          <w:tcPr>
            <w:tcW w:w="326" w:type="dxa"/>
            <w:tcBorders/>
            <w:vAlign w:val="center"/>
          </w:tcPr>
          <w:p>
            <w:pPr>
              <w:pStyle w:val="TableContents"/>
              <w:bidi w:val="0"/>
              <w:spacing w:before="0" w:after="1"/>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5,009</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September 28, 2022</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37,053,405</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347,079</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(18,128)</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329,511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609" w:name="Tc_PimyBP-cZkW6w_tPAGcJ3w_31_16"/>
      <w:bookmarkStart w:id="610" w:name="Tc_PrU_rgOJrkOGczfWXAQjrw_31_13"/>
      <w:bookmarkStart w:id="611" w:name="Tc_f66mf_ZpcUy2b6oOeFHSQw_31_10"/>
      <w:bookmarkStart w:id="612" w:name="Tc_Z3Q4EaFnSk-dhZ65hYOo_Q_31_7"/>
      <w:bookmarkStart w:id="613" w:name="Tc_71AkEzwtx02ZnYHS3-WCGw_31_4"/>
      <w:bookmarkStart w:id="614" w:name="Tc_KPOS1Ikp8UigLr7gsgSGGg_31_0"/>
      <w:bookmarkStart w:id="615" w:name="Tc_i4785l-8-E6Og_t1K2O5WQ_30_14"/>
      <w:bookmarkStart w:id="616" w:name="Tc_Ph8Oriz_8Um3wSi-BLfTmA_30_8"/>
      <w:bookmarkStart w:id="617" w:name="Tc_-bBWAyaF9EmLBImJsVQVvw_30_5"/>
      <w:bookmarkStart w:id="618" w:name="Tc_dmX2nsP3SEuJ1xns2i29Mw_30_2"/>
      <w:bookmarkStart w:id="619" w:name="Tc_GJMBKjcmcEqv-uujWOjmLQ_30_0"/>
      <w:bookmarkStart w:id="620" w:name="Tc_cAp0XKFLkU-Sp2rNVyZeMQ_29_11"/>
      <w:bookmarkStart w:id="621" w:name="Tc_SfekZU41n0Gx-8e5jDgJvw_29_8"/>
      <w:bookmarkStart w:id="622" w:name="Tc_9rPm-KzdPE2id9-elEXVAA_29_5"/>
      <w:bookmarkStart w:id="623" w:name="Tc_yYel9unWCU-zfg6V_IEZhQ_29_2"/>
      <w:bookmarkStart w:id="624" w:name="Tc_SzqkKvg_3EOCePMoP9yEoQ_29_0"/>
      <w:bookmarkStart w:id="625" w:name="Tc_1wojIG16HEy0_RDxiedX_A_28_17"/>
      <w:bookmarkStart w:id="626" w:name="Tc_k0x1aDhx6U6gytZ251D_qA_28_14"/>
      <w:bookmarkStart w:id="627" w:name="Tc_kAOLV-f850W4TN99yqjpWA_28_11"/>
      <w:bookmarkStart w:id="628" w:name="Tc_s0VkZVJznUyS6rG3yObWSA_28_8"/>
      <w:bookmarkStart w:id="629" w:name="Tc_8GR9hee33EO_XSPDeuuqPw_28_5"/>
      <w:bookmarkStart w:id="630" w:name="Tc_jzxkoSz4X0iOFl-s4rLJ9Q_28_0"/>
      <w:bookmarkStart w:id="631" w:name="Tc_uUJsLtUpr0mngbfS7t7VUA_27_14"/>
      <w:bookmarkStart w:id="632" w:name="Tc_7EtxZnqn4Emeoo0OIb5gQQ_27_11"/>
      <w:bookmarkStart w:id="633" w:name="Tc_Onts-VQtDUiMORlHpDI-Gg_27_5"/>
      <w:bookmarkStart w:id="634" w:name="Tc_J7jdez59TkKv4BwS2E8Axg_27_0"/>
      <w:bookmarkStart w:id="635" w:name="Tc_FYZ5eC6Ew0mY5KS9wBDE6g_26_14"/>
      <w:bookmarkStart w:id="636" w:name="Tc_S973KexqZk2_qZSaF2ovNQ_26_11"/>
      <w:bookmarkStart w:id="637" w:name="Tc_FgnmQ6f9Y0CK_ebaIO4wcQ_26_0"/>
      <w:bookmarkStart w:id="638" w:name="Tc_vlm4NPbvBEOBRi2iXsZ3vg_25_17"/>
      <w:bookmarkStart w:id="639" w:name="Tc_XOw7B_HqikS1SgJXFhFEkg_25_14"/>
      <w:bookmarkStart w:id="640" w:name="Tc_MNNKidvCbkaiXcAtdsJ8Ng_25_11"/>
      <w:bookmarkStart w:id="641" w:name="Tc_WzbCXfnwR0mSX9bnr2VGhA_25_0"/>
      <w:bookmarkStart w:id="642" w:name="Tc_C53V5E_5rESyPR5DuQVolA_24_14"/>
      <w:bookmarkStart w:id="643" w:name="Tc_HE0iA9RalUOLYOLLwzestg_24_11"/>
      <w:bookmarkStart w:id="644" w:name="Tc_N3wAvduofUKWBBtNgMygzg_24_5"/>
      <w:bookmarkStart w:id="645" w:name="Tc_7gic7wSP206J_6zEIPVnxA_24_2"/>
      <w:bookmarkStart w:id="646" w:name="Tc_opGWn-1PsEy-huNhj5JpBQ_24_0"/>
      <w:bookmarkStart w:id="647" w:name="Tc_u_7NnmbQXU6iApBFRSDtNw_23_16"/>
      <w:bookmarkStart w:id="648" w:name="Tc_qQDdlBqRjkmLf0n0Yldilw_23_13"/>
      <w:bookmarkStart w:id="649" w:name="Tc_sdxeT7DPSUafl_gTAf_CKw_23_10"/>
      <w:bookmarkStart w:id="650" w:name="Tc_guFNSLqDWEycF6OtxdWRSQ_23_7"/>
      <w:bookmarkStart w:id="651" w:name="Tc_OSYSi8d220KsWzH5RLAk2w_23_4"/>
      <w:bookmarkStart w:id="652" w:name="Tc_fdk-HmCMwUCxa_xraalo1Q_23_0"/>
      <w:bookmarkStart w:id="653" w:name="Tc_qa7_uIibfkKuIJZbuDKORw_22_16"/>
      <w:bookmarkStart w:id="654" w:name="Tc_Rm44muZvs0Wks87KGp1IeQ_22_13"/>
      <w:bookmarkStart w:id="655" w:name="Tc_v_4TGhD9xU--H8t-BsG61A_22_10"/>
      <w:bookmarkStart w:id="656" w:name="Tc_E8b0eGhc2UubsFFoeOEQUQ_22_7"/>
      <w:bookmarkStart w:id="657" w:name="Tc_et8zOQuf7kuGkGA9upFLrg_22_4"/>
      <w:bookmarkStart w:id="658" w:name="Tc_XTsN3aAW6EWpM9IgZrfIBA_22_2"/>
      <w:bookmarkStart w:id="659" w:name="Tc_b3ITpMxq5EyVsSXDa5i13g_21_16"/>
      <w:bookmarkStart w:id="660" w:name="Tc_A_cA9kRE8U-mYBrMlbrd0g_21_13"/>
      <w:bookmarkStart w:id="661" w:name="Tc_LJfspvqHMEaiBqf2USzcCQ_21_10"/>
      <w:bookmarkStart w:id="662" w:name="Tc_B8F4dyW23EqLfnbjAe7JuQ_21_7"/>
      <w:bookmarkStart w:id="663" w:name="Tc_1DCMz0ijF0iY522JCC5LXQ_21_2"/>
      <w:bookmarkStart w:id="664" w:name="Tc_qT7yv2e3jE6KtnN3kbu1tQ_20_16"/>
      <w:bookmarkStart w:id="665" w:name="Tc_oDpf-mEemkORwteEksHqjw_20_13"/>
      <w:bookmarkStart w:id="666" w:name="Tc_blYErSULG06INuKGbe38Kw_20_7"/>
      <w:bookmarkStart w:id="667" w:name="Tc_aGXvqzwRe0SoGgHjHSc6qA_19_13"/>
      <w:bookmarkStart w:id="668" w:name="Tc_2BU6z5RaGkicZoU1FPnGKg_18_2"/>
      <w:bookmarkStart w:id="669" w:name="Tc_UzVy1QeIeEWR0Ukib-lWAw_16_16"/>
      <w:bookmarkStart w:id="670" w:name="Tc_u6N5QwIid0uQ30D-1hJdZA_16_14"/>
      <w:bookmarkStart w:id="671" w:name="Tc_TDOZP8V7x0-QDTe6M966qw_16_13"/>
      <w:bookmarkStart w:id="672" w:name="Tc_r--zZavFRk-uyfp-JJoSFQ_16_10"/>
      <w:bookmarkStart w:id="673" w:name="Tc_7nyTN_lViUaOlX0kgOSz6w_16_7"/>
      <w:bookmarkStart w:id="674" w:name="Tc_KyGworKjbEuiY47PxfdlBQ_16_4"/>
      <w:bookmarkStart w:id="675" w:name="Tc_-MqKwcyFWUWYSTx7JhS9bw_16_0"/>
      <w:bookmarkStart w:id="676" w:name="Tc_U5glBsKN_0KEZ_D6p5KfKA_15_14"/>
      <w:bookmarkStart w:id="677" w:name="Tc_vLbQI8g500G6BK96l_FQOg_15_8"/>
      <w:bookmarkStart w:id="678" w:name="Tc_gDU9dNAsDESOAumwIEvj6Q_15_5"/>
      <w:bookmarkStart w:id="679" w:name="Tc_Uh3T6sekUEKps1Rms4JwAw_15_2"/>
      <w:bookmarkStart w:id="680" w:name="Tc_78GwYQW1dk-gFtqr5FRcOQ_15_0"/>
      <w:bookmarkStart w:id="681" w:name="Tc_8hIBNs0m7UOV_fHYjshcPw_14_11"/>
      <w:bookmarkStart w:id="682" w:name="Tc_30nq2omYeU6LXC0a2vTzvg_14_8"/>
      <w:bookmarkStart w:id="683" w:name="Tc_HRMvd7YVnUOwS9reCwwy7w_14_5"/>
      <w:bookmarkStart w:id="684" w:name="Tc_W5c6YUk9MkqNUzB30NauWg_14_2"/>
      <w:bookmarkStart w:id="685" w:name="Tc_lQR-VQHOnEuieYHaeaoNyQ_14_0"/>
      <w:bookmarkStart w:id="686" w:name="Tc_UvEQWW3R90OFPayUfCzSSw_13_17"/>
      <w:bookmarkStart w:id="687" w:name="Tc_cNeEobzH30-7R5_XTAb7nA_13_14"/>
      <w:bookmarkStart w:id="688" w:name="Tc_XGVy08y7kUmcieEDPBGxgA_13_11"/>
      <w:bookmarkStart w:id="689" w:name="Tc_5XJL_9NqjEqJ6nve7IUHpw_13_0"/>
      <w:bookmarkStart w:id="690" w:name="Tc_ZqDI8GWjvEaFH0y37W9U2g_12_14"/>
      <w:bookmarkStart w:id="691" w:name="Tc_qZrAVlHVgUOfpSa-oy_Bkg_12_11"/>
      <w:bookmarkStart w:id="692" w:name="Tc_vBXc5GtYwUWyqLyn-htFcA_12_5"/>
      <w:bookmarkStart w:id="693" w:name="Tc_MnyiN5-JWEGJAufHWgJ1cw_12_2"/>
      <w:bookmarkStart w:id="694" w:name="Tc_2vZIbwIs8E6yeMgYjTD9VA_12_0"/>
      <w:bookmarkStart w:id="695" w:name="Tc_Ncq0Iak5I0qwfYqjG28dzQ_11_14"/>
      <w:bookmarkStart w:id="696" w:name="Tc_6uUe_QASSUORIiytYVOEGA_11_11"/>
      <w:bookmarkStart w:id="697" w:name="Tc_9a18NQ4jo0qdLdhTUo1Qiw_11_0"/>
      <w:bookmarkStart w:id="698" w:name="Tc_k5VEfYZy1kG1fkd-i97AbQ_10_14"/>
      <w:bookmarkStart w:id="699" w:name="Tc_3mPvyZu4tEKqs2udhb_zpQ_10_11"/>
      <w:bookmarkStart w:id="700" w:name="Tc_F9c7b_5Y10uyJjStrVbKHA_10_5"/>
      <w:bookmarkStart w:id="701" w:name="Tc_tCihQ91xg0qjr-EC19ivGQ_10_0"/>
      <w:bookmarkStart w:id="702" w:name="Tc_WLgBknDg70SFNvLFSD4i1g_9_14"/>
      <w:bookmarkStart w:id="703" w:name="Tc__u2ONZy2l0KX942ENomrHQ_9_11"/>
      <w:bookmarkStart w:id="704" w:name="Tc_9NlJXxnm206wTVheovg4Jg_9_0"/>
      <w:bookmarkStart w:id="705" w:name="Tc_3hiciqOkakuDb_TYkwKxvg_8_17"/>
      <w:bookmarkStart w:id="706" w:name="Tc_FvQwmmvSFk2pPSUo5WrTTg_8_14"/>
      <w:bookmarkStart w:id="707" w:name="Tc_UZu5c_mJGk25WiVulGZQwA_8_11"/>
      <w:bookmarkStart w:id="708" w:name="Tc_2-8dE9zGGE-dw5LY69R-yQ_8_0"/>
      <w:bookmarkStart w:id="709" w:name="Tc_mG6OjlxnHE-V9hPYLXrFhg_7_14"/>
      <w:bookmarkStart w:id="710" w:name="Tc_DZQe-H0-w02joROHFiP0Ag_7_11"/>
      <w:bookmarkStart w:id="711" w:name="Tc_rw32b-KVdEykzNtLjT3eYg_7_5"/>
      <w:bookmarkStart w:id="712" w:name="Tc_-S5vVSHoGEeL1X94M2GIjA_7_2"/>
      <w:bookmarkStart w:id="713" w:name="Tc_fVfEO9lZhU6Pk-afUhqsWQ_7_0"/>
      <w:bookmarkStart w:id="714" w:name="Tc_-X2AX2jVp06v51JwjBs5jw_6_16"/>
      <w:bookmarkStart w:id="715" w:name="Tc_gr95qZzGY0OlRT7WrMlIhA_6_13"/>
      <w:bookmarkStart w:id="716" w:name="Tc_LP-KGl-izECOaVdP20ZE6Q_6_10"/>
      <w:bookmarkStart w:id="717" w:name="Tc_sBwQxlvLwUqcF1RVc9A3Vg_6_7"/>
      <w:bookmarkStart w:id="718" w:name="Tc_ONIVHPCGEEy3C6ioZQmUuQ_6_4"/>
      <w:bookmarkStart w:id="719" w:name="Tc_vLZzHtomJEuDsd1daZzZMQ_6_0"/>
      <w:bookmarkStart w:id="720" w:name="Tc_rS8udS9620WYAbv7khL3tg_5_16"/>
      <w:bookmarkStart w:id="721" w:name="Tc_yyda0EZmuUiqFvHcrNgmQA_5_13"/>
      <w:bookmarkStart w:id="722" w:name="Tc_jZTJi38vBUKlbYdLV7F-TA_5_10"/>
      <w:bookmarkStart w:id="723" w:name="Tc_wnNJ_2oivEulPsYoLiNvsA_5_7"/>
      <w:bookmarkStart w:id="724" w:name="Tc_VwlK88V4mU6NpTBrqA918w_5_4"/>
      <w:bookmarkStart w:id="725" w:name="Tc_3hJYy5lHV0iVjwCsUZRKTQ_5_2"/>
      <w:bookmarkStart w:id="726" w:name="Tc_mI71Tw0Cbk-ZanGjhZSPrw_4_16"/>
      <w:bookmarkStart w:id="727" w:name="Tc_NRi--0CS50-yfcjFe_9OKQ_4_13"/>
      <w:bookmarkStart w:id="728" w:name="Tc_-6dk7FDhdkS9N7hnkIh3fQ_4_10"/>
      <w:bookmarkStart w:id="729" w:name="Tc_1TZqjWI0DkKYx_hOMSRNoQ_4_7"/>
      <w:bookmarkStart w:id="730" w:name="Tc_QOgkdxroMkilk-ec466JBQ_4_2"/>
      <w:bookmarkStart w:id="731" w:name="Tc_acaHgBZfFEiU_Jrhki3IQA_3_16"/>
      <w:bookmarkStart w:id="732" w:name="Tc_pPmW5crkZUKWhFyFMUProQ_3_13"/>
      <w:bookmarkStart w:id="733" w:name="Tc_GHiAQKvxqUKOEKtTBQS3IA_3_10"/>
      <w:bookmarkStart w:id="734" w:name="Tc_sLUuy4S0-Eq78hinm3IkzA_3_7"/>
      <w:bookmarkStart w:id="735" w:name="Tc_zTmthoIh6kCizbAM5tjkXw_2_13"/>
      <w:bookmarkStart w:id="736" w:name="Tc_E5oy9nEkXU-jOxb48zxLZQ_2_10"/>
      <w:bookmarkStart w:id="737" w:name="Tc_VQkTnwkCREWdweHt6w5qeA_1_2"/>
      <w:bookmarkStart w:id="738" w:name="_144d4bd5_eda0_42e6_afe5_09bfd4ea1594"/>
      <w:bookmarkStart w:id="739" w:name="Tc_PimyBP-cZkW6w_tPAGcJ3w_31_16"/>
      <w:bookmarkStart w:id="740" w:name="Tc_PrU_rgOJrkOGczfWXAQjrw_31_13"/>
      <w:bookmarkStart w:id="741" w:name="Tc_f66mf_ZpcUy2b6oOeFHSQw_31_10"/>
      <w:bookmarkStart w:id="742" w:name="Tc_Z3Q4EaFnSk-dhZ65hYOo_Q_31_7"/>
      <w:bookmarkStart w:id="743" w:name="Tc_71AkEzwtx02ZnYHS3-WCGw_31_4"/>
      <w:bookmarkStart w:id="744" w:name="Tc_KPOS1Ikp8UigLr7gsgSGGg_31_0"/>
      <w:bookmarkStart w:id="745" w:name="Tc_i4785l-8-E6Og_t1K2O5WQ_30_14"/>
      <w:bookmarkStart w:id="746" w:name="Tc_Ph8Oriz_8Um3wSi-BLfTmA_30_8"/>
      <w:bookmarkStart w:id="747" w:name="Tc_-bBWAyaF9EmLBImJsVQVvw_30_5"/>
      <w:bookmarkStart w:id="748" w:name="Tc_dmX2nsP3SEuJ1xns2i29Mw_30_2"/>
      <w:bookmarkStart w:id="749" w:name="Tc_GJMBKjcmcEqv-uujWOjmLQ_30_0"/>
      <w:bookmarkStart w:id="750" w:name="Tc_cAp0XKFLkU-Sp2rNVyZeMQ_29_11"/>
      <w:bookmarkStart w:id="751" w:name="Tc_SfekZU41n0Gx-8e5jDgJvw_29_8"/>
      <w:bookmarkStart w:id="752" w:name="Tc_9rPm-KzdPE2id9-elEXVAA_29_5"/>
      <w:bookmarkStart w:id="753" w:name="Tc_yYel9unWCU-zfg6V_IEZhQ_29_2"/>
      <w:bookmarkStart w:id="754" w:name="Tc_SzqkKvg_3EOCePMoP9yEoQ_29_0"/>
      <w:bookmarkStart w:id="755" w:name="Tc_1wojIG16HEy0_RDxiedX_A_28_17"/>
      <w:bookmarkStart w:id="756" w:name="Tc_k0x1aDhx6U6gytZ251D_qA_28_14"/>
      <w:bookmarkStart w:id="757" w:name="Tc_kAOLV-f850W4TN99yqjpWA_28_11"/>
      <w:bookmarkStart w:id="758" w:name="Tc_s0VkZVJznUyS6rG3yObWSA_28_8"/>
      <w:bookmarkStart w:id="759" w:name="Tc_8GR9hee33EO_XSPDeuuqPw_28_5"/>
      <w:bookmarkStart w:id="760" w:name="Tc_jzxkoSz4X0iOFl-s4rLJ9Q_28_0"/>
      <w:bookmarkStart w:id="761" w:name="Tc_uUJsLtUpr0mngbfS7t7VUA_27_14"/>
      <w:bookmarkStart w:id="762" w:name="Tc_7EtxZnqn4Emeoo0OIb5gQQ_27_11"/>
      <w:bookmarkStart w:id="763" w:name="Tc_Onts-VQtDUiMORlHpDI-Gg_27_5"/>
      <w:bookmarkStart w:id="764" w:name="Tc_J7jdez59TkKv4BwS2E8Axg_27_0"/>
      <w:bookmarkStart w:id="765" w:name="Tc_FYZ5eC6Ew0mY5KS9wBDE6g_26_14"/>
      <w:bookmarkStart w:id="766" w:name="Tc_S973KexqZk2_qZSaF2ovNQ_26_11"/>
      <w:bookmarkStart w:id="767" w:name="Tc_FgnmQ6f9Y0CK_ebaIO4wcQ_26_0"/>
      <w:bookmarkStart w:id="768" w:name="Tc_vlm4NPbvBEOBRi2iXsZ3vg_25_17"/>
      <w:bookmarkStart w:id="769" w:name="Tc_XOw7B_HqikS1SgJXFhFEkg_25_14"/>
      <w:bookmarkStart w:id="770" w:name="Tc_MNNKidvCbkaiXcAtdsJ8Ng_25_11"/>
      <w:bookmarkStart w:id="771" w:name="Tc_WzbCXfnwR0mSX9bnr2VGhA_25_0"/>
      <w:bookmarkStart w:id="772" w:name="Tc_C53V5E_5rESyPR5DuQVolA_24_14"/>
      <w:bookmarkStart w:id="773" w:name="Tc_HE0iA9RalUOLYOLLwzestg_24_11"/>
      <w:bookmarkStart w:id="774" w:name="Tc_N3wAvduofUKWBBtNgMygzg_24_5"/>
      <w:bookmarkStart w:id="775" w:name="Tc_7gic7wSP206J_6zEIPVnxA_24_2"/>
      <w:bookmarkStart w:id="776" w:name="Tc_opGWn-1PsEy-huNhj5JpBQ_24_0"/>
      <w:bookmarkStart w:id="777" w:name="Tc_u_7NnmbQXU6iApBFRSDtNw_23_16"/>
      <w:bookmarkStart w:id="778" w:name="Tc_qQDdlBqRjkmLf0n0Yldilw_23_13"/>
      <w:bookmarkStart w:id="779" w:name="Tc_sdxeT7DPSUafl_gTAf_CKw_23_10"/>
      <w:bookmarkStart w:id="780" w:name="Tc_guFNSLqDWEycF6OtxdWRSQ_23_7"/>
      <w:bookmarkStart w:id="781" w:name="Tc_OSYSi8d220KsWzH5RLAk2w_23_4"/>
      <w:bookmarkStart w:id="782" w:name="Tc_fdk-HmCMwUCxa_xraalo1Q_23_0"/>
      <w:bookmarkStart w:id="783" w:name="Tc_qa7_uIibfkKuIJZbuDKORw_22_16"/>
      <w:bookmarkStart w:id="784" w:name="Tc_Rm44muZvs0Wks87KGp1IeQ_22_13"/>
      <w:bookmarkStart w:id="785" w:name="Tc_v_4TGhD9xU--H8t-BsG61A_22_10"/>
      <w:bookmarkStart w:id="786" w:name="Tc_E8b0eGhc2UubsFFoeOEQUQ_22_7"/>
      <w:bookmarkStart w:id="787" w:name="Tc_et8zOQuf7kuGkGA9upFLrg_22_4"/>
      <w:bookmarkStart w:id="788" w:name="Tc_XTsN3aAW6EWpM9IgZrfIBA_22_2"/>
      <w:bookmarkStart w:id="789" w:name="Tc_b3ITpMxq5EyVsSXDa5i13g_21_16"/>
      <w:bookmarkStart w:id="790" w:name="Tc_A_cA9kRE8U-mYBrMlbrd0g_21_13"/>
      <w:bookmarkStart w:id="791" w:name="Tc_LJfspvqHMEaiBqf2USzcCQ_21_10"/>
      <w:bookmarkStart w:id="792" w:name="Tc_B8F4dyW23EqLfnbjAe7JuQ_21_7"/>
      <w:bookmarkStart w:id="793" w:name="Tc_1DCMz0ijF0iY522JCC5LXQ_21_2"/>
      <w:bookmarkStart w:id="794" w:name="Tc_qT7yv2e3jE6KtnN3kbu1tQ_20_16"/>
      <w:bookmarkStart w:id="795" w:name="Tc_oDpf-mEemkORwteEksHqjw_20_13"/>
      <w:bookmarkStart w:id="796" w:name="Tc_blYErSULG06INuKGbe38Kw_20_7"/>
      <w:bookmarkStart w:id="797" w:name="Tc_aGXvqzwRe0SoGgHjHSc6qA_19_13"/>
      <w:bookmarkStart w:id="798" w:name="Tc_2BU6z5RaGkicZoU1FPnGKg_18_2"/>
      <w:bookmarkStart w:id="799" w:name="Tc_UzVy1QeIeEWR0Ukib-lWAw_16_16"/>
      <w:bookmarkStart w:id="800" w:name="Tc_u6N5QwIid0uQ30D-1hJdZA_16_14"/>
      <w:bookmarkStart w:id="801" w:name="Tc_TDOZP8V7x0-QDTe6M966qw_16_13"/>
      <w:bookmarkStart w:id="802" w:name="Tc_r--zZavFRk-uyfp-JJoSFQ_16_10"/>
      <w:bookmarkStart w:id="803" w:name="Tc_7nyTN_lViUaOlX0kgOSz6w_16_7"/>
      <w:bookmarkStart w:id="804" w:name="Tc_KyGworKjbEuiY47PxfdlBQ_16_4"/>
      <w:bookmarkStart w:id="805" w:name="Tc_-MqKwcyFWUWYSTx7JhS9bw_16_0"/>
      <w:bookmarkStart w:id="806" w:name="Tc_U5glBsKN_0KEZ_D6p5KfKA_15_14"/>
      <w:bookmarkStart w:id="807" w:name="Tc_vLbQI8g500G6BK96l_FQOg_15_8"/>
      <w:bookmarkStart w:id="808" w:name="Tc_gDU9dNAsDESOAumwIEvj6Q_15_5"/>
      <w:bookmarkStart w:id="809" w:name="Tc_Uh3T6sekUEKps1Rms4JwAw_15_2"/>
      <w:bookmarkStart w:id="810" w:name="Tc_78GwYQW1dk-gFtqr5FRcOQ_15_0"/>
      <w:bookmarkStart w:id="811" w:name="Tc_8hIBNs0m7UOV_fHYjshcPw_14_11"/>
      <w:bookmarkStart w:id="812" w:name="Tc_30nq2omYeU6LXC0a2vTzvg_14_8"/>
      <w:bookmarkStart w:id="813" w:name="Tc_HRMvd7YVnUOwS9reCwwy7w_14_5"/>
      <w:bookmarkStart w:id="814" w:name="Tc_W5c6YUk9MkqNUzB30NauWg_14_2"/>
      <w:bookmarkStart w:id="815" w:name="Tc_lQR-VQHOnEuieYHaeaoNyQ_14_0"/>
      <w:bookmarkStart w:id="816" w:name="Tc_UvEQWW3R90OFPayUfCzSSw_13_17"/>
      <w:bookmarkStart w:id="817" w:name="Tc_cNeEobzH30-7R5_XTAb7nA_13_14"/>
      <w:bookmarkStart w:id="818" w:name="Tc_XGVy08y7kUmcieEDPBGxgA_13_11"/>
      <w:bookmarkStart w:id="819" w:name="Tc_5XJL_9NqjEqJ6nve7IUHpw_13_0"/>
      <w:bookmarkStart w:id="820" w:name="Tc_ZqDI8GWjvEaFH0y37W9U2g_12_14"/>
      <w:bookmarkStart w:id="821" w:name="Tc_qZrAVlHVgUOfpSa-oy_Bkg_12_11"/>
      <w:bookmarkStart w:id="822" w:name="Tc_vBXc5GtYwUWyqLyn-htFcA_12_5"/>
      <w:bookmarkStart w:id="823" w:name="Tc_MnyiN5-JWEGJAufHWgJ1cw_12_2"/>
      <w:bookmarkStart w:id="824" w:name="Tc_2vZIbwIs8E6yeMgYjTD9VA_12_0"/>
      <w:bookmarkStart w:id="825" w:name="Tc_Ncq0Iak5I0qwfYqjG28dzQ_11_14"/>
      <w:bookmarkStart w:id="826" w:name="Tc_6uUe_QASSUORIiytYVOEGA_11_11"/>
      <w:bookmarkStart w:id="827" w:name="Tc_9a18NQ4jo0qdLdhTUo1Qiw_11_0"/>
      <w:bookmarkStart w:id="828" w:name="Tc_k5VEfYZy1kG1fkd-i97AbQ_10_14"/>
      <w:bookmarkStart w:id="829" w:name="Tc_3mPvyZu4tEKqs2udhb_zpQ_10_11"/>
      <w:bookmarkStart w:id="830" w:name="Tc_F9c7b_5Y10uyJjStrVbKHA_10_5"/>
      <w:bookmarkStart w:id="831" w:name="Tc_tCihQ91xg0qjr-EC19ivGQ_10_0"/>
      <w:bookmarkStart w:id="832" w:name="Tc_WLgBknDg70SFNvLFSD4i1g_9_14"/>
      <w:bookmarkStart w:id="833" w:name="Tc__u2ONZy2l0KX942ENomrHQ_9_11"/>
      <w:bookmarkStart w:id="834" w:name="Tc_9NlJXxnm206wTVheovg4Jg_9_0"/>
      <w:bookmarkStart w:id="835" w:name="Tc_3hiciqOkakuDb_TYkwKxvg_8_17"/>
      <w:bookmarkStart w:id="836" w:name="Tc_FvQwmmvSFk2pPSUo5WrTTg_8_14"/>
      <w:bookmarkStart w:id="837" w:name="Tc_UZu5c_mJGk25WiVulGZQwA_8_11"/>
      <w:bookmarkStart w:id="838" w:name="Tc_2-8dE9zGGE-dw5LY69R-yQ_8_0"/>
      <w:bookmarkStart w:id="839" w:name="Tc_mG6OjlxnHE-V9hPYLXrFhg_7_14"/>
      <w:bookmarkStart w:id="840" w:name="Tc_DZQe-H0-w02joROHFiP0Ag_7_11"/>
      <w:bookmarkStart w:id="841" w:name="Tc_rw32b-KVdEykzNtLjT3eYg_7_5"/>
      <w:bookmarkStart w:id="842" w:name="Tc_-S5vVSHoGEeL1X94M2GIjA_7_2"/>
      <w:bookmarkStart w:id="843" w:name="Tc_fVfEO9lZhU6Pk-afUhqsWQ_7_0"/>
      <w:bookmarkStart w:id="844" w:name="Tc_-X2AX2jVp06v51JwjBs5jw_6_16"/>
      <w:bookmarkStart w:id="845" w:name="Tc_gr95qZzGY0OlRT7WrMlIhA_6_13"/>
      <w:bookmarkStart w:id="846" w:name="Tc_LP-KGl-izECOaVdP20ZE6Q_6_10"/>
      <w:bookmarkStart w:id="847" w:name="Tc_sBwQxlvLwUqcF1RVc9A3Vg_6_7"/>
      <w:bookmarkStart w:id="848" w:name="Tc_ONIVHPCGEEy3C6ioZQmUuQ_6_4"/>
      <w:bookmarkStart w:id="849" w:name="Tc_vLZzHtomJEuDsd1daZzZMQ_6_0"/>
      <w:bookmarkStart w:id="850" w:name="Tc_rS8udS9620WYAbv7khL3tg_5_16"/>
      <w:bookmarkStart w:id="851" w:name="Tc_yyda0EZmuUiqFvHcrNgmQA_5_13"/>
      <w:bookmarkStart w:id="852" w:name="Tc_jZTJi38vBUKlbYdLV7F-TA_5_10"/>
      <w:bookmarkStart w:id="853" w:name="Tc_wnNJ_2oivEulPsYoLiNvsA_5_7"/>
      <w:bookmarkStart w:id="854" w:name="Tc_VwlK88V4mU6NpTBrqA918w_5_4"/>
      <w:bookmarkStart w:id="855" w:name="Tc_3hJYy5lHV0iVjwCsUZRKTQ_5_2"/>
      <w:bookmarkStart w:id="856" w:name="Tc_mI71Tw0Cbk-ZanGjhZSPrw_4_16"/>
      <w:bookmarkStart w:id="857" w:name="Tc_NRi--0CS50-yfcjFe_9OKQ_4_13"/>
      <w:bookmarkStart w:id="858" w:name="Tc_-6dk7FDhdkS9N7hnkIh3fQ_4_10"/>
      <w:bookmarkStart w:id="859" w:name="Tc_1TZqjWI0DkKYx_hOMSRNoQ_4_7"/>
      <w:bookmarkStart w:id="860" w:name="Tc_QOgkdxroMkilk-ec466JBQ_4_2"/>
      <w:bookmarkStart w:id="861" w:name="Tc_acaHgBZfFEiU_Jrhki3IQA_3_16"/>
      <w:bookmarkStart w:id="862" w:name="Tc_pPmW5crkZUKWhFyFMUProQ_3_13"/>
      <w:bookmarkStart w:id="863" w:name="Tc_GHiAQKvxqUKOEKtTBQS3IA_3_10"/>
      <w:bookmarkStart w:id="864" w:name="Tc_sLUuy4S0-Eq78hinm3IkzA_3_7"/>
      <w:bookmarkStart w:id="865" w:name="Tc_zTmthoIh6kCizbAM5tjkXw_2_13"/>
      <w:bookmarkStart w:id="866" w:name="Tc_E5oy9nEkXU-jOxb48zxLZQ_2_10"/>
      <w:bookmarkStart w:id="867" w:name="Tc_VQkTnwkCREWdweHt6w5qeA_1_2"/>
      <w:bookmarkStart w:id="868" w:name="_144d4bd5_eda0_42e6_afe5_09bfd4ea1594"/>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p>
    <w:tbl>
      <w:tblPr>
        <w:tblW w:w="10205" w:type="dxa"/>
        <w:jc w:val="left"/>
        <w:tblInd w:w="0" w:type="dxa"/>
        <w:tblLayout w:type="fixed"/>
        <w:tblCellMar>
          <w:top w:w="0" w:type="dxa"/>
          <w:left w:w="0" w:type="dxa"/>
          <w:bottom w:w="0" w:type="dxa"/>
          <w:right w:w="0" w:type="dxa"/>
        </w:tblCellMar>
      </w:tblPr>
      <w:tblGrid>
        <w:gridCol w:w="2091"/>
        <w:gridCol w:w="326"/>
        <w:gridCol w:w="1038"/>
        <w:gridCol w:w="326"/>
        <w:gridCol w:w="230"/>
        <w:gridCol w:w="461"/>
        <w:gridCol w:w="326"/>
        <w:gridCol w:w="211"/>
        <w:gridCol w:w="783"/>
        <w:gridCol w:w="326"/>
        <w:gridCol w:w="247"/>
        <w:gridCol w:w="864"/>
        <w:gridCol w:w="326"/>
        <w:gridCol w:w="370"/>
        <w:gridCol w:w="846"/>
        <w:gridCol w:w="326"/>
        <w:gridCol w:w="212"/>
        <w:gridCol w:w="896"/>
      </w:tblGrid>
      <w:tr>
        <w:trPr/>
        <w:tc>
          <w:tcPr>
            <w:tcW w:w="2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27785" cy="175260"/>
                      <wp:effectExtent l="0" t="0" r="0" b="0"/>
                      <wp:wrapNone/>
                      <wp:docPr id="106" name="Frame106"/>
                      <a:graphic xmlns:a="http://schemas.openxmlformats.org/drawingml/2006/main">
                        <a:graphicData uri="http://schemas.microsoft.com/office/word/2010/wordprocessingShape">
                          <wps:wsp>
                            <wps:cNvSpPr txBox="1"/>
                            <wps:spPr>
                              <a:xfrm>
                                <a:off x="0" y="0"/>
                                <a:ext cx="1327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59130" cy="175260"/>
                      <wp:effectExtent l="0" t="0" r="0" b="0"/>
                      <wp:wrapNone/>
                      <wp:docPr id="108" name="Frame108"/>
                      <a:graphic xmlns:a="http://schemas.openxmlformats.org/drawingml/2006/main">
                        <a:graphicData uri="http://schemas.microsoft.com/office/word/2010/wordprocessingShape">
                          <wps:wsp>
                            <wps:cNvSpPr txBox="1"/>
                            <wps:spPr>
                              <a:xfrm>
                                <a:off x="0" y="0"/>
                                <a:ext cx="659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46050" cy="175260"/>
                      <wp:effectExtent l="0" t="0" r="0" b="0"/>
                      <wp:wrapNone/>
                      <wp:docPr id="110" name="Frame11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92735" cy="175260"/>
                      <wp:effectExtent l="0" t="0" r="0" b="0"/>
                      <wp:wrapNone/>
                      <wp:docPr id="111" name="Frame111"/>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97205" cy="175260"/>
                      <wp:effectExtent l="0" t="0" r="0" b="0"/>
                      <wp:wrapNone/>
                      <wp:docPr id="114" name="Frame114"/>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56845" cy="175260"/>
                      <wp:effectExtent l="0" t="0" r="0" b="0"/>
                      <wp:wrapNone/>
                      <wp:docPr id="116" name="Frame116"/>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48640" cy="175260"/>
                      <wp:effectExtent l="0" t="0" r="0" b="0"/>
                      <wp:wrapNone/>
                      <wp:docPr id="117" name="Frame117"/>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34950" cy="175260"/>
                      <wp:effectExtent l="0" t="0" r="0" b="0"/>
                      <wp:wrapNone/>
                      <wp:docPr id="119" name="Frame119"/>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37210" cy="175260"/>
                      <wp:effectExtent l="0" t="0" r="0" b="0"/>
                      <wp:wrapNone/>
                      <wp:docPr id="120" name="Frame120"/>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4620" cy="175260"/>
                      <wp:effectExtent l="0" t="0" r="0" b="0"/>
                      <wp:wrapNone/>
                      <wp:docPr id="122" name="Frame122"/>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68960" cy="175260"/>
                      <wp:effectExtent l="0" t="0" r="0" b="0"/>
                      <wp:wrapNone/>
                      <wp:docPr id="123" name="Frame12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788"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Thirty-Nine Weeks Ended September 27, 2023</w:t>
            </w:r>
          </w:p>
        </w:tc>
      </w:tr>
      <w:tr>
        <w:trPr/>
        <w:tc>
          <w:tcPr>
            <w:tcW w:w="2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center"/>
              <w:rPr/>
            </w:pPr>
            <w:r>
              <w:rPr/>
              <w:t>​</w:t>
            </w:r>
          </w:p>
        </w:tc>
      </w:tr>
      <w:tr>
        <w:trPr/>
        <w:tc>
          <w:tcPr>
            <w:tcW w:w="2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9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    </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    </w:t>
            </w:r>
          </w:p>
        </w:tc>
        <w:tc>
          <w:tcPr>
            <w:tcW w:w="110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5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99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10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26" w:type="dxa"/>
            <w:tcBorders/>
            <w:vAlign w:val="center"/>
          </w:tcPr>
          <w:p>
            <w:pPr>
              <w:pStyle w:val="TableContents"/>
              <w:bidi w:val="0"/>
              <w:spacing w:before="0" w:after="1"/>
              <w:ind w:left="0" w:right="0" w:hanging="0"/>
              <w:jc w:val="left"/>
              <w:rPr/>
            </w:pPr>
            <w:r>
              <w:rPr/>
              <w:t>    </w:t>
            </w:r>
          </w:p>
        </w:tc>
        <w:tc>
          <w:tcPr>
            <w:tcW w:w="11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0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28, 2022</w:t>
            </w:r>
          </w:p>
        </w:tc>
        <w:tc>
          <w:tcPr>
            <w:tcW w:w="326"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37,008,061</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292,244</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(11,592)</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281,148</w:t>
            </w:r>
          </w:p>
        </w:tc>
      </w:tr>
      <w:tr>
        <w:trPr/>
        <w:tc>
          <w:tcPr>
            <w:tcW w:w="2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2,539</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2,539</w:t>
            </w:r>
          </w:p>
        </w:tc>
      </w:tr>
      <w:tr>
        <w:trPr/>
        <w:tc>
          <w:tcPr>
            <w:tcW w:w="2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related to restricted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391,432</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2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 net</w:t>
            </w:r>
          </w:p>
        </w:tc>
        <w:tc>
          <w:tcPr>
            <w:tcW w:w="326"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219,960</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1,171</w:t>
            </w:r>
          </w:p>
        </w:tc>
      </w:tr>
      <w:tr>
        <w:trPr/>
        <w:tc>
          <w:tcPr>
            <w:tcW w:w="2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 for employee tax withholdings</w:t>
            </w:r>
          </w:p>
        </w:tc>
        <w:tc>
          <w:tcPr>
            <w:tcW w:w="326"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(23,129)</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2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(4,530,850)</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(46,570)</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(46,616)</w:t>
            </w:r>
          </w:p>
        </w:tc>
      </w:tr>
      <w:tr>
        <w:trPr/>
        <w:tc>
          <w:tcPr>
            <w:tcW w:w="2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 - excise tax</w:t>
            </w:r>
          </w:p>
        </w:tc>
        <w:tc>
          <w:tcPr>
            <w:tcW w:w="326"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r>
      <w:tr>
        <w:trPr/>
        <w:tc>
          <w:tcPr>
            <w:tcW w:w="2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 of common stock related to restricted shares</w:t>
            </w:r>
          </w:p>
        </w:tc>
        <w:tc>
          <w:tcPr>
            <w:tcW w:w="326"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(108,004)</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2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8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 </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2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103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21,203</w:t>
            </w:r>
          </w:p>
        </w:tc>
        <w:tc>
          <w:tcPr>
            <w:tcW w:w="326" w:type="dxa"/>
            <w:tcBorders/>
            <w:vAlign w:val="center"/>
          </w:tcPr>
          <w:p>
            <w:pPr>
              <w:pStyle w:val="TableContents"/>
              <w:bidi w:val="0"/>
              <w:spacing w:before="0" w:after="1"/>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21,203</w:t>
            </w:r>
          </w:p>
        </w:tc>
      </w:tr>
      <w:tr>
        <w:trPr/>
        <w:tc>
          <w:tcPr>
            <w:tcW w:w="20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September 27, 2023</w:t>
            </w:r>
          </w:p>
        </w:tc>
        <w:tc>
          <w:tcPr>
            <w:tcW w:w="326" w:type="dxa"/>
            <w:tcBorders/>
            <w:shd w:fill="CCEEFF" w:val="clear"/>
            <w:vAlign w:val="center"/>
          </w:tcPr>
          <w:p>
            <w:pPr>
              <w:pStyle w:val="TableContents"/>
              <w:bidi w:val="0"/>
              <w:spacing w:before="0" w:after="1"/>
              <w:ind w:left="0" w:right="0" w:hanging="0"/>
              <w:jc w:val="left"/>
              <w:rPr/>
            </w:pPr>
            <w:r>
              <w:rPr/>
              <w:t>​</w:t>
            </w:r>
          </w:p>
        </w:tc>
        <w:tc>
          <w:tcPr>
            <w:tcW w:w="10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32,957,470</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248,732</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9,611</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258,672</w:t>
            </w:r>
          </w:p>
        </w:tc>
      </w:tr>
      <w:tr>
        <w:trPr/>
        <w:tc>
          <w:tcPr>
            <w:tcW w:w="2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2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788"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Thirty-Nine Weeks Ended September 28, 2022</w:t>
            </w:r>
          </w:p>
        </w:tc>
      </w:tr>
      <w:tr>
        <w:trPr/>
        <w:tc>
          <w:tcPr>
            <w:tcW w:w="2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47"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center"/>
              <w:rPr/>
            </w:pPr>
            <w:r>
              <w:rPr/>
              <w:t>​</w:t>
            </w:r>
          </w:p>
        </w:tc>
      </w:tr>
      <w:tr>
        <w:trPr/>
        <w:tc>
          <w:tcPr>
            <w:tcW w:w="2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9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    </w:t>
            </w:r>
          </w:p>
        </w:tc>
        <w:tc>
          <w:tcPr>
            <w:tcW w:w="247"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    </w:t>
            </w:r>
          </w:p>
        </w:tc>
        <w:tc>
          <w:tcPr>
            <w:tcW w:w="110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5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99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10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(Loss) Income </w:t>
            </w:r>
          </w:p>
        </w:tc>
        <w:tc>
          <w:tcPr>
            <w:tcW w:w="326" w:type="dxa"/>
            <w:tcBorders/>
            <w:vAlign w:val="center"/>
          </w:tcPr>
          <w:p>
            <w:pPr>
              <w:pStyle w:val="TableContents"/>
              <w:bidi w:val="0"/>
              <w:spacing w:before="0" w:after="1"/>
              <w:ind w:left="0" w:right="0" w:hanging="0"/>
              <w:jc w:val="left"/>
              <w:rPr/>
            </w:pPr>
            <w:r>
              <w:rPr/>
              <w:t>    </w:t>
            </w:r>
          </w:p>
        </w:tc>
        <w:tc>
          <w:tcPr>
            <w:tcW w:w="11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0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29, 2021</w:t>
            </w:r>
          </w:p>
        </w:tc>
        <w:tc>
          <w:tcPr>
            <w:tcW w:w="326"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36,601,648</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342,941</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(32,393)</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310,623</w:t>
            </w:r>
          </w:p>
        </w:tc>
      </w:tr>
      <w:tr>
        <w:trPr/>
        <w:tc>
          <w:tcPr>
            <w:tcW w:w="2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2,806</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2,806</w:t>
            </w:r>
          </w:p>
        </w:tc>
      </w:tr>
      <w:tr>
        <w:trPr/>
        <w:tc>
          <w:tcPr>
            <w:tcW w:w="2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related to restricted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352,114</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8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 </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2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 net</w:t>
            </w:r>
          </w:p>
        </w:tc>
        <w:tc>
          <w:tcPr>
            <w:tcW w:w="326"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150,475</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1,579</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w:t>
            </w:r>
          </w:p>
        </w:tc>
      </w:tr>
      <w:tr>
        <w:trPr/>
        <w:tc>
          <w:tcPr>
            <w:tcW w:w="2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 for employee tax withholdings</w:t>
            </w:r>
          </w:p>
        </w:tc>
        <w:tc>
          <w:tcPr>
            <w:tcW w:w="326"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(22,901)</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8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 </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r>
      <w:tr>
        <w:trPr/>
        <w:tc>
          <w:tcPr>
            <w:tcW w:w="2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 of common stock related to restricted shares</w:t>
            </w:r>
          </w:p>
        </w:tc>
        <w:tc>
          <w:tcPr>
            <w:tcW w:w="326"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(27,931)</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2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r>
      <w:tr>
        <w:trPr/>
        <w:tc>
          <w:tcPr>
            <w:tcW w:w="2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103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14,265</w:t>
            </w:r>
          </w:p>
        </w:tc>
        <w:tc>
          <w:tcPr>
            <w:tcW w:w="326" w:type="dxa"/>
            <w:tcBorders/>
            <w:vAlign w:val="center"/>
          </w:tcPr>
          <w:p>
            <w:pPr>
              <w:pStyle w:val="TableContents"/>
              <w:bidi w:val="0"/>
              <w:spacing w:before="0" w:after="1"/>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14,265</w:t>
            </w:r>
          </w:p>
        </w:tc>
      </w:tr>
      <w:tr>
        <w:trPr/>
        <w:tc>
          <w:tcPr>
            <w:tcW w:w="20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September 28, 2022</w:t>
            </w:r>
          </w:p>
        </w:tc>
        <w:tc>
          <w:tcPr>
            <w:tcW w:w="326" w:type="dxa"/>
            <w:tcBorders/>
            <w:shd w:fill="CCEEFF" w:val="clear"/>
            <w:vAlign w:val="center"/>
          </w:tcPr>
          <w:p>
            <w:pPr>
              <w:pStyle w:val="TableContents"/>
              <w:bidi w:val="0"/>
              <w:spacing w:before="0" w:after="1"/>
              <w:ind w:left="0" w:right="0" w:hanging="0"/>
              <w:jc w:val="left"/>
              <w:rPr/>
            </w:pPr>
            <w:r>
              <w:rPr/>
              <w:t>​</w:t>
            </w:r>
          </w:p>
        </w:tc>
        <w:tc>
          <w:tcPr>
            <w:tcW w:w="10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37,053,405</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347,079</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(18,128)</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329,511</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869" w:name="_a60581f6_1d82_47ae_8934_f1ecbb8e6ac5"/>
      <w:bookmarkEnd w:id="869"/>
      <w:r>
        <w:rPr>
          <w:rFonts w:ascii="Times New Roman;Times;serif" w:hAnsi="Times New Roman;Times;serif"/>
          <w:b/>
          <w:sz w:val="20"/>
        </w:rPr>
        <w:t>EL POLLO LOCO HOLDINGS, INC.</w:t>
      </w:r>
    </w:p>
    <w:p>
      <w:pPr>
        <w:pStyle w:val="TextBody"/>
        <w:bidi w:val="0"/>
        <w:spacing w:before="0" w:after="120"/>
        <w:ind w:left="0" w:right="0" w:hanging="0"/>
        <w:jc w:val="center"/>
        <w:rPr>
          <w:rFonts w:ascii="Times New Roman;Times;serif" w:hAnsi="Times New Roman;Times;serif"/>
          <w:b/>
          <w:sz w:val="20"/>
        </w:rPr>
      </w:pPr>
      <w:bookmarkStart w:id="870" w:name="CONDENSEDCONSOLIDATEDSTATEMENTSOFCASHFLO"/>
      <w:bookmarkEnd w:id="870"/>
      <w:r>
        <w:rPr>
          <w:rFonts w:ascii="Times New Roman;Times;serif" w:hAnsi="Times New Roman;Times;serif"/>
          <w:b/>
          <w:sz w:val="20"/>
        </w:rPr>
        <w:t>CONDENSED CONSOLIDATED STATEMENTS OF CASH FLOWS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871" w:name="Tc_MrzzYXIOAEy51lcMCvuW4g_43_5"/>
      <w:bookmarkStart w:id="872" w:name="Tc_fhuXLDpkPEiDEdROeYvn_A_43_2"/>
      <w:bookmarkStart w:id="873" w:name="Tc_Jz7gPEs09km0ZZqa0GDclg_43_0"/>
      <w:bookmarkStart w:id="874" w:name="Tc_zYXQW-5LI0SQo8y35z5qrA_42_0"/>
      <w:bookmarkStart w:id="875" w:name="Tc_NcK2kQZ3hkilUeup_Apm4g_41_0"/>
      <w:bookmarkStart w:id="876" w:name="Tc_KQKhreosBEKcXkqsSCRY0Q_40_0"/>
      <w:bookmarkStart w:id="877" w:name="Tc_t1uyaf-wVEytHnTg8qZghw_39_3"/>
      <w:bookmarkStart w:id="878" w:name="Tc_8ratnpWwhkaZcNJO79GMyg_39_0"/>
      <w:bookmarkStart w:id="879" w:name="Tc_wszcYXYlBkGudLLtzElsjw_38_0"/>
      <w:bookmarkStart w:id="880" w:name="Tc_7iA3SRZrAkSkfU1Xu-HzWQ_37_0"/>
      <w:bookmarkStart w:id="881" w:name="Tc_iJaGLghD7kijn74h3SWPog_36_6"/>
      <w:bookmarkStart w:id="882" w:name="Tc_ZlyqEcVDoEubY7CcLgDNNQ_36_0"/>
      <w:bookmarkStart w:id="883" w:name="Tc_GV24Y6SUz0WRexpyqcZ9WQ_35_0"/>
      <w:bookmarkStart w:id="884" w:name="Tc_QFmehmhPi060-mQDSa0bCg_34_0"/>
      <w:bookmarkStart w:id="885" w:name="Tc_Leyf1Uj9xEqcPh1NiovHQQ_33_6"/>
      <w:bookmarkStart w:id="886" w:name="Tc_FZwgqpCxDkO3c8fKc28Hgg_33_0"/>
      <w:bookmarkStart w:id="887" w:name="Tc_ayPGL5j5sEuykRQOXlKl_g_32_0"/>
      <w:bookmarkStart w:id="888" w:name="Tc_JXuaOs8eNUeUSGdFnJb05Q_31_0"/>
      <w:bookmarkStart w:id="889" w:name="Tc_5K678jLzPkiUCd7mj5zxNA_30_0"/>
      <w:bookmarkStart w:id="890" w:name="Tc_lXnRNbEqwEOe1A0QdztOgQ_29_6"/>
      <w:bookmarkStart w:id="891" w:name="Tc_--9MIz1H-0-TaKmfk0oozA_29_0"/>
      <w:bookmarkStart w:id="892" w:name="Tc_7m7JKNmLREiUgWbsl6rRog_28_6"/>
      <w:bookmarkStart w:id="893" w:name="Tc_sjkFoWKBIEi3A8m7nYVIiA_28_0"/>
      <w:bookmarkStart w:id="894" w:name="Tc_I4opI-yko0qMxWBCbkiRhQ_27_0"/>
      <w:bookmarkStart w:id="895" w:name="Tc_rrFjWHyA506eH9cwG0FGhg_26_0"/>
      <w:bookmarkStart w:id="896" w:name="Tc_cr4eLToaw0qDKCstGFun1w_25_0"/>
      <w:bookmarkStart w:id="897" w:name="Tc_qq3bOSppmkGodpK3sTeJQA_24_0"/>
      <w:bookmarkStart w:id="898" w:name="Tc_MdZmAAKgSkm-8xgA4xKxkg_23_0"/>
      <w:bookmarkStart w:id="899" w:name="Tc_TCVQeDn_8UmbGOEVBa3TpQ_22_0"/>
      <w:bookmarkStart w:id="900" w:name="Tc_qV-gji0Un0Sr09nAxWBMLA_21_0"/>
      <w:bookmarkStart w:id="901" w:name="Tc_mPWKTa2F8kKIH3bGFRnM3Q_20_0"/>
      <w:bookmarkStart w:id="902" w:name="Tc_JN1UuBN5QkazkRXpA6F2Xg_19_0"/>
      <w:bookmarkStart w:id="903" w:name="Tc_OtTsz2gRl0i9YhOKEPVCJw_18_0"/>
      <w:bookmarkStart w:id="904" w:name="Tc_M1hhOJ6LEk--9XjkCwGF6Q_17_0"/>
      <w:bookmarkStart w:id="905" w:name="Tc_uLetdW_RhEC_3MlQBK-o1Q_16_0"/>
      <w:bookmarkStart w:id="906" w:name="Tc_1diP7LFb10ObUjFNRjKj1g_15_0"/>
      <w:bookmarkStart w:id="907" w:name="Tc_Z8A0lcIUXEiN990JF0fyMQ_14_0"/>
      <w:bookmarkStart w:id="908" w:name="Tc_2GmYO_K4DUW8liV7MAywxA_13_6"/>
      <w:bookmarkStart w:id="909" w:name="Tc_aTcIpybr-EaGfQMsO8Fk8g_13_0"/>
      <w:bookmarkStart w:id="910" w:name="Tc_pzsMTERG7Uahynfw_4MFdg_12_0"/>
      <w:bookmarkStart w:id="911" w:name="Tc_O0_DQcH4w0aa4CRZdEfhRQ_11_6"/>
      <w:bookmarkStart w:id="912" w:name="Tc_a-7jMw49cEekIWFtxVZjWQ_11_0"/>
      <w:bookmarkStart w:id="913" w:name="Tc_iw8RjdYUjU-2L3ujzhUdAw_10_0"/>
      <w:bookmarkStart w:id="914" w:name="Tc_c_ENksLRWUiVIiHikijqAA_9_6"/>
      <w:bookmarkStart w:id="915" w:name="Tc_Mw6Aiz4gMkKRiPW63WC-hA_9_0"/>
      <w:bookmarkStart w:id="916" w:name="Tc_QdcjQcdcx0qBYMOmX-aalw_8_0"/>
      <w:bookmarkStart w:id="917" w:name="Tc_76mD3nll6kmEwwuU438ePA_7_0"/>
      <w:bookmarkStart w:id="918" w:name="Tc_AJR3XbU4EEq7BLMnS3CFmQ_6_0"/>
      <w:bookmarkStart w:id="919" w:name="Tc_B-z-5M8wWUCs2RAULWXoww_5_0"/>
      <w:bookmarkStart w:id="920" w:name="Tc_F-oSScIGf0y58DzC4PoFZw_4_5"/>
      <w:bookmarkStart w:id="921" w:name="Tc_bQqdtgtPhU-2VfrLBZ81CA_4_2"/>
      <w:bookmarkStart w:id="922" w:name="Tc_eqLfikDR8kKzKnQhdxBGfQ_4_0"/>
      <w:bookmarkStart w:id="923" w:name="Tc_lfT4-PJglkOHrrKlbgirCg_3_0"/>
      <w:bookmarkStart w:id="924" w:name="Tc_TEPp_HKibUWu1Q1N9z5zRw_2_5"/>
      <w:bookmarkStart w:id="925" w:name="Tc_6SQu_R0Jc0il8y9_Ywyt0w_2_2"/>
      <w:bookmarkStart w:id="926" w:name="Tc_ej1oBNL6HEKhjKUMOSzbJQ_1_2"/>
      <w:bookmarkStart w:id="927" w:name="_3c40fc06_aba3_474c_9d37_5388fc82aaee"/>
      <w:bookmarkStart w:id="928" w:name="Tc_MrzzYXIOAEy51lcMCvuW4g_43_5"/>
      <w:bookmarkStart w:id="929" w:name="Tc_fhuXLDpkPEiDEdROeYvn_A_43_2"/>
      <w:bookmarkStart w:id="930" w:name="Tc_Jz7gPEs09km0ZZqa0GDclg_43_0"/>
      <w:bookmarkStart w:id="931" w:name="Tc_zYXQW-5LI0SQo8y35z5qrA_42_0"/>
      <w:bookmarkStart w:id="932" w:name="Tc_NcK2kQZ3hkilUeup_Apm4g_41_0"/>
      <w:bookmarkStart w:id="933" w:name="Tc_KQKhreosBEKcXkqsSCRY0Q_40_0"/>
      <w:bookmarkStart w:id="934" w:name="Tc_t1uyaf-wVEytHnTg8qZghw_39_3"/>
      <w:bookmarkStart w:id="935" w:name="Tc_8ratnpWwhkaZcNJO79GMyg_39_0"/>
      <w:bookmarkStart w:id="936" w:name="Tc_wszcYXYlBkGudLLtzElsjw_38_0"/>
      <w:bookmarkStart w:id="937" w:name="Tc_7iA3SRZrAkSkfU1Xu-HzWQ_37_0"/>
      <w:bookmarkStart w:id="938" w:name="Tc_iJaGLghD7kijn74h3SWPog_36_6"/>
      <w:bookmarkStart w:id="939" w:name="Tc_ZlyqEcVDoEubY7CcLgDNNQ_36_0"/>
      <w:bookmarkStart w:id="940" w:name="Tc_GV24Y6SUz0WRexpyqcZ9WQ_35_0"/>
      <w:bookmarkStart w:id="941" w:name="Tc_QFmehmhPi060-mQDSa0bCg_34_0"/>
      <w:bookmarkStart w:id="942" w:name="Tc_Leyf1Uj9xEqcPh1NiovHQQ_33_6"/>
      <w:bookmarkStart w:id="943" w:name="Tc_FZwgqpCxDkO3c8fKc28Hgg_33_0"/>
      <w:bookmarkStart w:id="944" w:name="Tc_ayPGL5j5sEuykRQOXlKl_g_32_0"/>
      <w:bookmarkStart w:id="945" w:name="Tc_JXuaOs8eNUeUSGdFnJb05Q_31_0"/>
      <w:bookmarkStart w:id="946" w:name="Tc_5K678jLzPkiUCd7mj5zxNA_30_0"/>
      <w:bookmarkStart w:id="947" w:name="Tc_lXnRNbEqwEOe1A0QdztOgQ_29_6"/>
      <w:bookmarkStart w:id="948" w:name="Tc_--9MIz1H-0-TaKmfk0oozA_29_0"/>
      <w:bookmarkStart w:id="949" w:name="Tc_7m7JKNmLREiUgWbsl6rRog_28_6"/>
      <w:bookmarkStart w:id="950" w:name="Tc_sjkFoWKBIEi3A8m7nYVIiA_28_0"/>
      <w:bookmarkStart w:id="951" w:name="Tc_I4opI-yko0qMxWBCbkiRhQ_27_0"/>
      <w:bookmarkStart w:id="952" w:name="Tc_rrFjWHyA506eH9cwG0FGhg_26_0"/>
      <w:bookmarkStart w:id="953" w:name="Tc_cr4eLToaw0qDKCstGFun1w_25_0"/>
      <w:bookmarkStart w:id="954" w:name="Tc_qq3bOSppmkGodpK3sTeJQA_24_0"/>
      <w:bookmarkStart w:id="955" w:name="Tc_MdZmAAKgSkm-8xgA4xKxkg_23_0"/>
      <w:bookmarkStart w:id="956" w:name="Tc_TCVQeDn_8UmbGOEVBa3TpQ_22_0"/>
      <w:bookmarkStart w:id="957" w:name="Tc_qV-gji0Un0Sr09nAxWBMLA_21_0"/>
      <w:bookmarkStart w:id="958" w:name="Tc_mPWKTa2F8kKIH3bGFRnM3Q_20_0"/>
      <w:bookmarkStart w:id="959" w:name="Tc_JN1UuBN5QkazkRXpA6F2Xg_19_0"/>
      <w:bookmarkStart w:id="960" w:name="Tc_OtTsz2gRl0i9YhOKEPVCJw_18_0"/>
      <w:bookmarkStart w:id="961" w:name="Tc_M1hhOJ6LEk--9XjkCwGF6Q_17_0"/>
      <w:bookmarkStart w:id="962" w:name="Tc_uLetdW_RhEC_3MlQBK-o1Q_16_0"/>
      <w:bookmarkStart w:id="963" w:name="Tc_1diP7LFb10ObUjFNRjKj1g_15_0"/>
      <w:bookmarkStart w:id="964" w:name="Tc_Z8A0lcIUXEiN990JF0fyMQ_14_0"/>
      <w:bookmarkStart w:id="965" w:name="Tc_2GmYO_K4DUW8liV7MAywxA_13_6"/>
      <w:bookmarkStart w:id="966" w:name="Tc_aTcIpybr-EaGfQMsO8Fk8g_13_0"/>
      <w:bookmarkStart w:id="967" w:name="Tc_pzsMTERG7Uahynfw_4MFdg_12_0"/>
      <w:bookmarkStart w:id="968" w:name="Tc_O0_DQcH4w0aa4CRZdEfhRQ_11_6"/>
      <w:bookmarkStart w:id="969" w:name="Tc_a-7jMw49cEekIWFtxVZjWQ_11_0"/>
      <w:bookmarkStart w:id="970" w:name="Tc_iw8RjdYUjU-2L3ujzhUdAw_10_0"/>
      <w:bookmarkStart w:id="971" w:name="Tc_c_ENksLRWUiVIiHikijqAA_9_6"/>
      <w:bookmarkStart w:id="972" w:name="Tc_Mw6Aiz4gMkKRiPW63WC-hA_9_0"/>
      <w:bookmarkStart w:id="973" w:name="Tc_QdcjQcdcx0qBYMOmX-aalw_8_0"/>
      <w:bookmarkStart w:id="974" w:name="Tc_76mD3nll6kmEwwuU438ePA_7_0"/>
      <w:bookmarkStart w:id="975" w:name="Tc_AJR3XbU4EEq7BLMnS3CFmQ_6_0"/>
      <w:bookmarkStart w:id="976" w:name="Tc_B-z-5M8wWUCs2RAULWXoww_5_0"/>
      <w:bookmarkStart w:id="977" w:name="Tc_F-oSScIGf0y58DzC4PoFZw_4_5"/>
      <w:bookmarkStart w:id="978" w:name="Tc_bQqdtgtPhU-2VfrLBZ81CA_4_2"/>
      <w:bookmarkStart w:id="979" w:name="Tc_eqLfikDR8kKzKnQhdxBGfQ_4_0"/>
      <w:bookmarkStart w:id="980" w:name="Tc_lfT4-PJglkOHrrKlbgirCg_3_0"/>
      <w:bookmarkStart w:id="981" w:name="Tc_TEPp_HKibUWu1Q1N9z5zRw_2_5"/>
      <w:bookmarkStart w:id="982" w:name="Tc_6SQu_R0Jc0il8y9_Ywyt0w_2_2"/>
      <w:bookmarkStart w:id="983" w:name="Tc_ej1oBNL6HEKhjKUMOSzbJQ_1_2"/>
      <w:bookmarkStart w:id="984" w:name="_3c40fc06_aba3_474c_9d37_5388fc82aaee"/>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p>
    <w:tbl>
      <w:tblPr>
        <w:tblW w:w="10205" w:type="dxa"/>
        <w:jc w:val="left"/>
        <w:tblInd w:w="0" w:type="dxa"/>
        <w:tblLayout w:type="fixed"/>
        <w:tblCellMar>
          <w:top w:w="0" w:type="dxa"/>
          <w:left w:w="0" w:type="dxa"/>
          <w:bottom w:w="0" w:type="dxa"/>
          <w:right w:w="0" w:type="dxa"/>
        </w:tblCellMar>
      </w:tblPr>
      <w:tblGrid>
        <w:gridCol w:w="6306"/>
        <w:gridCol w:w="326"/>
        <w:gridCol w:w="353"/>
        <w:gridCol w:w="1193"/>
        <w:gridCol w:w="109"/>
        <w:gridCol w:w="353"/>
        <w:gridCol w:w="1193"/>
        <w:gridCol w:w="372"/>
      </w:tblGrid>
      <w:tr>
        <w:trPr/>
        <w:tc>
          <w:tcPr>
            <w:tcW w:w="6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004310" cy="175260"/>
                      <wp:effectExtent l="0" t="0" r="0" b="0"/>
                      <wp:wrapNone/>
                      <wp:docPr id="124" name="Frame124"/>
                      <a:graphic xmlns:a="http://schemas.openxmlformats.org/drawingml/2006/main">
                        <a:graphicData uri="http://schemas.microsoft.com/office/word/2010/wordprocessingShape">
                          <wps:wsp>
                            <wps:cNvSpPr txBox="1"/>
                            <wps:spPr>
                              <a:xfrm>
                                <a:off x="0" y="0"/>
                                <a:ext cx="400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24155" cy="175260"/>
                      <wp:effectExtent l="0" t="0" r="0" b="0"/>
                      <wp:wrapNone/>
                      <wp:docPr id="126" name="Frame126"/>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57555" cy="175260"/>
                      <wp:effectExtent l="0" t="0" r="0" b="0"/>
                      <wp:wrapNone/>
                      <wp:docPr id="127" name="Frame127"/>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24155" cy="175260"/>
                      <wp:effectExtent l="0" t="0" r="0" b="0"/>
                      <wp:wrapNone/>
                      <wp:docPr id="129" name="Frame129"/>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57555" cy="175260"/>
                      <wp:effectExtent l="0" t="0" r="0" b="0"/>
                      <wp:wrapNone/>
                      <wp:docPr id="130" name="Frame130"/>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36220" cy="175260"/>
                      <wp:effectExtent l="0" t="0" r="0" b="0"/>
                      <wp:wrapNone/>
                      <wp:docPr id="131" name="Frame131"/>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372" w:type="dxa"/>
            <w:tcBorders/>
            <w:vAlign w:val="center"/>
          </w:tcPr>
          <w:p>
            <w:pPr>
              <w:pStyle w:val="TableContents"/>
              <w:bidi w:val="0"/>
              <w:spacing w:before="0" w:after="0"/>
              <w:ind w:left="0" w:right="0" w:hanging="0"/>
              <w:jc w:val="left"/>
              <w:rPr/>
            </w:pPr>
            <w:r>
              <w:rPr/>
              <w:t>    </w:t>
            </w:r>
          </w:p>
        </w:tc>
      </w:tr>
      <w:tr>
        <w:trPr/>
        <w:tc>
          <w:tcPr>
            <w:tcW w:w="6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72" w:type="dxa"/>
            <w:tcBorders/>
            <w:vAlign w:val="center"/>
          </w:tcPr>
          <w:p>
            <w:pPr>
              <w:pStyle w:val="TableContents"/>
              <w:bidi w:val="0"/>
              <w:spacing w:before="0" w:after="0"/>
              <w:ind w:left="0" w:right="0" w:hanging="0"/>
              <w:jc w:val="left"/>
              <w:rPr/>
            </w:pPr>
            <w:r>
              <w:rPr/>
              <w:t>    </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pPr>
            <w:r>
              <w:rPr/>
              <w:t>  </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21,203</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14,265</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flows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11,277</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10,745</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2,539</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2,806</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receivable agreement expense (income)</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Fire insurance proceeds for expenses paid and lost profit</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loss on disposal of assets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recovery of insurance proceeds, property, equipment and expenses, net</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property and equipment</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1,032</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disposition of restaurants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(5,034)</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deferred financing costs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1,138</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2,351</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pPr>
            <w:r>
              <w:rPr/>
              <w:t>​</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and other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462</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(1,539)</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 (receivable)</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6,391</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(1,459)</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(5,798)</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1,285</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salaries and vacation</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(1,619)</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(4,564)</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insurance</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expenses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(3,257)</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provided by operating activities</w:t>
            </w:r>
          </w:p>
        </w:tc>
        <w:tc>
          <w:tcPr>
            <w:tcW w:w="326"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32,509</w:t>
            </w:r>
          </w:p>
        </w:tc>
        <w:tc>
          <w:tcPr>
            <w:tcW w:w="109"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21,907</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disposition of restaurants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7,722</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pPr>
            <w:r>
              <w:rPr/>
              <w:t>—</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fire insurance for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property and equipment</w:t>
            </w:r>
          </w:p>
        </w:tc>
        <w:tc>
          <w:tcPr>
            <w:tcW w:w="326"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(15,297)</w:t>
            </w:r>
          </w:p>
        </w:tc>
        <w:tc>
          <w:tcPr>
            <w:tcW w:w="109"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(13,022)</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(7,412)</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(13,022)</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pPr>
            <w:r>
              <w:rPr/>
              <w:t>  </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borrowings on revolver and swingline loans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25,000</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revolver and swingline loan</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(11,000)</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Minimum tax withholdings related to net share settlements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Repurchases of common stock</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(46,616)</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pPr>
            <w:r>
              <w:rPr/>
              <w:t>—</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upon exercise of stock options, net of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1,171</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1,580</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 of obligations under finance leases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financing costs for revolver loan</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(869)</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used in by financing activities</w:t>
            </w:r>
          </w:p>
        </w:tc>
        <w:tc>
          <w:tcPr>
            <w:tcW w:w="326"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(31,775)</w:t>
            </w:r>
          </w:p>
        </w:tc>
        <w:tc>
          <w:tcPr>
            <w:tcW w:w="109"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(19,656)</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(6,678)</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(10,771)</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6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Cash and cash equivalents,</w:t>
            </w:r>
            <w:r>
              <w:rPr>
                <w:rFonts w:ascii="Times New Roman;Times;serif" w:hAnsi="Times New Roman;Times;serif"/>
                <w:sz w:val="18"/>
              </w:rPr>
              <w:t xml:space="preserve"> beginning of period</w:t>
            </w:r>
          </w:p>
        </w:tc>
        <w:tc>
          <w:tcPr>
            <w:tcW w:w="326"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20,493</w:t>
            </w:r>
          </w:p>
        </w:tc>
        <w:tc>
          <w:tcPr>
            <w:tcW w:w="109"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30,046</w:t>
            </w:r>
          </w:p>
        </w:tc>
        <w:tc>
          <w:tcPr>
            <w:tcW w:w="372" w:type="dxa"/>
            <w:tcBorders/>
            <w:vAlign w:val="center"/>
          </w:tcPr>
          <w:p>
            <w:pPr>
              <w:pStyle w:val="TableContents"/>
              <w:bidi w:val="0"/>
              <w:spacing w:before="0" w:after="0"/>
              <w:ind w:left="0" w:right="0" w:hanging="0"/>
              <w:jc w:val="left"/>
              <w:rPr/>
            </w:pPr>
            <w:r>
              <w:rPr/>
              <w:t>​</w:t>
            </w:r>
          </w:p>
        </w:tc>
      </w:tr>
      <w:tr>
        <w:trPr/>
        <w:tc>
          <w:tcPr>
            <w:tcW w:w="6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 xml:space="preserve">Cash and cash equivalents, </w:t>
            </w:r>
            <w:r>
              <w:rPr>
                <w:rFonts w:ascii="Times New Roman;Times;serif" w:hAnsi="Times New Roman;Times;serif"/>
                <w:sz w:val="18"/>
              </w:rPr>
              <w:t>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13,815</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19,275</w:t>
            </w:r>
          </w:p>
        </w:tc>
        <w:tc>
          <w:tcPr>
            <w:tcW w:w="37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85" w:name="Tc_dvc6Cs-1c0K0xi7JgKQDUw_8_6"/>
      <w:bookmarkStart w:id="986" w:name="Tc_5qKN5l_AZkumss68fOE9Xg_8_5"/>
      <w:bookmarkStart w:id="987" w:name="Tc_lu0agMzEU0G0TuWqXL0wIw_8_2"/>
      <w:bookmarkStart w:id="988" w:name="Tc_n5Qadg7HaEq0mmVsKy1ngA_8_0"/>
      <w:bookmarkStart w:id="989" w:name="Tc__whgp2QkK0qXAThNX53-Ng_7_5"/>
      <w:bookmarkStart w:id="990" w:name="Tc_VhHyBab3HEOQIYMZq-9cOg_7_2"/>
      <w:bookmarkStart w:id="991" w:name="Tc_xmrLVo2YZkOuLHodWuOF8Q_7_0"/>
      <w:bookmarkStart w:id="992" w:name="Tc_OdTy2eJgPUegKR7AS-zDqg_6_5"/>
      <w:bookmarkStart w:id="993" w:name="Tc_hE51vZGdgkKIsBkME5A4Hw_6_2"/>
      <w:bookmarkStart w:id="994" w:name="Tc_vlG4CGN_202u5osAQBIYgA_6_0"/>
      <w:bookmarkStart w:id="995" w:name="Tc_zM6tPwNUpEe-L-6Kd_NGYQ_5_5"/>
      <w:bookmarkStart w:id="996" w:name="Tc_kQL73EfDbkiWoVVtyDS49A_5_2"/>
      <w:bookmarkStart w:id="997" w:name="Tc_30fSLl9D9Em_xH1Ht-QDBA_5_0"/>
      <w:bookmarkStart w:id="998" w:name="Tc_qLPkjPooVEuyyKWHBQZJjQ_4_0"/>
      <w:bookmarkStart w:id="999" w:name="Tc_H9zwps0LtEKzPu9JGWHaSw_3_5"/>
      <w:bookmarkStart w:id="1000" w:name="Tc_oKOYyPz25EW-frEHuHWoOQ_3_2"/>
      <w:bookmarkStart w:id="1001" w:name="Tc_h78NYSeRoke5haruify5Kw_2_2"/>
      <w:bookmarkStart w:id="1002" w:name="_697e80b8_cbd1_4aa2_a313_ff918e7efa59"/>
      <w:bookmarkStart w:id="1003" w:name="Tc_dvc6Cs-1c0K0xi7JgKQDUw_8_6"/>
      <w:bookmarkStart w:id="1004" w:name="Tc_5qKN5l_AZkumss68fOE9Xg_8_5"/>
      <w:bookmarkStart w:id="1005" w:name="Tc_lu0agMzEU0G0TuWqXL0wIw_8_2"/>
      <w:bookmarkStart w:id="1006" w:name="Tc_n5Qadg7HaEq0mmVsKy1ngA_8_0"/>
      <w:bookmarkStart w:id="1007" w:name="Tc__whgp2QkK0qXAThNX53-Ng_7_5"/>
      <w:bookmarkStart w:id="1008" w:name="Tc_VhHyBab3HEOQIYMZq-9cOg_7_2"/>
      <w:bookmarkStart w:id="1009" w:name="Tc_xmrLVo2YZkOuLHodWuOF8Q_7_0"/>
      <w:bookmarkStart w:id="1010" w:name="Tc_OdTy2eJgPUegKR7AS-zDqg_6_5"/>
      <w:bookmarkStart w:id="1011" w:name="Tc_hE51vZGdgkKIsBkME5A4Hw_6_2"/>
      <w:bookmarkStart w:id="1012" w:name="Tc_vlG4CGN_202u5osAQBIYgA_6_0"/>
      <w:bookmarkStart w:id="1013" w:name="Tc_zM6tPwNUpEe-L-6Kd_NGYQ_5_5"/>
      <w:bookmarkStart w:id="1014" w:name="Tc_kQL73EfDbkiWoVVtyDS49A_5_2"/>
      <w:bookmarkStart w:id="1015" w:name="Tc_30fSLl9D9Em_xH1Ht-QDBA_5_0"/>
      <w:bookmarkStart w:id="1016" w:name="Tc_qLPkjPooVEuyyKWHBQZJjQ_4_0"/>
      <w:bookmarkStart w:id="1017" w:name="Tc_H9zwps0LtEKzPu9JGWHaSw_3_5"/>
      <w:bookmarkStart w:id="1018" w:name="Tc_oKOYyPz25EW-frEHuHWoOQ_3_2"/>
      <w:bookmarkStart w:id="1019" w:name="Tc_h78NYSeRoke5haruify5Kw_2_2"/>
      <w:bookmarkStart w:id="1020" w:name="_697e80b8_cbd1_4aa2_a313_ff918e7efa59"/>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p>
    <w:tbl>
      <w:tblPr>
        <w:tblW w:w="7288" w:type="dxa"/>
        <w:jc w:val="left"/>
        <w:tblInd w:w="0" w:type="dxa"/>
        <w:tblLayout w:type="fixed"/>
        <w:tblCellMar>
          <w:top w:w="0" w:type="dxa"/>
          <w:left w:w="0" w:type="dxa"/>
          <w:bottom w:w="0" w:type="dxa"/>
          <w:right w:w="0" w:type="dxa"/>
        </w:tblCellMar>
      </w:tblPr>
      <w:tblGrid>
        <w:gridCol w:w="3316"/>
        <w:gridCol w:w="326"/>
        <w:gridCol w:w="428"/>
        <w:gridCol w:w="1118"/>
        <w:gridCol w:w="183"/>
        <w:gridCol w:w="428"/>
        <w:gridCol w:w="1118"/>
        <w:gridCol w:w="371"/>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05660" cy="175260"/>
                      <wp:effectExtent l="0" t="0" r="0" b="0"/>
                      <wp:wrapNone/>
                      <wp:docPr id="132" name="Frame132"/>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71780" cy="175260"/>
                      <wp:effectExtent l="0" t="0" r="0" b="0"/>
                      <wp:wrapNone/>
                      <wp:docPr id="134" name="Frame134"/>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09930" cy="175260"/>
                      <wp:effectExtent l="0" t="0" r="0" b="0"/>
                      <wp:wrapNone/>
                      <wp:docPr id="135" name="Frame135"/>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16205" cy="175260"/>
                      <wp:effectExtent l="0" t="0" r="0" b="0"/>
                      <wp:wrapNone/>
                      <wp:docPr id="136" name="Frame136"/>
                      <a:graphic xmlns:a="http://schemas.openxmlformats.org/drawingml/2006/main">
                        <a:graphicData uri="http://schemas.microsoft.com/office/word/2010/wordprocessingShape">
                          <wps:wsp>
                            <wps:cNvSpPr txBox="1"/>
                            <wps:spPr>
                              <a:xfrm>
                                <a:off x="0" y="0"/>
                                <a:ext cx="116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71780" cy="175260"/>
                      <wp:effectExtent l="0" t="0" r="0" b="0"/>
                      <wp:wrapNone/>
                      <wp:docPr id="137" name="Frame137"/>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09930" cy="175260"/>
                      <wp:effectExtent l="0" t="0" r="0" b="0"/>
                      <wp:wrapNone/>
                      <wp:docPr id="138" name="Frame138"/>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35585" cy="175260"/>
                      <wp:effectExtent l="0" t="0" r="0" b="0"/>
                      <wp:wrapNone/>
                      <wp:docPr id="139" name="Frame13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left"/>
              <w:rPr/>
            </w:pPr>
            <w:r>
              <w:rPr/>
              <w:t>​</w:t>
            </w:r>
          </w:p>
        </w:tc>
        <w:tc>
          <w:tcPr>
            <w:tcW w:w="183"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371" w:type="dxa"/>
            <w:tcBorders/>
            <w:vAlign w:val="center"/>
          </w:tcPr>
          <w:p>
            <w:pPr>
              <w:pStyle w:val="TableContents"/>
              <w:bidi w:val="0"/>
              <w:spacing w:before="0" w:after="0"/>
              <w:ind w:left="0" w:right="0" w:hanging="0"/>
              <w:jc w:val="left"/>
              <w:rPr/>
            </w:pPr>
            <w:r>
              <w:rPr/>
              <w:t>    </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83"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71" w:type="dxa"/>
            <w:tcBorders/>
            <w:vAlign w:val="center"/>
          </w:tcPr>
          <w:p>
            <w:pPr>
              <w:pStyle w:val="TableContents"/>
              <w:bidi w:val="0"/>
              <w:spacing w:before="0" w:after="0"/>
              <w:ind w:left="0" w:right="0" w:hanging="0"/>
              <w:jc w:val="left"/>
              <w:rPr/>
            </w:pPr>
            <w:r>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cash flow information</w:t>
            </w:r>
          </w:p>
        </w:tc>
        <w:tc>
          <w:tcPr>
            <w:tcW w:w="326" w:type="dxa"/>
            <w:tcBorders/>
            <w:shd w:fill="CCEEFF" w:val="clear"/>
            <w:vAlign w:val="center"/>
          </w:tcPr>
          <w:p>
            <w:pPr>
              <w:pStyle w:val="TableContents"/>
              <w:bidi w:val="0"/>
              <w:spacing w:before="0" w:after="0"/>
              <w:ind w:left="0" w:right="0" w:hanging="0"/>
              <w:jc w:val="left"/>
              <w:rPr/>
            </w:pPr>
            <w:r>
              <w:rPr/>
              <w:t> </w:t>
            </w:r>
          </w:p>
        </w:tc>
        <w:tc>
          <w:tcPr>
            <w:tcW w:w="428" w:type="dxa"/>
            <w:tcBorders/>
            <w:shd w:fill="CCEEFF" w:val="clear"/>
            <w:vAlign w:val="center"/>
          </w:tcPr>
          <w:p>
            <w:pPr>
              <w:pStyle w:val="TableContents"/>
              <w:bidi w:val="0"/>
              <w:spacing w:before="0" w:after="0"/>
              <w:ind w:left="0" w:right="0" w:hanging="0"/>
              <w:jc w:val="left"/>
              <w:rPr/>
            </w:pPr>
            <w:r>
              <w:rPr/>
              <w:t>​</w:t>
            </w:r>
          </w:p>
        </w:tc>
        <w:tc>
          <w:tcPr>
            <w:tcW w:w="1118" w:type="dxa"/>
            <w:tcBorders/>
            <w:shd w:fill="CCEEFF" w:val="clear"/>
            <w:vAlign w:val="center"/>
          </w:tcPr>
          <w:p>
            <w:pPr>
              <w:pStyle w:val="TableContents"/>
              <w:bidi w:val="0"/>
              <w:spacing w:before="0" w:after="0"/>
              <w:ind w:left="0" w:right="0" w:hanging="0"/>
              <w:jc w:val="righ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428" w:type="dxa"/>
            <w:tcBorders/>
            <w:shd w:fill="CCEEFF" w:val="clear"/>
            <w:vAlign w:val="center"/>
          </w:tcPr>
          <w:p>
            <w:pPr>
              <w:pStyle w:val="TableContents"/>
              <w:bidi w:val="0"/>
              <w:spacing w:before="0" w:after="0"/>
              <w:ind w:left="0" w:right="0" w:hanging="0"/>
              <w:jc w:val="left"/>
              <w:rPr/>
            </w:pPr>
            <w:r>
              <w:rPr/>
              <w:t>​</w:t>
            </w:r>
          </w:p>
        </w:tc>
        <w:tc>
          <w:tcPr>
            <w:tcW w:w="1118"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during the period for interest</w:t>
            </w:r>
          </w:p>
        </w:tc>
        <w:tc>
          <w:tcPr>
            <w:tcW w:w="326" w:type="dxa"/>
            <w:tcBorders/>
            <w:vAlign w:val="center"/>
          </w:tcPr>
          <w:p>
            <w:pPr>
              <w:pStyle w:val="TableContents"/>
              <w:bidi w:val="0"/>
              <w:spacing w:before="0" w:after="0"/>
              <w:ind w:left="0" w:right="0" w:hanging="0"/>
              <w:jc w:val="left"/>
              <w:rPr/>
            </w:pPr>
            <w:r>
              <w:rPr/>
              <w:t>​</w:t>
            </w:r>
          </w:p>
        </w:tc>
        <w:tc>
          <w:tcPr>
            <w:tcW w:w="4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3,554</w:t>
            </w:r>
          </w:p>
        </w:tc>
        <w:tc>
          <w:tcPr>
            <w:tcW w:w="183" w:type="dxa"/>
            <w:tcBorders/>
            <w:vAlign w:val="center"/>
          </w:tcPr>
          <w:p>
            <w:pPr>
              <w:pStyle w:val="TableContents"/>
              <w:bidi w:val="0"/>
              <w:spacing w:before="0" w:after="0"/>
              <w:ind w:left="0" w:right="0" w:hanging="0"/>
              <w:jc w:val="left"/>
              <w:rPr/>
            </w:pPr>
            <w:r>
              <w:rPr/>
              <w:t>​</w:t>
            </w:r>
          </w:p>
        </w:tc>
        <w:tc>
          <w:tcPr>
            <w:tcW w:w="4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819</w:t>
            </w:r>
          </w:p>
        </w:tc>
        <w:tc>
          <w:tcPr>
            <w:tcW w:w="371" w:type="dxa"/>
            <w:tcBorders/>
            <w:vAlign w:val="center"/>
          </w:tcPr>
          <w:p>
            <w:pPr>
              <w:pStyle w:val="TableContents"/>
              <w:bidi w:val="0"/>
              <w:spacing w:before="0" w:after="0"/>
              <w:ind w:left="0" w:right="0" w:hanging="0"/>
              <w:jc w:val="left"/>
              <w:rPr/>
            </w:pPr>
            <w:r>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during the period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4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c>
          <w:tcPr>
            <w:tcW w:w="183" w:type="dxa"/>
            <w:tcBorders/>
            <w:shd w:fill="CCEEFF" w:val="clear"/>
            <w:vAlign w:val="center"/>
          </w:tcPr>
          <w:p>
            <w:pPr>
              <w:pStyle w:val="TableContents"/>
              <w:bidi w:val="0"/>
              <w:spacing w:before="0" w:after="0"/>
              <w:ind w:left="0" w:right="0" w:hanging="0"/>
              <w:jc w:val="left"/>
              <w:rPr/>
            </w:pPr>
            <w:r>
              <w:rPr/>
              <w:t>​</w:t>
            </w:r>
          </w:p>
        </w:tc>
        <w:tc>
          <w:tcPr>
            <w:tcW w:w="4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Unpaid purchases of property and equipment</w:t>
            </w:r>
          </w:p>
        </w:tc>
        <w:tc>
          <w:tcPr>
            <w:tcW w:w="326" w:type="dxa"/>
            <w:tcBorders/>
            <w:vAlign w:val="center"/>
          </w:tcPr>
          <w:p>
            <w:pPr>
              <w:pStyle w:val="TableContents"/>
              <w:bidi w:val="0"/>
              <w:spacing w:before="0" w:after="0"/>
              <w:ind w:left="0" w:right="0" w:hanging="0"/>
              <w:jc w:val="left"/>
              <w:rPr/>
            </w:pPr>
            <w:r>
              <w:rPr/>
              <w:t>​</w:t>
            </w:r>
          </w:p>
        </w:tc>
        <w:tc>
          <w:tcPr>
            <w:tcW w:w="4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4,476</w:t>
            </w:r>
          </w:p>
        </w:tc>
        <w:tc>
          <w:tcPr>
            <w:tcW w:w="183" w:type="dxa"/>
            <w:tcBorders/>
            <w:vAlign w:val="center"/>
          </w:tcPr>
          <w:p>
            <w:pPr>
              <w:pStyle w:val="TableContents"/>
              <w:bidi w:val="0"/>
              <w:spacing w:before="0" w:after="0"/>
              <w:ind w:left="0" w:right="0" w:hanging="0"/>
              <w:jc w:val="left"/>
              <w:rPr/>
            </w:pPr>
            <w:r>
              <w:rPr/>
              <w:t>​</w:t>
            </w:r>
          </w:p>
        </w:tc>
        <w:tc>
          <w:tcPr>
            <w:tcW w:w="4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3,030</w:t>
            </w:r>
          </w:p>
        </w:tc>
        <w:tc>
          <w:tcPr>
            <w:tcW w:w="371" w:type="dxa"/>
            <w:tcBorders/>
            <w:vAlign w:val="center"/>
          </w:tcPr>
          <w:p>
            <w:pPr>
              <w:pStyle w:val="TableContents"/>
              <w:bidi w:val="0"/>
              <w:spacing w:before="0" w:after="0"/>
              <w:ind w:left="0" w:right="0" w:hanging="0"/>
              <w:jc w:val="left"/>
              <w:rPr/>
            </w:pPr>
            <w:r>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Unpaid repurchases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4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430</w:t>
            </w:r>
          </w:p>
        </w:tc>
        <w:tc>
          <w:tcPr>
            <w:tcW w:w="183" w:type="dxa"/>
            <w:tcBorders/>
            <w:shd w:fill="CCEEFF" w:val="clear"/>
            <w:vAlign w:val="center"/>
          </w:tcPr>
          <w:p>
            <w:pPr>
              <w:pStyle w:val="TableContents"/>
              <w:bidi w:val="0"/>
              <w:spacing w:before="0" w:after="0"/>
              <w:ind w:left="0" w:right="0" w:hanging="0"/>
              <w:jc w:val="left"/>
              <w:rPr/>
            </w:pPr>
            <w:r>
              <w:rPr/>
              <w:t>​</w:t>
            </w:r>
          </w:p>
        </w:tc>
        <w:tc>
          <w:tcPr>
            <w:tcW w:w="4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021" w:name="_f09dd558_a4f0_44ba_b60d_fc15be02332f"/>
      <w:bookmarkEnd w:id="1021"/>
      <w:r>
        <w:rPr>
          <w:rFonts w:ascii="Times New Roman;Times;serif" w:hAnsi="Times New Roman;Times;serif"/>
          <w:b/>
          <w:sz w:val="20"/>
        </w:rPr>
        <w:t>EL POLLO LOCO HOLDINGS, INC.</w:t>
      </w:r>
    </w:p>
    <w:p>
      <w:pPr>
        <w:pStyle w:val="TextBody"/>
        <w:bidi w:val="0"/>
        <w:spacing w:before="0" w:after="240"/>
        <w:ind w:left="0" w:right="0" w:hanging="0"/>
        <w:jc w:val="center"/>
        <w:rPr>
          <w:rFonts w:ascii="Times New Roman;Times;serif" w:hAnsi="Times New Roman;Times;serif"/>
          <w:b/>
          <w:sz w:val="20"/>
        </w:rPr>
      </w:pPr>
      <w:bookmarkStart w:id="1022" w:name="NOTESTOCONDENSEDCONSOLIDATEDFINANCIALSTA"/>
      <w:bookmarkEnd w:id="1022"/>
      <w:r>
        <w:rPr>
          <w:rFonts w:ascii="Times New Roman;Times;serif" w:hAnsi="Times New Roman;Times;serif"/>
          <w:b/>
          <w:sz w:val="20"/>
        </w:rPr>
        <w:t>NOTES TO CONDENSED CONSOLIDATED FINANCIAL STATEMENTS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BASIS OF PRESENTATION AND SUMMARY OF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El Pollo Loco Holdings, Inc. (“Holdings”) is a Delaware corporation headquartered in Costa Mesa, California. Holdings and its direct and indirect subsidiaries are collectively referred to herein as the “Company.” The Company’s activities are conducted principally through its indirect wholly-owned subsidiary, El Pollo Loco, Inc. (“EPL”), which develops, franchises, licenses, and operates quick-service restaurants under the name El Pollo Loco® and operates under one operating segment. At September 27, 2023, the Company operated 171 and franchised 321 El Pollo Loco restaurants.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statement of the Company’s condensed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28,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2023 and 2022 are both 52-week years, ending on December 27, 2023 and December 28, 2022, respectively. Revenues, expenses, and other financial and operational figures may be elevated in a 53-week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Holdings has no material assets or operations. Holdings and Holdings’ direct subsidiary, EPL Intermediate, Inc. (“Intermediate”), guarantee EPL’s 2022 Revolver (as defined below) on a full and unconditional basis (see Note 4, “Long-Term Debt”), and Intermediate has no subsidiaries other than EPL. EPL is a separate and distinct legal entity and has no obligation to make funds available to Intermediate. EPL and Intermediate may pay dividends to Intermediate and to Holdings, respectively, subject to the terms of the 2022 Revolver.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Principles of 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condensed consolidated financial statements include the accounts of Holdings and its wholly owned subsidiaries. All intercompany balances and transactions have been eliminated in consolidation.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stock-based compensation, contingent liabilities and income tax valuation allowances.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considers all liquid instruments with an original maturity of three months or less at the date of purchase to be cash equivalents.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principal liquidity and capital requirements are new restaurants, existing restaurant capital investments (remodels and maintenance), interest payments on its debt, lease obligations and working capital and general corporate needs. At September 27, 2023, the Company’s total debt was $80.0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$13.8 million at September 27, 2023 and the outstanding borrowing availability under the 2022 Revolver will be adequate to meet the Company’s liquidity needs for the next twelve months from the date of filing of these condensed consolidated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Subsequent Events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Subsequent to the quarter-end, on November 2, 2023, the Company announced that Laurance Roberts, the Company’s Chief Executive Officer and President, is leaving his position as Chief Executive Officer and President and as a member of the Company’s Board of Directors effective as of the close of business on November 3, 2023.  In connection with Mr. Roberts’ departure, the Board has appointed Maria Hollandsworth as interim Chief Executive Officer and President of the Company, effective as of November 4, 2023. Ms. Hollandsworth currently serves as Chief Operating Officer of the Company and will continue in that role during her tenure as interim Chief Executive Officer and President. To help facilitate the transition from Mr. Roberts to Ms. Hollandsworth, the Company has retained Mr. Roberts as a consultant from November 4, 2023 through December 28, 2023 pursuant to a Release and Consulting Agreement dated November 1, 2023 between the Company and Mr. Roberts.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Further, on October 31, 2023, the Company’s Board of Directors approved a share repurchase program under which the Company is authorized to repurchase up to $20.0 million of shares of the Company’s common stock. The repurchase program will terminate on March 31, 2025, may be modified, suspended or discontinued at any time, and does not obligate the Company to acquire any particular number of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Lastly, the Company paid down $9.0 million on its 2022 Revolver and outstanding borrowings as of November 2, 2023 were $71.0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Concentration of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and cash equivalents are maintained at financial institutions and, at times, these balances may exceed federally-insured limits. The Company has never experienced any losses related to these balances.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had no supplier for which amounts due totaled more than 10.0% of the Company’s accounts payable at September 27, 2023. As of December 28, 2022, the Company had one supplier to whom amounts due totaled 41.7% of the Company’s accounts payable. Purchases from the Company’s largest supplier totaled 26.6% and 27.0% of total expenses for the thirteen and thirty-nine weeks ended September 27, 2023, respectively, and 28.4% and 28.5% of total expenses for the thirteen and thirty-nine weeks ended September 28, 2022,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Company-operated and franchised restaurants in the greater Los Angeles area generated, in the aggregate, approximately 71.6% and 71.1% of total revenue for the thirteen and thirty-nine weeks ended September 27, 2023, respectively, and 71.9% and 71.2% for the thirteen and thirty-nine weeks ended September 28, 2022,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Goodwill and Indefinite Lived Intangible Assets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indefinite-lived intangible assets consist of trademarks. Goodwill represents the excess of cost over fair value of net identified assets acquired in business combinations accounted for under the purchase method.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does not amortize its goodwill and indefinite-lived intangible assets. Goodwill resulted from the acquisition of certain franchise locations.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Upon the sale or refranchising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Company reports as one reporting unit. The fair value of the portion of the reporting unit disposed of in a refranchising is determined by reference to the discounted value of the future cash flows expected to be generated by the restaurant and retained by the franchisee, which includes a deduction for the anticipated, future royalties the franchisee will pay the Company associated with the franchise agreement entered into simultaneously with the refranchising transition. The fair value of the reporting unit retained is based on the price a willing buyer would pay for the reporting unit and includes the value of franchise agreements. As such, the fair value of the reporting unit retained can include expected cash flows from future royalties from those restaurants currently being refranchised, future royalties from existing franchise businesses and company restaurant operations. The Company did not record any decrement to goodwill related to the disposition of restaurants in fiscal 2022 or the thirty-nine weeks ended September 27,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performs an annual impairment test for goodwill during the fourth fiscal quarter of each year, or more frequently if impairment indicators arise.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performs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determined that, in connection with the sale of 18 units, there were indicators of potential impairment of its goodwill and indefinite-lived intangible assets during the thirteen and thirty-nine weeks ended September 27, 2023. After completing the impairment analysis, the Company did not record any impairment to its goodwill or indefinite-lived intangible assets during the thirteen and thirty-nine weeks ended September 27, 2023.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for identical instruments in active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prices for similar instruments in active markets; quoted prices for identical or similar instruments in markets that are not active; and model-derived valuations whose inputs or significant value drivers are observable.</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used when little or no market data is available.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23" w:name="Tc_dWEq_M_poEWxBdQ1Iowe4g_5_17"/>
      <w:bookmarkStart w:id="1024" w:name="Tc_NmQ-F4tWLUqpHdHwQWVn3w_5_14"/>
      <w:bookmarkStart w:id="1025" w:name="Tc_fePftCP41U-V5_A71nA91A_5_11"/>
      <w:bookmarkStart w:id="1026" w:name="Tc_hVaGoLdwR0OydWfzbI9Osw_5_8"/>
      <w:bookmarkStart w:id="1027" w:name="Tc_SRhjqu103k2bI1GeE5G_bw_5_5"/>
      <w:bookmarkStart w:id="1028" w:name="Tc_E-JNdaXne0Gsj8uOq861GA_5_2"/>
      <w:bookmarkStart w:id="1029" w:name="Tc_SeFaBfYFdUSMmDmulAx75w_5_0"/>
      <w:bookmarkStart w:id="1030" w:name="Tc_JLXm4VHtEUWYaDUyZo0V9w_4_17"/>
      <w:bookmarkStart w:id="1031" w:name="Tc_CxFNSq001Ea7SlGJjSspew_4_14"/>
      <w:bookmarkStart w:id="1032" w:name="Tc_crO9Mf75B0GzT5yyOQi5mg_4_11"/>
      <w:bookmarkStart w:id="1033" w:name="Tc_6IZkqjSM7U2st5t_-JGzxw_4_8"/>
      <w:bookmarkStart w:id="1034" w:name="Tc_eC6vgO-BLUOWl4XSKsO8ug_4_5"/>
      <w:bookmarkStart w:id="1035" w:name="Tc_WCtKxVxq0EiprKN0w9l-1A_4_2"/>
      <w:bookmarkStart w:id="1036" w:name="Tc_3ctTjjNr10ywHXK2moWn3A_3_17"/>
      <w:bookmarkStart w:id="1037" w:name="Tc_GLcvZrrOy0usSio52yjOUQ_3_14"/>
      <w:bookmarkStart w:id="1038" w:name="Tc_ZJumb3hGf02hMmjrKxBq5A_3_11"/>
      <w:bookmarkStart w:id="1039" w:name="Tc_VarpzkSUG0SM6FyLBgcMhw_3_8"/>
      <w:bookmarkStart w:id="1040" w:name="Tc_3aBZJDPa80WI1J1BFD6Jdg_3_5"/>
      <w:bookmarkStart w:id="1041" w:name="Tc_BdZt_tOBVUGOB0HRjcUj8A_3_2"/>
      <w:bookmarkStart w:id="1042" w:name="Tc_-uqOKP3xREe4JVHyU3DwLA_2_17"/>
      <w:bookmarkStart w:id="1043" w:name="Tc_do8NVJEGwUq9CV5BB1n_1Q_2_14"/>
      <w:bookmarkStart w:id="1044" w:name="Tc_LlTQud45EEeZtz4v711XHg_2_5"/>
      <w:bookmarkStart w:id="1045" w:name="Tc_TivXbIKP9UqrF9LAqIS88w_1_17"/>
      <w:bookmarkStart w:id="1046" w:name="Tc_u0PJGCe4N02amW9OfgnWag_1_14"/>
      <w:bookmarkStart w:id="1047" w:name="_9cad67d7_693f_4220_ae31_3ccdbbf4bc99"/>
      <w:bookmarkStart w:id="1048" w:name="Tc_8hl2ljvBOUa-lok_egXKEA_5_17"/>
      <w:bookmarkStart w:id="1049" w:name="Tc_vR7tU7C6K0Sc9lJyYV-3RA_5_14"/>
      <w:bookmarkStart w:id="1050" w:name="Tc_46iWBbG5r0idaCgwRUQkIg_5_11"/>
      <w:bookmarkStart w:id="1051" w:name="Tc_8D3YgyjY606BcxXzuWFUFw_5_8"/>
      <w:bookmarkStart w:id="1052" w:name="Tc_sbvtJgoY60i0-70801PlBQ_5_5"/>
      <w:bookmarkStart w:id="1053" w:name="Tc_ec_ypeCOaECzNpxihJhcyA_5_2"/>
      <w:bookmarkStart w:id="1054" w:name="Tc_sLsEr_atKE-H-TCaWzV-SA_5_0"/>
      <w:bookmarkStart w:id="1055" w:name="Tc_d7MBkadWzEWSAVNyeW83ew_4_17"/>
      <w:bookmarkStart w:id="1056" w:name="Tc_tjNMOBgr-UKbeyXv5CsS5A_4_14"/>
      <w:bookmarkStart w:id="1057" w:name="Tc_NJvozVEDqUOK-ndyd9NG2A_4_12"/>
      <w:bookmarkStart w:id="1058" w:name="Tc_yckru8dT70Kxm1wdWLA62w_4_11"/>
      <w:bookmarkStart w:id="1059" w:name="Tc_z5a71kkmnUy4BA8fF_MRNQ_4_9"/>
      <w:bookmarkStart w:id="1060" w:name="Tc_0zZCd7jgo0CkahH_f72hQw_4_8"/>
      <w:bookmarkStart w:id="1061" w:name="Tc_hUfwko0LaE-zSx0kjVGf0Q_4_6"/>
      <w:bookmarkStart w:id="1062" w:name="Tc_F6yfDlGKeEaoV4hkNwoozA_4_5"/>
      <w:bookmarkStart w:id="1063" w:name="Tc_nldh2b3kxkuyDTILwVfoiQ_4_3"/>
      <w:bookmarkStart w:id="1064" w:name="Tc_2KQmjntfT0iN9fyUejW89g_4_2"/>
      <w:bookmarkStart w:id="1065" w:name="Tc_E3kGLr7_pE6FdDP88eDh_Q_4_0"/>
      <w:bookmarkStart w:id="1066" w:name="Tc_RYevtNSYMEq2gKAJrIr-JA_3_17"/>
      <w:bookmarkStart w:id="1067" w:name="Tc_jHFq07-6_0mVdvQaXcs3vQ_3_14"/>
      <w:bookmarkStart w:id="1068" w:name="Tc_DSPsoIe_KkS1-7Bxa5a15Q_3_11"/>
      <w:bookmarkStart w:id="1069" w:name="Tc_eMdCAOhCXUSHbye9-ls2gQ_3_8"/>
      <w:bookmarkStart w:id="1070" w:name="Tc_V0boBMpS3kGhe8CCBgCsHA_3_5"/>
      <w:bookmarkStart w:id="1071" w:name="Tc_uOb9U_jXyU-P9F9a6eZ03Q_3_2"/>
      <w:bookmarkStart w:id="1072" w:name="Tc_l3y91zGRSkqu48rU5oKNFA_2_17"/>
      <w:bookmarkStart w:id="1073" w:name="Tc_OjONWkKWmki8WR592XQPWA_2_14"/>
      <w:bookmarkStart w:id="1074" w:name="Tc_VonzZdwbFESpaxGLqz3vXw_2_5"/>
      <w:bookmarkStart w:id="1075" w:name="Tc_2w3mTQYnUUiOd6fqa4IDJw_1_17"/>
      <w:bookmarkStart w:id="1076" w:name="Tc_Nzh0u2lThkWU070aUG3PsA_1_14"/>
      <w:bookmarkStart w:id="1077" w:name="_84b3a252_5a8d_4182_a13c_3e981dd7de1b"/>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r>
        <w:rPr>
          <w:rFonts w:ascii="Times New Roman;Times;serif" w:hAnsi="Times New Roman;Times;serif"/>
          <w:sz w:val="20"/>
        </w:rPr>
        <w:t>Certain assets and liabilities are measured at fair value on a nonrecurring basis. In other words, the instruments are not measured at fair value on an ongoing basis, but are subject to fair value adjustments only in certain circumstances (e.g., when there is evidence of impairment).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non-financial instruments were measured at fair value, on a nonrecurring basis, as of and for the thirteen and thirty-nine weeks ended September 27, 2023, reflecting certain property and equipment assets and right-of-use (“ROU”) assets for which an impairment loss was recognized during the corresponding periods, as discussed under Note 2, “Property and Equipment” and immediately below under “Impairment of Long-Lived Assets and ROU Assets” (in thousands):</w:t>
      </w:r>
    </w:p>
    <w:p>
      <w:pPr>
        <w:pStyle w:val="TextBody"/>
        <w:bidi w:val="0"/>
        <w:spacing w:before="0" w:after="24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1937"/>
        <w:gridCol w:w="326"/>
        <w:gridCol w:w="211"/>
        <w:gridCol w:w="421"/>
        <w:gridCol w:w="326"/>
        <w:gridCol w:w="277"/>
        <w:gridCol w:w="454"/>
        <w:gridCol w:w="428"/>
        <w:gridCol w:w="277"/>
        <w:gridCol w:w="454"/>
        <w:gridCol w:w="428"/>
        <w:gridCol w:w="277"/>
        <w:gridCol w:w="553"/>
        <w:gridCol w:w="146"/>
        <w:gridCol w:w="587"/>
        <w:gridCol w:w="1178"/>
        <w:gridCol w:w="109"/>
        <w:gridCol w:w="563"/>
        <w:gridCol w:w="1253"/>
      </w:tblGrid>
      <w:tr>
        <w:trPr/>
        <w:tc>
          <w:tcPr>
            <w:tcW w:w="1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229995" cy="175260"/>
                      <wp:effectExtent l="0" t="0" r="0" b="0"/>
                      <wp:wrapNone/>
                      <wp:docPr id="140" name="Frame140"/>
                      <a:graphic xmlns:a="http://schemas.openxmlformats.org/drawingml/2006/main">
                        <a:graphicData uri="http://schemas.microsoft.com/office/word/2010/wordprocessingShape">
                          <wps:wsp>
                            <wps:cNvSpPr txBox="1"/>
                            <wps:spPr>
                              <a:xfrm>
                                <a:off x="0" y="0"/>
                                <a:ext cx="1229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67335" cy="175260"/>
                      <wp:effectExtent l="0" t="0" r="0" b="0"/>
                      <wp:wrapNone/>
                      <wp:docPr id="143" name="Frame14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75895" cy="175260"/>
                      <wp:effectExtent l="0" t="0" r="0" b="0"/>
                      <wp:wrapNone/>
                      <wp:docPr id="145" name="Frame145"/>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88290" cy="175260"/>
                      <wp:effectExtent l="0" t="0" r="0" b="0"/>
                      <wp:wrapNone/>
                      <wp:docPr id="146" name="Frame146"/>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71780" cy="175260"/>
                      <wp:effectExtent l="0" t="0" r="0" b="0"/>
                      <wp:wrapNone/>
                      <wp:docPr id="147" name="Frame147"/>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75895" cy="175260"/>
                      <wp:effectExtent l="0" t="0" r="0" b="0"/>
                      <wp:wrapNone/>
                      <wp:docPr id="148" name="Frame148"/>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88290" cy="175260"/>
                      <wp:effectExtent l="0" t="0" r="0" b="0"/>
                      <wp:wrapNone/>
                      <wp:docPr id="149" name="Frame149"/>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71780" cy="175260"/>
                      <wp:effectExtent l="0" t="0" r="0" b="0"/>
                      <wp:wrapNone/>
                      <wp:docPr id="150" name="Frame150"/>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75895" cy="175260"/>
                      <wp:effectExtent l="0" t="0" r="0" b="0"/>
                      <wp:wrapNone/>
                      <wp:docPr id="151" name="Frame15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51155" cy="175260"/>
                      <wp:effectExtent l="0" t="0" r="0" b="0"/>
                      <wp:wrapNone/>
                      <wp:docPr id="152" name="Frame152"/>
                      <a:graphic xmlns:a="http://schemas.openxmlformats.org/drawingml/2006/main">
                        <a:graphicData uri="http://schemas.microsoft.com/office/word/2010/wordprocessingShape">
                          <wps:wsp>
                            <wps:cNvSpPr txBox="1"/>
                            <wps:spPr>
                              <a:xfrm>
                                <a:off x="0" y="0"/>
                                <a:ext cx="351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92710" cy="175260"/>
                      <wp:effectExtent l="0" t="0" r="0" b="0"/>
                      <wp:wrapNone/>
                      <wp:docPr id="153" name="Frame15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72745" cy="175260"/>
                      <wp:effectExtent l="0" t="0" r="0" b="0"/>
                      <wp:wrapNone/>
                      <wp:docPr id="154" name="Frame154"/>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748030" cy="175260"/>
                      <wp:effectExtent l="0" t="0" r="0" b="0"/>
                      <wp:wrapNone/>
                      <wp:docPr id="155" name="Frame155"/>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57505" cy="175260"/>
                      <wp:effectExtent l="0" t="0" r="0" b="0"/>
                      <wp:wrapNone/>
                      <wp:docPr id="157" name="Frame157"/>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795655" cy="175260"/>
                      <wp:effectExtent l="0" t="0" r="0" b="0"/>
                      <wp:wrapNone/>
                      <wp:docPr id="158" name="Frame158"/>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center"/>
              <w:rPr/>
            </w:pPr>
            <w:r>
              <w:rPr/>
              <w:t>​</w:t>
            </w:r>
          </w:p>
        </w:tc>
        <w:tc>
          <w:tcPr>
            <w:tcW w:w="454" w:type="dxa"/>
            <w:tcBorders/>
            <w:vAlign w:val="center"/>
          </w:tcPr>
          <w:p>
            <w:pPr>
              <w:pStyle w:val="TableContents"/>
              <w:bidi w:val="0"/>
              <w:spacing w:before="0" w:after="1"/>
              <w:ind w:left="0" w:right="0" w:hanging="0"/>
              <w:jc w:val="left"/>
              <w:rPr/>
            </w:pPr>
            <w:r>
              <w:rPr/>
              <w:t>​</w:t>
            </w:r>
          </w:p>
        </w:tc>
        <w:tc>
          <w:tcPr>
            <w:tcW w:w="428"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left"/>
              <w:rPr/>
            </w:pPr>
            <w:r>
              <w:rPr/>
              <w:t>​</w:t>
            </w:r>
          </w:p>
        </w:tc>
        <w:tc>
          <w:tcPr>
            <w:tcW w:w="428"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553"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7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w:t>
            </w:r>
          </w:p>
        </w:tc>
        <w:tc>
          <w:tcPr>
            <w:tcW w:w="109" w:type="dxa"/>
            <w:tcBorders/>
            <w:vAlign w:val="center"/>
          </w:tcPr>
          <w:p>
            <w:pPr>
              <w:pStyle w:val="TableContents"/>
              <w:bidi w:val="0"/>
              <w:spacing w:before="0" w:after="1"/>
              <w:ind w:left="0" w:right="0" w:hanging="0"/>
              <w:jc w:val="center"/>
              <w:rPr/>
            </w:pPr>
            <w:r>
              <w:rPr/>
              <w:t>​</w:t>
            </w:r>
          </w:p>
        </w:tc>
        <w:tc>
          <w:tcPr>
            <w:tcW w:w="18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Thirty-Nine Weeks</w:t>
            </w:r>
          </w:p>
        </w:tc>
      </w:tr>
      <w:tr>
        <w:trPr/>
        <w:tc>
          <w:tcPr>
            <w:tcW w:w="19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14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September 27, 2023 Using</w:t>
            </w:r>
          </w:p>
        </w:tc>
        <w:tc>
          <w:tcPr>
            <w:tcW w:w="146" w:type="dxa"/>
            <w:tcBorders/>
            <w:vAlign w:val="center"/>
          </w:tcPr>
          <w:p>
            <w:pPr>
              <w:pStyle w:val="TableContents"/>
              <w:bidi w:val="0"/>
              <w:spacing w:before="0" w:after="1"/>
              <w:ind w:left="0" w:right="0" w:hanging="0"/>
              <w:jc w:val="center"/>
              <w:rPr/>
            </w:pPr>
            <w:r>
              <w:rPr/>
              <w:t>​</w:t>
            </w:r>
          </w:p>
        </w:tc>
        <w:tc>
          <w:tcPr>
            <w:tcW w:w="17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September 27, 2023</w:t>
            </w:r>
          </w:p>
        </w:tc>
        <w:tc>
          <w:tcPr>
            <w:tcW w:w="109" w:type="dxa"/>
            <w:tcBorders/>
            <w:vAlign w:val="center"/>
          </w:tcPr>
          <w:p>
            <w:pPr>
              <w:pStyle w:val="TableContents"/>
              <w:bidi w:val="0"/>
              <w:spacing w:before="0" w:after="1"/>
              <w:ind w:left="0" w:right="0" w:hanging="0"/>
              <w:jc w:val="center"/>
              <w:rPr/>
            </w:pPr>
            <w:r>
              <w:rPr/>
              <w:t>​</w:t>
            </w:r>
          </w:p>
        </w:tc>
        <w:tc>
          <w:tcPr>
            <w:tcW w:w="18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September 27, 2023</w:t>
            </w:r>
          </w:p>
        </w:tc>
      </w:tr>
      <w:tr>
        <w:trPr/>
        <w:tc>
          <w:tcPr>
            <w:tcW w:w="19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    </w:t>
            </w:r>
          </w:p>
        </w:tc>
        <w:tc>
          <w:tcPr>
            <w:tcW w:w="7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28" w:type="dxa"/>
            <w:tcBorders/>
            <w:vAlign w:val="center"/>
          </w:tcPr>
          <w:p>
            <w:pPr>
              <w:pStyle w:val="TableContents"/>
              <w:bidi w:val="0"/>
              <w:spacing w:before="0" w:after="1"/>
              <w:ind w:left="0" w:right="0" w:hanging="0"/>
              <w:jc w:val="left"/>
              <w:rPr/>
            </w:pPr>
            <w:r>
              <w:rPr/>
              <w:t>    </w:t>
            </w:r>
          </w:p>
        </w:tc>
        <w:tc>
          <w:tcPr>
            <w:tcW w:w="7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28" w:type="dxa"/>
            <w:tcBorders/>
            <w:vAlign w:val="center"/>
          </w:tcPr>
          <w:p>
            <w:pPr>
              <w:pStyle w:val="TableContents"/>
              <w:bidi w:val="0"/>
              <w:spacing w:before="0" w:after="1"/>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46" w:type="dxa"/>
            <w:tcBorders/>
            <w:vAlign w:val="center"/>
          </w:tcPr>
          <w:p>
            <w:pPr>
              <w:pStyle w:val="TableContents"/>
              <w:bidi w:val="0"/>
              <w:spacing w:before="0" w:after="1"/>
              <w:ind w:left="0" w:right="0" w:hanging="0"/>
              <w:jc w:val="center"/>
              <w:rPr/>
            </w:pPr>
            <w:r>
              <w:rPr/>
              <w:t>​</w:t>
            </w:r>
          </w:p>
        </w:tc>
        <w:tc>
          <w:tcPr>
            <w:tcW w:w="17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Impairment Losses</w:t>
            </w:r>
          </w:p>
        </w:tc>
        <w:tc>
          <w:tcPr>
            <w:tcW w:w="109" w:type="dxa"/>
            <w:tcBorders/>
            <w:vAlign w:val="center"/>
          </w:tcPr>
          <w:p>
            <w:pPr>
              <w:pStyle w:val="TableContents"/>
              <w:bidi w:val="0"/>
              <w:spacing w:before="0" w:after="1"/>
              <w:ind w:left="0" w:right="0" w:hanging="0"/>
              <w:jc w:val="center"/>
              <w:rPr/>
            </w:pPr>
            <w:r>
              <w:rPr/>
              <w:t>​</w:t>
            </w:r>
          </w:p>
        </w:tc>
        <w:tc>
          <w:tcPr>
            <w:tcW w:w="18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Impairment Losses</w:t>
            </w:r>
          </w:p>
        </w:tc>
      </w:tr>
      <w:tr>
        <w:trPr/>
        <w:tc>
          <w:tcPr>
            <w:tcW w:w="19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Certain property and equipment,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4" w:type="dxa"/>
            <w:tcBorders/>
            <w:vAlign w:val="center"/>
          </w:tcPr>
          <w:p>
            <w:pPr>
              <w:pStyle w:val="TableContents"/>
              <w:bidi w:val="0"/>
              <w:spacing w:before="0" w:after="1"/>
              <w:ind w:left="0" w:right="0" w:hanging="0"/>
              <w:jc w:val="right"/>
              <w:rPr/>
            </w:pPr>
            <w:r>
              <w:rPr/>
              <w:t>—</w:t>
            </w:r>
          </w:p>
        </w:tc>
        <w:tc>
          <w:tcPr>
            <w:tcW w:w="428"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4" w:type="dxa"/>
            <w:tcBorders/>
            <w:vAlign w:val="center"/>
          </w:tcPr>
          <w:p>
            <w:pPr>
              <w:pStyle w:val="TableContents"/>
              <w:bidi w:val="0"/>
              <w:spacing w:before="0" w:after="1"/>
              <w:ind w:left="0" w:right="0" w:hanging="0"/>
              <w:jc w:val="right"/>
              <w:rPr/>
            </w:pPr>
            <w:r>
              <w:rPr/>
              <w:t>—</w:t>
            </w:r>
          </w:p>
        </w:tc>
        <w:tc>
          <w:tcPr>
            <w:tcW w:w="428"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center"/>
              <w:rPr/>
            </w:pPr>
            <w:r>
              <w:rPr/>
              <w:t> </w:t>
            </w:r>
          </w:p>
        </w:tc>
        <w:tc>
          <w:tcPr>
            <w:tcW w:w="5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w:t>
            </w:r>
          </w:p>
        </w:tc>
        <w:tc>
          <w:tcPr>
            <w:tcW w:w="109" w:type="dxa"/>
            <w:tcBorders/>
            <w:vAlign w:val="center"/>
          </w:tcPr>
          <w:p>
            <w:pPr>
              <w:pStyle w:val="TableContents"/>
              <w:bidi w:val="0"/>
              <w:spacing w:before="0" w:after="1"/>
              <w:ind w:left="0" w:right="0" w:hanging="0"/>
              <w:jc w:val="center"/>
              <w:rPr/>
            </w:pPr>
            <w:r>
              <w:rPr/>
              <w:t>​</w:t>
            </w:r>
          </w:p>
        </w:tc>
        <w:tc>
          <w:tcPr>
            <w:tcW w:w="5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w:t>
            </w:r>
          </w:p>
        </w:tc>
      </w:tr>
      <w:tr>
        <w:trPr/>
        <w:tc>
          <w:tcPr>
            <w:tcW w:w="19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Certain ROU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4" w:type="dxa"/>
            <w:tcBorders/>
            <w:shd w:fill="CCEEFF" w:val="clear"/>
            <w:vAlign w:val="center"/>
          </w:tcPr>
          <w:p>
            <w:pPr>
              <w:pStyle w:val="TableContents"/>
              <w:bidi w:val="0"/>
              <w:spacing w:before="0" w:after="1"/>
              <w:ind w:left="0" w:right="0" w:hanging="0"/>
              <w:jc w:val="right"/>
              <w:rPr/>
            </w:pPr>
            <w:r>
              <w:rPr/>
              <w:t>—</w:t>
            </w:r>
          </w:p>
        </w:tc>
        <w:tc>
          <w:tcPr>
            <w:tcW w:w="428"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4" w:type="dxa"/>
            <w:tcBorders/>
            <w:shd w:fill="CCEEFF" w:val="clear"/>
            <w:vAlign w:val="center"/>
          </w:tcPr>
          <w:p>
            <w:pPr>
              <w:pStyle w:val="TableContents"/>
              <w:bidi w:val="0"/>
              <w:spacing w:before="0" w:after="1"/>
              <w:ind w:left="0" w:right="0" w:hanging="0"/>
              <w:jc w:val="right"/>
              <w:rPr/>
            </w:pPr>
            <w:r>
              <w:rPr/>
              <w:t>—</w:t>
            </w:r>
          </w:p>
        </w:tc>
        <w:tc>
          <w:tcPr>
            <w:tcW w:w="428"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146" w:type="dxa"/>
            <w:tcBorders/>
            <w:shd w:fill="CCEEFF" w:val="clear"/>
            <w:vAlign w:val="center"/>
          </w:tcPr>
          <w:p>
            <w:pPr>
              <w:pStyle w:val="TableContents"/>
              <w:bidi w:val="0"/>
              <w:spacing w:before="0" w:after="1"/>
              <w:ind w:left="0" w:right="0" w:hanging="0"/>
              <w:jc w:val="left"/>
              <w:rPr/>
            </w:pPr>
            <w:r>
              <w:rPr/>
              <w:t>​</w:t>
            </w:r>
          </w:p>
        </w:tc>
        <w:tc>
          <w:tcPr>
            <w:tcW w:w="5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39</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non-financial instruments were measured at fair value on a nonrecurring basis as of and for the thirteen and thirty-nine weeks ended September 28, 2022, reflecting certain property and equipment assets and ROU assets for which an impairment loss was recognized during the corresponding periods, as discussed immediately below under “Impairment of Long-Lived Assets and ROU Assets”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04"/>
        <w:gridCol w:w="326"/>
        <w:gridCol w:w="211"/>
        <w:gridCol w:w="421"/>
        <w:gridCol w:w="326"/>
        <w:gridCol w:w="313"/>
        <w:gridCol w:w="438"/>
        <w:gridCol w:w="413"/>
        <w:gridCol w:w="313"/>
        <w:gridCol w:w="438"/>
        <w:gridCol w:w="413"/>
        <w:gridCol w:w="267"/>
        <w:gridCol w:w="534"/>
        <w:gridCol w:w="146"/>
        <w:gridCol w:w="576"/>
        <w:gridCol w:w="1157"/>
        <w:gridCol w:w="326"/>
        <w:gridCol w:w="553"/>
        <w:gridCol w:w="1230"/>
      </w:tblGrid>
      <w:tr>
        <w:trPr/>
        <w:tc>
          <w:tcPr>
            <w:tcW w:w="1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145540" cy="175260"/>
                      <wp:effectExtent l="0" t="0" r="0" b="0"/>
                      <wp:wrapNone/>
                      <wp:docPr id="159" name="Frame159"/>
                      <a:graphic xmlns:a="http://schemas.openxmlformats.org/drawingml/2006/main">
                        <a:graphicData uri="http://schemas.microsoft.com/office/word/2010/wordprocessingShape">
                          <wps:wsp>
                            <wps:cNvSpPr txBox="1"/>
                            <wps:spPr>
                              <a:xfrm>
                                <a:off x="0" y="0"/>
                                <a:ext cx="1145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67335" cy="175260"/>
                      <wp:effectExtent l="0" t="0" r="0" b="0"/>
                      <wp:wrapNone/>
                      <wp:docPr id="162" name="Frame16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98755" cy="175260"/>
                      <wp:effectExtent l="0" t="0" r="0" b="0"/>
                      <wp:wrapNone/>
                      <wp:docPr id="164" name="Frame164"/>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78130" cy="175260"/>
                      <wp:effectExtent l="0" t="0" r="0" b="0"/>
                      <wp:wrapNone/>
                      <wp:docPr id="165" name="Frame165"/>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62255" cy="175260"/>
                      <wp:effectExtent l="0" t="0" r="0" b="0"/>
                      <wp:wrapNone/>
                      <wp:docPr id="166" name="Frame166"/>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98755" cy="175260"/>
                      <wp:effectExtent l="0" t="0" r="0" b="0"/>
                      <wp:wrapNone/>
                      <wp:docPr id="167" name="Frame167"/>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78130" cy="175260"/>
                      <wp:effectExtent l="0" t="0" r="0" b="0"/>
                      <wp:wrapNone/>
                      <wp:docPr id="168" name="Frame168"/>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62255" cy="175260"/>
                      <wp:effectExtent l="0" t="0" r="0" b="0"/>
                      <wp:wrapNone/>
                      <wp:docPr id="169" name="Frame169"/>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69545" cy="175260"/>
                      <wp:effectExtent l="0" t="0" r="0" b="0"/>
                      <wp:wrapNone/>
                      <wp:docPr id="170" name="Frame17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39090" cy="175260"/>
                      <wp:effectExtent l="0" t="0" r="0" b="0"/>
                      <wp:wrapNone/>
                      <wp:docPr id="171" name="Frame171"/>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92710" cy="175260"/>
                      <wp:effectExtent l="0" t="0" r="0" b="0"/>
                      <wp:wrapNone/>
                      <wp:docPr id="172" name="Frame17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65760" cy="175260"/>
                      <wp:effectExtent l="0" t="0" r="0" b="0"/>
                      <wp:wrapNone/>
                      <wp:docPr id="173" name="Frame173"/>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734695" cy="175260"/>
                      <wp:effectExtent l="0" t="0" r="0" b="0"/>
                      <wp:wrapNone/>
                      <wp:docPr id="174" name="Frame174"/>
                      <a:graphic xmlns:a="http://schemas.openxmlformats.org/drawingml/2006/main">
                        <a:graphicData uri="http://schemas.microsoft.com/office/word/2010/wordprocessingShape">
                          <wps:wsp>
                            <wps:cNvSpPr txBox="1"/>
                            <wps:spPr>
                              <a:xfrm>
                                <a:off x="0" y="0"/>
                                <a:ext cx="734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51155" cy="175260"/>
                      <wp:effectExtent l="0" t="0" r="0" b="0"/>
                      <wp:wrapNone/>
                      <wp:docPr id="176" name="Frame176"/>
                      <a:graphic xmlns:a="http://schemas.openxmlformats.org/drawingml/2006/main">
                        <a:graphicData uri="http://schemas.microsoft.com/office/word/2010/wordprocessingShape">
                          <wps:wsp>
                            <wps:cNvSpPr txBox="1"/>
                            <wps:spPr>
                              <a:xfrm>
                                <a:off x="0" y="0"/>
                                <a:ext cx="351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781050" cy="175260"/>
                      <wp:effectExtent l="0" t="0" r="0" b="0"/>
                      <wp:wrapNone/>
                      <wp:docPr id="177" name="Frame177"/>
                      <a:graphic xmlns:a="http://schemas.openxmlformats.org/drawingml/2006/main">
                        <a:graphicData uri="http://schemas.microsoft.com/office/word/2010/wordprocessingShape">
                          <wps:wsp>
                            <wps:cNvSpPr txBox="1"/>
                            <wps:spPr>
                              <a:xfrm>
                                <a:off x="0" y="0"/>
                                <a:ext cx="781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7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w:t>
            </w:r>
          </w:p>
        </w:tc>
        <w:tc>
          <w:tcPr>
            <w:tcW w:w="326" w:type="dxa"/>
            <w:tcBorders/>
            <w:vAlign w:val="center"/>
          </w:tcPr>
          <w:p>
            <w:pPr>
              <w:pStyle w:val="TableContents"/>
              <w:bidi w:val="0"/>
              <w:spacing w:before="0" w:after="0"/>
              <w:ind w:left="0" w:right="0" w:hanging="0"/>
              <w:jc w:val="left"/>
              <w:rPr/>
            </w:pPr>
            <w:r>
              <w:rPr/>
              <w:t>​</w:t>
            </w:r>
          </w:p>
        </w:tc>
        <w:tc>
          <w:tcPr>
            <w:tcW w:w="178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w:t>
            </w:r>
          </w:p>
        </w:tc>
      </w:tr>
      <w:tr>
        <w:trPr/>
        <w:tc>
          <w:tcPr>
            <w:tcW w:w="18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12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September 28, 2022 Using</w:t>
            </w:r>
          </w:p>
        </w:tc>
        <w:tc>
          <w:tcPr>
            <w:tcW w:w="146" w:type="dxa"/>
            <w:tcBorders/>
            <w:vAlign w:val="center"/>
          </w:tcPr>
          <w:p>
            <w:pPr>
              <w:pStyle w:val="TableContents"/>
              <w:bidi w:val="0"/>
              <w:spacing w:before="0" w:after="0"/>
              <w:ind w:left="0" w:right="0" w:hanging="0"/>
              <w:jc w:val="center"/>
              <w:rPr/>
            </w:pPr>
            <w:r>
              <w:rPr/>
              <w:t>​</w:t>
            </w:r>
          </w:p>
        </w:tc>
        <w:tc>
          <w:tcPr>
            <w:tcW w:w="17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September 28, 2022</w:t>
            </w:r>
          </w:p>
        </w:tc>
        <w:tc>
          <w:tcPr>
            <w:tcW w:w="326" w:type="dxa"/>
            <w:tcBorders/>
            <w:vAlign w:val="center"/>
          </w:tcPr>
          <w:p>
            <w:pPr>
              <w:pStyle w:val="TableContents"/>
              <w:bidi w:val="0"/>
              <w:spacing w:before="0" w:after="0"/>
              <w:ind w:left="0" w:right="0" w:hanging="0"/>
              <w:jc w:val="left"/>
              <w:rPr/>
            </w:pPr>
            <w:r>
              <w:rPr/>
              <w:t>​</w:t>
            </w:r>
          </w:p>
        </w:tc>
        <w:tc>
          <w:tcPr>
            <w:tcW w:w="17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September 28, 2022</w:t>
            </w:r>
          </w:p>
        </w:tc>
      </w:tr>
      <w:tr>
        <w:trPr/>
        <w:tc>
          <w:tcPr>
            <w:tcW w:w="18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13" w:type="dxa"/>
            <w:tcBorders/>
            <w:vAlign w:val="center"/>
          </w:tcPr>
          <w:p>
            <w:pPr>
              <w:pStyle w:val="TableContents"/>
              <w:bidi w:val="0"/>
              <w:spacing w:before="0" w:after="0"/>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13" w:type="dxa"/>
            <w:tcBorders/>
            <w:vAlign w:val="center"/>
          </w:tcPr>
          <w:p>
            <w:pPr>
              <w:pStyle w:val="TableContents"/>
              <w:bidi w:val="0"/>
              <w:spacing w:before="0" w:after="0"/>
              <w:ind w:left="0" w:right="0" w:hanging="0"/>
              <w:jc w:val="left"/>
              <w:rPr/>
            </w:pPr>
            <w:r>
              <w:rPr/>
              <w:t>    </w:t>
            </w:r>
          </w:p>
        </w:tc>
        <w:tc>
          <w:tcPr>
            <w:tcW w:w="8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46" w:type="dxa"/>
            <w:tcBorders/>
            <w:vAlign w:val="center"/>
          </w:tcPr>
          <w:p>
            <w:pPr>
              <w:pStyle w:val="TableContents"/>
              <w:bidi w:val="0"/>
              <w:spacing w:before="0" w:after="0"/>
              <w:ind w:left="0" w:right="0" w:hanging="0"/>
              <w:jc w:val="center"/>
              <w:rPr/>
            </w:pPr>
            <w:r>
              <w:rPr/>
              <w:t> </w:t>
            </w:r>
          </w:p>
        </w:tc>
        <w:tc>
          <w:tcPr>
            <w:tcW w:w="17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Impairment Losses</w:t>
            </w:r>
          </w:p>
        </w:tc>
        <w:tc>
          <w:tcPr>
            <w:tcW w:w="326" w:type="dxa"/>
            <w:tcBorders/>
            <w:vAlign w:val="center"/>
          </w:tcPr>
          <w:p>
            <w:pPr>
              <w:pStyle w:val="TableContents"/>
              <w:bidi w:val="0"/>
              <w:spacing w:before="0" w:after="0"/>
              <w:ind w:left="0" w:right="0" w:hanging="0"/>
              <w:jc w:val="left"/>
              <w:rPr/>
            </w:pPr>
            <w:r>
              <w:rPr/>
              <w:t>    </w:t>
            </w:r>
          </w:p>
        </w:tc>
        <w:tc>
          <w:tcPr>
            <w:tcW w:w="17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Impairment Losses</w:t>
            </w:r>
          </w:p>
        </w:tc>
      </w:tr>
      <w:tr>
        <w:trPr/>
        <w:tc>
          <w:tcPr>
            <w:tcW w:w="180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413"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413"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5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r>
      <w:tr>
        <w:trPr/>
        <w:tc>
          <w:tcPr>
            <w:tcW w:w="18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ROU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8" w:type="dxa"/>
            <w:tcBorders/>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8" w:type="dxa"/>
            <w:tcBorders/>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146" w:type="dxa"/>
            <w:tcBorders/>
            <w:vAlign w:val="center"/>
          </w:tcPr>
          <w:p>
            <w:pPr>
              <w:pStyle w:val="TableContents"/>
              <w:bidi w:val="0"/>
              <w:spacing w:before="0" w:after="0"/>
              <w:ind w:left="0" w:right="0" w:hanging="0"/>
              <w:jc w:val="center"/>
              <w:rPr/>
            </w:pPr>
            <w:r>
              <w:rPr/>
              <w:t>​</w:t>
            </w:r>
          </w:p>
        </w:tc>
        <w:tc>
          <w:tcPr>
            <w:tcW w:w="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5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0"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 of Long-Lived Assets and ROU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reviews its long-lived and ROU assets for impairment on a restaurant-by-restaurant basis whenever events or changes in circumstances indicate that the carrying value of certain long-lived and ROU assets may not be recoverable. The Company considers a triggering event related to long-lived assets or ROU assets in a net asset position to have occurred related to a specific restaurant if the restaurant’s average unit volume for the last twelve months is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closed or been subleased and future estimated sublease income is less than lease payments under the head lease. If the Company concludes that the carrying value of certain long-lived and ROU assets will not be recovered based on expected undiscounted future cash flows, an impairment loss is recorded to reduce the long-lived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for certain restaurants during the thirty-nine weeks ended September 27, 2023 that required an impairment review of certain of the Company’s long-lived and ROU assets. Based on the results of the analysis, the Company recorded non-cash impairment charges of $1.0 million for both the thirteen and thirty-nine weeks ended September 27, 2023, primarily related to the carrying value of the ROU assets of one restaurant in California and the carrying value of the long-lived assets of one restaurant in Nevada.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recorded a non-cash impairment charge of $0.1 million and $0.4 million for the thirteen and thirty-nine weeks ended September 28, 2022, respectively, primarily related to the carrying value of the long-lived assets of one restaurant in California. Given the inherent uncertainty in projecting results for newer restaurants in newer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markets, as well as the impact of COVID-19 (and related economic effects) and the current macroeconomic environment,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Closed-Store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 to closed restaurants are included within closed-store expense. During both the thirteen and thirty-nine weeks ended September 27, 2023, the Company recognized $0.1 million of closed-store reserve expense related to the amortization of ROU assets, property taxes and CAM payments for its closed locations. During the thirteen and thirty-nine weeks ended September 28, 2022, the Company recognized less than $0.1 million and $0.2 million, respectively, of closed-store reserve expense primarily related to the amortization of ROU assets, property taxes and CAM payments for its closed locations.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Derivative Financial Instruments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used an interest rate swap, a derivative instrument, to hedge interest rate risk and not for trading purposes. The derivative contract was entered into with a financial institution. In connection with the Company’s entry into the 2022 Credit Agreement (as defined below), it terminated the interest rate swap on July 28,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recorded the derivative instrument on its condensed consolidated balance sheets at fair value. The derivative instrument qualified as a hedging instrument in a qualifying cash flow hedge relationship, and the gain or loss on the derivative instrument was reported as a component of accumulated other comprehensive (loss) income (“AOCI”) and reclassified into earnings in the same period or periods during which the hedged transaction affects earnings. For any derivative instruments not designated as hedging instruments, the gain or loss will be recognized in earnings immediately. If a derivative previously designated as a hedge is terminated, or no longer meets the qualifications for hedge accounting, any balances in AOCI will be reclassified to earnings immediately.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Gain on Recovery of Insurance Proceeds, Lost Profits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September 2022, one of the Company’s restaurants incurred damage resulting from a fire. In 2022, the Company disposed of less than $0.1 million of assets related to the fire. The restaurant was reopened for business on October 27, 2022. In fiscal 2023, the Company incurred costs directly related to the fire of less than $0.1 million. The Company recognized gains of $0.2 million, related to the reimbursement of property and equipment and expenses incurred and $0.2 million related to the reimbursement of lost profits. The gain on recovery of insurance proceeds and reimbursement of lost profits, net of the related costs, is included in the accompanying condensed consolidated statements of income, for the thirty-nine weeks ended September 27, 2023, as a reduction of company restaurant expenses. The Company received from the insurance company cash of $0.4 million, net of the insurance deductible, during fiscal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Gain on Disposition of Restaurants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thirteen and thirty-nine weeks ended September 27, 2023, the Company completed the sale of 17 and 18 restaurants, respectively, within California, Utah and Texas to existing franchisees. The Company has determined that these restaurant dispositions represent multiple element arrangements, and as a result, the cash consideration received was allocated to the separate elements based on their relative standalone selling price. Cash proceeds included upfront consideration for the sale of the restaurants and franchise fees. The cash consideration per restaurant related to franchise fees is consistent with the amounts stated in the related franchise agreements, which are charged for separate standalone arrangements. The Company initially defers and subsequently recognizes the franchise fees over the term of the franchise agreement. During the thirteen and thirty-nine weeks ended September 27, 2023, these sales resulted in cash proceeds of $7.5 million and $7.7 million, respectively, and a net gain on sale of restaurant of $4.9 million and $5.0 million, respectively. Since the date of their sale, these restaurants are now included in the total number of franchised El Pollo Loco restaurants.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a reserve for the portion of deferred tax assets which are not expected to be realized.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reviews its filing positions for all open tax years in all U.S. federal and state jurisdictions where the Company is required to file.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condensed consolidated financial position, results of operations, and 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policy is to recognize interest and penalties related to income tax matters in income tax expense. The Company had no accrual for interest or penalties at September 27, 2023 or at December 28, 2022. The Company did not recognize interest or penalties during the thirteen and thirty-nine weeks ended September 27, 2023 and September 28, 2022, respectively, since there were no material unrecognized tax benefits. Management believes no significant changes to the amount of unrecognized tax benefits will occur within the next twelve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30, 2014, the Company entered into the income tax receivable agreement (the “TRA”), which calls for the Company to pay to its pre-initial public offering (“IPO”) stockholders 85% of the savings in cash that the Company realizes in its income taxes as a result of utilizing its net operating losses (“NOLs”) and other tax attributes attributable to preceding periods. For both the thirteen and thirty-nine weeks ended September 27, 2023, the Company recorded income tax receivable agreement expense of $0.1 million, and for the thirteen and thirty-nine weeks ended September 28, 2022, the Company recorded income tax receivable agreement income of less than $0.1 million and $0.3 million, respectively, in each case, related to the amortization of interest expense related to the total expected TRA payments and changes in estimates for actual tax returns filed and future forecasted taxable income.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September 27, 2023, the Company recorded an income tax provision of $3.0 million, reflecting an estimated effective tax rate of 24.4%. For the quarter ended September 28, 2022, the Company recorded an income tax provision of $1.8 million, reflecting an estimated effective tax rate of approximately 26.2%. </w:t>
      </w:r>
      <w:r>
        <w:rPr>
          <w:rFonts w:ascii="Times New Roman;Times;serif" w:hAnsi="Times New Roman;Times;serif"/>
          <w:sz w:val="20"/>
          <w:shd w:fill="FFFFFF" w:val="clear"/>
        </w:rPr>
        <w:t xml:space="preserve">For the year-to-date period ended September 27, 2023, the Company recorded an income tax provision of $7.7 million, reflecting an estimated effective tax rate of approximately 26.5%. For the year-to-date period ended September 28, 2022, the Company recorded an income tax provision of $5.7 million, reflecting an estimated effective tax rate of approximately 28.7%. </w:t>
      </w:r>
      <w:r>
        <w:rPr>
          <w:rFonts w:ascii="Times New Roman;Times;serif" w:hAnsi="Times New Roman;Times;serif"/>
          <w:sz w:val="20"/>
        </w:rPr>
        <w:t xml:space="preserve">The difference between the 21.0% statutory rate and the effective tax rate of 26.5% for the </w:t>
      </w:r>
      <w:r>
        <w:rPr>
          <w:rFonts w:ascii="Times New Roman;Times;serif" w:hAnsi="Times New Roman;Times;serif"/>
          <w:sz w:val="20"/>
          <w:shd w:fill="FFFFFF" w:val="clear"/>
        </w:rPr>
        <w:t>year-to-date</w:t>
      </w:r>
      <w:r>
        <w:rPr>
          <w:rFonts w:ascii="Times New Roman;Times;serif" w:hAnsi="Times New Roman;Times;serif"/>
          <w:sz w:val="20"/>
        </w:rPr>
        <w:t xml:space="preserve"> period ended September 27, 2023 is primarily a result </w:t>
      </w:r>
      <w:r>
        <w:rPr>
          <w:rFonts w:ascii="Times New Roman;Times;serif" w:hAnsi="Times New Roman;Times;serif"/>
          <w:sz w:val="20"/>
          <w:shd w:fill="FFFFFF" w:val="clear"/>
        </w:rPr>
        <w:t>of state taxes</w:t>
      </w:r>
      <w:r>
        <w:rPr>
          <w:rFonts w:ascii="Times New Roman;Times;serif" w:hAnsi="Times New Roman;Times;serif"/>
          <w:sz w:val="20"/>
        </w:rPr>
        <w:t>, a non-deductible executive compensation, partially offset by a Work Opportunity Tax Credit benefit</w:t>
      </w:r>
      <w:r>
        <w:rPr>
          <w:rFonts w:ascii="Times New Roman;Times;serif" w:hAnsi="Times New Roman;Times;serif"/>
          <w:sz w:val="20"/>
          <w:shd w:fill="FFFFFF" w:val="clear"/>
        </w:rPr>
        <w:t xml:space="preserve">.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78" w:name="Tc_TgUfwC_KC0aLHsi5k3DYtA_8_5"/>
      <w:bookmarkStart w:id="1079" w:name="Tc_DhtRQDmTF0C9Y2_hayZRRw_8_2"/>
      <w:bookmarkStart w:id="1080" w:name="Tc_71N7J0NfaE2TjjNArEKd0w_7_0"/>
      <w:bookmarkStart w:id="1081" w:name="Tc_82kZ9nnOxUmxD0gmKFKm6w_5_0"/>
      <w:bookmarkStart w:id="1082" w:name="Tc_Cey69VJ7XEWvypoqz1sqjw_4_0"/>
      <w:bookmarkStart w:id="1083" w:name="Tc_F7K8Q8cMdEy5IvAQK50P3g_3_0"/>
      <w:bookmarkStart w:id="1084" w:name="Tc_uYF8xSKoME6HV7JE4SZkhQ_2_5"/>
      <w:bookmarkStart w:id="1085" w:name="Tc_qQ2wFcvc6kKiR_dlCv7k6g_2_2"/>
      <w:bookmarkStart w:id="1086" w:name="Tc_9SLFDwTRIEWcOHd2h0_lxA_2_0"/>
      <w:bookmarkStart w:id="1087" w:name="Tc_VU-3r9pZMkuySDwhp6hBWg_1_5"/>
      <w:bookmarkStart w:id="1088" w:name="Tc_wkFsJHipX0ObHyX1floi9w_1_2"/>
      <w:bookmarkStart w:id="1089" w:name="_18a3f819_26f2_4ccb_beee_6b08219d4cef"/>
      <w:bookmarkEnd w:id="1078"/>
      <w:bookmarkEnd w:id="1079"/>
      <w:bookmarkEnd w:id="1080"/>
      <w:bookmarkEnd w:id="1081"/>
      <w:bookmarkEnd w:id="1082"/>
      <w:bookmarkEnd w:id="1083"/>
      <w:bookmarkEnd w:id="1084"/>
      <w:bookmarkEnd w:id="1085"/>
      <w:bookmarkEnd w:id="1086"/>
      <w:bookmarkEnd w:id="1087"/>
      <w:bookmarkEnd w:id="1088"/>
      <w:bookmarkEnd w:id="1089"/>
      <w:r>
        <w:rPr>
          <w:rFonts w:ascii="Times New Roman;Times;serif" w:hAnsi="Times New Roman;Times;serif"/>
          <w:b/>
          <w:sz w:val="20"/>
        </w:rPr>
        <w:t>2. PROPERTY AND EQUIPMENT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costs and related accumulated depreciation and amortization of major classes of property and equipment are as follows (in thousands):</w:t>
      </w:r>
    </w:p>
    <w:p>
      <w:pPr>
        <w:pStyle w:val="TextBody"/>
        <w:bidi w:val="0"/>
        <w:spacing w:before="0" w:after="240"/>
        <w:ind w:left="0" w:right="0" w:hanging="0"/>
        <w:jc w:val="left"/>
        <w:rPr/>
      </w:pPr>
      <w:r>
        <w:rPr/>
        <w:t>​</w:t>
      </w:r>
    </w:p>
    <w:tbl>
      <w:tblPr>
        <w:tblW w:w="7854" w:type="dxa"/>
        <w:jc w:val="left"/>
        <w:tblInd w:w="0" w:type="dxa"/>
        <w:tblLayout w:type="fixed"/>
        <w:tblCellMar>
          <w:top w:w="0" w:type="dxa"/>
          <w:left w:w="0" w:type="dxa"/>
          <w:bottom w:w="0" w:type="dxa"/>
          <w:right w:w="0" w:type="dxa"/>
        </w:tblCellMar>
      </w:tblPr>
      <w:tblGrid>
        <w:gridCol w:w="4111"/>
        <w:gridCol w:w="326"/>
        <w:gridCol w:w="310"/>
        <w:gridCol w:w="1236"/>
        <w:gridCol w:w="326"/>
        <w:gridCol w:w="281"/>
        <w:gridCol w:w="1264"/>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610485" cy="175260"/>
                      <wp:effectExtent l="0" t="0" r="0" b="0"/>
                      <wp:wrapNone/>
                      <wp:docPr id="178" name="Frame178"/>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96850" cy="175260"/>
                      <wp:effectExtent l="0" t="0" r="0" b="0"/>
                      <wp:wrapNone/>
                      <wp:docPr id="180" name="Frame18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784860" cy="175260"/>
                      <wp:effectExtent l="0" t="0" r="0" b="0"/>
                      <wp:wrapNone/>
                      <wp:docPr id="181" name="Frame181"/>
                      <a:graphic xmlns:a="http://schemas.openxmlformats.org/drawingml/2006/main">
                        <a:graphicData uri="http://schemas.microsoft.com/office/word/2010/wordprocessingShape">
                          <wps:wsp>
                            <wps:cNvSpPr txBox="1"/>
                            <wps:spPr>
                              <a:xfrm>
                                <a:off x="0" y="0"/>
                                <a:ext cx="784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78435" cy="175260"/>
                      <wp:effectExtent l="0" t="0" r="0" b="0"/>
                      <wp:wrapNone/>
                      <wp:docPr id="183" name="Frame183"/>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802640" cy="175260"/>
                      <wp:effectExtent l="0" t="0" r="0" b="0"/>
                      <wp:wrapNone/>
                      <wp:docPr id="184" name="Frame184"/>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 2022</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12,323</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12,323</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32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145,589</w:t>
            </w:r>
          </w:p>
        </w:tc>
        <w:tc>
          <w:tcPr>
            <w:tcW w:w="32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153,377</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property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84,085</w:t>
            </w:r>
          </w:p>
        </w:tc>
        <w:tc>
          <w:tcPr>
            <w:tcW w:w="326"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83,035</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vAlign w:val="center"/>
          </w:tcPr>
          <w:p>
            <w:pPr>
              <w:pStyle w:val="TableContents"/>
              <w:bidi w:val="0"/>
              <w:spacing w:before="0" w:after="0"/>
              <w:ind w:left="0" w:right="0" w:hanging="0"/>
              <w:jc w:val="left"/>
              <w:rPr/>
            </w:pPr>
            <w:r>
              <w:rPr/>
              <w:t> </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7,406</w:t>
            </w:r>
          </w:p>
        </w:tc>
        <w:tc>
          <w:tcPr>
            <w:tcW w:w="326" w:type="dxa"/>
            <w:tcBorders/>
            <w:vAlign w:val="center"/>
          </w:tcPr>
          <w:p>
            <w:pPr>
              <w:pStyle w:val="TableContents"/>
              <w:bidi w:val="0"/>
              <w:spacing w:before="0" w:after="0"/>
              <w:ind w:left="0" w:right="0" w:hanging="0"/>
              <w:jc w:val="left"/>
              <w:rPr/>
            </w:pPr>
            <w:r>
              <w:rPr/>
              <w:t> </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3,196</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249,403</w:t>
            </w:r>
          </w:p>
        </w:tc>
        <w:tc>
          <w:tcPr>
            <w:tcW w:w="326"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251,931</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0"/>
              <w:ind w:left="0" w:right="0" w:hanging="0"/>
              <w:jc w:val="left"/>
              <w:rPr/>
            </w:pPr>
            <w:r>
              <w:rPr/>
              <w:t> </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(167,216)</w:t>
            </w:r>
          </w:p>
        </w:tc>
        <w:tc>
          <w:tcPr>
            <w:tcW w:w="326" w:type="dxa"/>
            <w:tcBorders/>
            <w:vAlign w:val="center"/>
          </w:tcPr>
          <w:p>
            <w:pPr>
              <w:pStyle w:val="TableContents"/>
              <w:bidi w:val="0"/>
              <w:spacing w:before="0" w:after="0"/>
              <w:ind w:left="0" w:right="0" w:hanging="0"/>
              <w:jc w:val="left"/>
              <w:rPr/>
            </w:pPr>
            <w:r>
              <w:rPr/>
              <w:t> </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(173,287)</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82,187</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78,644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Depreciation expense was </w:t>
      </w:r>
      <w:r>
        <w:rPr>
          <w:rFonts w:ascii="Times New Roman;Times;serif" w:hAnsi="Times New Roman;Times;serif"/>
          <w:sz w:val="20"/>
          <w:shd w:fill="FFFFFF" w:val="clear"/>
        </w:rPr>
        <w:t>$3.9 million and</w:t>
      </w:r>
      <w:r>
        <w:rPr>
          <w:rFonts w:ascii="Times New Roman;Times;serif" w:hAnsi="Times New Roman;Times;serif"/>
          <w:sz w:val="20"/>
        </w:rPr>
        <w:t xml:space="preserve"> $3.5 million for the thirteen weeks ended September 27, 2023 and September 28, 2022, respectively, </w:t>
      </w:r>
      <w:r>
        <w:rPr>
          <w:rFonts w:ascii="Times New Roman;Times;serif" w:hAnsi="Times New Roman;Times;serif"/>
          <w:sz w:val="20"/>
          <w:shd w:fill="FFFFFF" w:val="clear"/>
        </w:rPr>
        <w:t>and $11.3 million and $10.7 million for the thirty-nine weeks ended September 27, 2023 and September 28, 2022, respectively</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Based on the Company’s review of its long-lived assets for impairment, the Company recorded non-cash impairment charges of $1.0 million for both the thirteen and thirty-nine weeks ended September 27, 2023, primarily related to the carrying value of the long-lived assets of one restaurant in Nevada. During the thirteen and thirty-nine weeks ended September 28, 2022, the Company recorded non-cash impairment charges of </w:t>
      </w:r>
      <w:r>
        <w:rPr>
          <w:rFonts w:ascii="Times New Roman;Times;serif" w:hAnsi="Times New Roman;Times;serif"/>
          <w:sz w:val="20"/>
          <w:shd w:fill="FFFFFF" w:val="clear"/>
        </w:rPr>
        <w:t>$0.1 million and</w:t>
      </w:r>
      <w:r>
        <w:rPr>
          <w:rFonts w:ascii="Times New Roman;Times;serif" w:hAnsi="Times New Roman;Times;serif"/>
          <w:sz w:val="20"/>
        </w:rPr>
        <w:t xml:space="preserve"> $0.4 million</w:t>
      </w:r>
      <w:r>
        <w:rPr>
          <w:rFonts w:ascii="Times New Roman;Times;serif" w:hAnsi="Times New Roman;Times;serif"/>
          <w:sz w:val="20"/>
          <w:shd w:fill="FFFFFF" w:val="clear"/>
        </w:rPr>
        <w:t>, respectively,</w:t>
      </w:r>
      <w:r>
        <w:rPr>
          <w:rFonts w:ascii="Times New Roman;Times;serif" w:hAnsi="Times New Roman;Times;serif"/>
          <w:sz w:val="20"/>
        </w:rPr>
        <w:t xml:space="preserve"> primarily related to the carrying value of the long-lived assets of one restaurant in California. See Note 1, “Basis of Presentation and Summary of Significant Accounting Policies – Impairment of Long-Lived Assets and ROU Assets” for additional information.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90" w:name="Tc_ywG7u9GHIUu-ooqevT_-NQ_5_4"/>
      <w:bookmarkStart w:id="1091" w:name="Tc_lmMFqp3alkqW6Y-ReqLMVQ_5_2"/>
      <w:bookmarkStart w:id="1092" w:name="Tc_AIgxZ9ulNEeWqSYCB_UJyw_5_0"/>
      <w:bookmarkStart w:id="1093" w:name="Tc_e1bscO_vbUCcfCvUBd1xQQ_4_0"/>
      <w:bookmarkStart w:id="1094" w:name="Tc_4bPx6k2uKUKlsX6ypB273A_3_5"/>
      <w:bookmarkStart w:id="1095" w:name="Tc__ufFTYVP6UK3cs2gS_g_7g_3_3"/>
      <w:bookmarkStart w:id="1096" w:name="Tc_wmYz-GxH4UigsogAcdJMJA_3_0"/>
      <w:bookmarkStart w:id="1097" w:name="Tc_zOp51OaHKUKHjdQpeR7guA_2_5"/>
      <w:bookmarkStart w:id="1098" w:name="Tc_MLmus79fWkedjBoq9Z2Rww_2_3"/>
      <w:bookmarkStart w:id="1099" w:name="Tc_ap5Lns65pEGoaaNM0y9ZBQ_2_0"/>
      <w:bookmarkStart w:id="1100" w:name="Tc_wP4YEA32ikSZguOu-HWOVA_1_4"/>
      <w:bookmarkStart w:id="1101" w:name="Tc_IPYbDKbsR0iT1-GqUpu7Aw_1_2"/>
      <w:bookmarkStart w:id="1102" w:name="Tc_cma11IC7t0aMDpnRJnoOvA_10_11"/>
      <w:bookmarkStart w:id="1103" w:name="Tc_8fdORIHt6kG5ilasdcnBdQ_10_10"/>
      <w:bookmarkStart w:id="1104" w:name="Tc_k82SFYtWQU64_hhkKWRMZw_10_4"/>
      <w:bookmarkStart w:id="1105" w:name="Tc_bWBX3fzHy0-55IrDlyyZCw_10_0"/>
      <w:bookmarkStart w:id="1106" w:name="Tc_tOGvuwM-SUeuYeF_fa8QJA_9_11"/>
      <w:bookmarkStart w:id="1107" w:name="Tc_9PBWGen8MEyb2TGw4K8Dng_9_10"/>
      <w:bookmarkStart w:id="1108" w:name="Tc_izWtRd0XUUW0mlCoadk5bA_9_4"/>
      <w:bookmarkStart w:id="1109" w:name="Tc_DlFxxs2wL0WsHN4wG0VKVA_9_0"/>
      <w:bookmarkStart w:id="1110" w:name="Tc_AuitP5ztEE-m8hEjR7-dBw_8_11"/>
      <w:bookmarkStart w:id="1111" w:name="Tc_0l0-qX72kEau_i6rRE9OwQ_8_10"/>
      <w:bookmarkStart w:id="1112" w:name="Tc_BlQ6NNYqEkqeAd0SlMj-bQ_8_4"/>
      <w:bookmarkStart w:id="1113" w:name="Tc_yBfWvg7yIkifxODqFHyMEg_8_0"/>
      <w:bookmarkStart w:id="1114" w:name="Tc_g7IcZALyXUmGPbRLNWwmSQ_7_4"/>
      <w:bookmarkStart w:id="1115" w:name="Tc_aw1e2kTSKUqbs9NF4mbJKw_7_0"/>
      <w:bookmarkStart w:id="1116" w:name="Tc_iPzloV7MekqS-WEF8kVr9A_6_0"/>
      <w:bookmarkStart w:id="1117" w:name="Tc_1ZMNECn0FE2tZClL2LUOJA_5_0"/>
      <w:bookmarkStart w:id="1118" w:name="Tc_67ScHzq350qk2cWDiIHqGg_4_4"/>
      <w:bookmarkStart w:id="1119" w:name="Tc_pUBF6VC6m0qXgAELauiwmA_4_0"/>
      <w:bookmarkStart w:id="1120" w:name="Tc_iej3YJd4y02hbJackcb4EA_3_10"/>
      <w:bookmarkStart w:id="1121" w:name="Tc_oWmt2rKgsEWYs51tKCSyJQ_3_7"/>
      <w:bookmarkStart w:id="1122" w:name="Tc_txaUxNb-DEahhX9_UF1sRQ_3_4"/>
      <w:bookmarkStart w:id="1123" w:name="Tc_QVJlD0ncGkmFjOALse_VUw_3_2"/>
      <w:bookmarkStart w:id="1124" w:name="Tc_o06XIGHtVEmcDSFqJ7u6vQ_2_10"/>
      <w:bookmarkStart w:id="1125" w:name="Tc_cIr0pOmp60-waXBZJxGkxw_2_7"/>
      <w:bookmarkStart w:id="1126" w:name="Tc_8sJr1gYfPUS4Ux1NBWd8ag_2_4"/>
      <w:bookmarkStart w:id="1127" w:name="Tc_aOKLmFSsrECw17MHXM3P4g_1_10"/>
      <w:bookmarkStart w:id="1128" w:name="Tc_Gf_DpR4A10ikF-9FdaJa3Q_1_7"/>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r>
        <w:rPr>
          <w:rFonts w:ascii="Times New Roman;Times;serif" w:hAnsi="Times New Roman;Times;serif"/>
          <w:b/>
          <w:sz w:val="20"/>
        </w:rPr>
        <w:t>3. STOCK-BASED COMPENSATION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September 27, 2023, options to purchase 1,169,959 shares of common stock were outstanding, including 480,160 vested and 689,799 unvested. Unvested options vest over time; however, upon a change in control, the Board of Directors may accelerate vesting. At September 27, 2023, there were no premium options, which are options granted above the stock price at date of grant, that were outstanding. A summary of stock option activity as of September 27, 2023 and changes during the thirty-nine weeks ended September 27, 2023 is as follows: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81"/>
        <w:gridCol w:w="326"/>
        <w:gridCol w:w="931"/>
        <w:gridCol w:w="326"/>
        <w:gridCol w:w="396"/>
        <w:gridCol w:w="1075"/>
        <w:gridCol w:w="146"/>
        <w:gridCol w:w="278"/>
        <w:gridCol w:w="1193"/>
        <w:gridCol w:w="146"/>
        <w:gridCol w:w="423"/>
        <w:gridCol w:w="784"/>
      </w:tblGrid>
      <w:tr>
        <w:trPr/>
        <w:tc>
          <w:tcPr>
            <w:tcW w:w="4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654935" cy="175260"/>
                      <wp:effectExtent l="0" t="0" r="0" b="0"/>
                      <wp:wrapNone/>
                      <wp:docPr id="185" name="Frame185"/>
                      <a:graphic xmlns:a="http://schemas.openxmlformats.org/drawingml/2006/main">
                        <a:graphicData uri="http://schemas.microsoft.com/office/word/2010/wordprocessingShape">
                          <wps:wsp>
                            <wps:cNvSpPr txBox="1"/>
                            <wps:spPr>
                              <a:xfrm>
                                <a:off x="0" y="0"/>
                                <a:ext cx="265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91185" cy="175260"/>
                      <wp:effectExtent l="0" t="0" r="0" b="0"/>
                      <wp:wrapNone/>
                      <wp:docPr id="187" name="Frame18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51460" cy="175260"/>
                      <wp:effectExtent l="0" t="0" r="0" b="0"/>
                      <wp:wrapNone/>
                      <wp:docPr id="189" name="Frame189"/>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82625" cy="175260"/>
                      <wp:effectExtent l="0" t="0" r="0" b="0"/>
                      <wp:wrapNone/>
                      <wp:docPr id="190" name="Frame190"/>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92710" cy="175260"/>
                      <wp:effectExtent l="0" t="0" r="0" b="0"/>
                      <wp:wrapNone/>
                      <wp:docPr id="191" name="Frame19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76530" cy="175260"/>
                      <wp:effectExtent l="0" t="0" r="0" b="0"/>
                      <wp:wrapNone/>
                      <wp:docPr id="192" name="Frame192"/>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757555" cy="175260"/>
                      <wp:effectExtent l="0" t="0" r="0" b="0"/>
                      <wp:wrapNone/>
                      <wp:docPr id="193" name="Frame193"/>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2710" cy="175260"/>
                      <wp:effectExtent l="0" t="0" r="0" b="0"/>
                      <wp:wrapNone/>
                      <wp:docPr id="194" name="Frame1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68605" cy="175260"/>
                      <wp:effectExtent l="0" t="0" r="0" b="0"/>
                      <wp:wrapNone/>
                      <wp:docPr id="195" name="Frame195"/>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97840" cy="175260"/>
                      <wp:effectExtent l="0" t="0" r="0" b="0"/>
                      <wp:wrapNone/>
                      <wp:docPr id="196" name="Frame196"/>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4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46" w:type="dxa"/>
            <w:tcBorders/>
            <w:vAlign w:val="center"/>
          </w:tcPr>
          <w:p>
            <w:pPr>
              <w:pStyle w:val="TableContents"/>
              <w:bidi w:val="0"/>
              <w:spacing w:before="0" w:after="0"/>
              <w:ind w:left="0" w:right="0" w:hanging="0"/>
              <w:jc w:val="left"/>
              <w:rPr/>
            </w:pPr>
            <w:r>
              <w:rPr/>
              <w:t> </w:t>
            </w:r>
          </w:p>
        </w:tc>
        <w:tc>
          <w:tcPr>
            <w:tcW w:w="12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46" w:type="dxa"/>
            <w:tcBorders/>
            <w:vAlign w:val="center"/>
          </w:tcPr>
          <w:p>
            <w:pPr>
              <w:pStyle w:val="TableContents"/>
              <w:bidi w:val="0"/>
              <w:spacing w:before="0" w:after="0"/>
              <w:ind w:left="0" w:right="0" w:hanging="0"/>
              <w:jc w:val="center"/>
              <w:rPr/>
            </w:pPr>
            <w:r>
              <w:rPr/>
              <w:t> </w:t>
            </w:r>
          </w:p>
        </w:tc>
        <w:tc>
          <w:tcPr>
            <w:tcW w:w="1471"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Contractual Life</w:t>
            </w:r>
          </w:p>
        </w:tc>
        <w:tc>
          <w:tcPr>
            <w:tcW w:w="146" w:type="dxa"/>
            <w:tcBorders/>
            <w:vAlign w:val="center"/>
          </w:tcPr>
          <w:p>
            <w:pPr>
              <w:pStyle w:val="TableContents"/>
              <w:bidi w:val="0"/>
              <w:spacing w:before="0" w:after="0"/>
              <w:ind w:left="0" w:right="0" w:hanging="0"/>
              <w:jc w:val="left"/>
              <w:rPr/>
            </w:pPr>
            <w:r>
              <w:rPr/>
              <w:t> </w:t>
            </w:r>
          </w:p>
        </w:tc>
        <w:tc>
          <w:tcPr>
            <w:tcW w:w="12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4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w:t>
            </w:r>
          </w:p>
        </w:tc>
        <w:tc>
          <w:tcPr>
            <w:tcW w:w="14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46" w:type="dxa"/>
            <w:tcBorders/>
            <w:vAlign w:val="center"/>
          </w:tcPr>
          <w:p>
            <w:pPr>
              <w:pStyle w:val="TableContents"/>
              <w:bidi w:val="0"/>
              <w:spacing w:before="0" w:after="0"/>
              <w:ind w:left="0" w:right="0" w:hanging="0"/>
              <w:jc w:val="center"/>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December 28, 2022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1,068,179</w:t>
            </w:r>
          </w:p>
        </w:tc>
        <w:tc>
          <w:tcPr>
            <w:tcW w:w="326"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1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r>
      <w:tr>
        <w:trPr/>
        <w:tc>
          <w:tcPr>
            <w:tcW w:w="4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482,701</w:t>
            </w:r>
          </w:p>
        </w:tc>
        <w:tc>
          <w:tcPr>
            <w:tcW w:w="326"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c>
          <w:tcPr>
            <w:tcW w:w="1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r>
      <w:tr>
        <w:trPr/>
        <w:tc>
          <w:tcPr>
            <w:tcW w:w="4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(219,960)</w:t>
            </w:r>
          </w:p>
        </w:tc>
        <w:tc>
          <w:tcPr>
            <w:tcW w:w="326"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1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r>
      <w:tr>
        <w:trPr/>
        <w:tc>
          <w:tcPr>
            <w:tcW w:w="4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cancelled or expired</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(160,961)</w:t>
            </w:r>
          </w:p>
        </w:tc>
        <w:tc>
          <w:tcPr>
            <w:tcW w:w="326" w:type="dxa"/>
            <w:tcBorders/>
            <w:vAlign w:val="center"/>
          </w:tcPr>
          <w:p>
            <w:pPr>
              <w:pStyle w:val="TableContents"/>
              <w:bidi w:val="0"/>
              <w:spacing w:before="0" w:after="0"/>
              <w:ind w:left="0" w:right="0" w:hanging="0"/>
              <w:jc w:val="left"/>
              <w:rPr/>
            </w:pPr>
            <w:r>
              <w:rPr/>
              <w:t>​</w:t>
            </w:r>
          </w:p>
        </w:tc>
        <w:tc>
          <w:tcPr>
            <w:tcW w:w="3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w:t>
            </w:r>
          </w:p>
        </w:tc>
        <w:tc>
          <w:tcPr>
            <w:tcW w:w="1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r>
      <w:tr>
        <w:trPr/>
        <w:tc>
          <w:tcPr>
            <w:tcW w:w="4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September 27, 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1,169,959</w:t>
            </w:r>
          </w:p>
        </w:tc>
        <w:tc>
          <w:tcPr>
            <w:tcW w:w="326" w:type="dxa"/>
            <w:tcBorders/>
            <w:shd w:fill="CCEEFF" w:val="clear"/>
            <w:vAlign w:val="center"/>
          </w:tcPr>
          <w:p>
            <w:pPr>
              <w:pStyle w:val="TableContents"/>
              <w:bidi w:val="0"/>
              <w:spacing w:before="0" w:after="0"/>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w:t>
            </w:r>
          </w:p>
        </w:tc>
        <w:tc>
          <w:tcPr>
            <w:tcW w:w="1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7.17</w:t>
            </w:r>
          </w:p>
        </w:tc>
        <w:tc>
          <w:tcPr>
            <w:tcW w:w="146"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center"/>
              <w:rPr/>
            </w:pPr>
            <w:r>
              <w:rPr/>
              <w:t>—</w:t>
            </w:r>
          </w:p>
        </w:tc>
      </w:tr>
      <w:tr>
        <w:trPr/>
        <w:tc>
          <w:tcPr>
            <w:tcW w:w="4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September 27, 2023</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1,156,593</w:t>
            </w:r>
          </w:p>
        </w:tc>
        <w:tc>
          <w:tcPr>
            <w:tcW w:w="326" w:type="dxa"/>
            <w:tcBorders/>
            <w:vAlign w:val="center"/>
          </w:tcPr>
          <w:p>
            <w:pPr>
              <w:pStyle w:val="TableContents"/>
              <w:bidi w:val="0"/>
              <w:spacing w:before="0" w:after="0"/>
              <w:ind w:left="0" w:right="0" w:hanging="0"/>
              <w:jc w:val="left"/>
              <w:rPr/>
            </w:pPr>
            <w:r>
              <w:rPr/>
              <w:t>​</w:t>
            </w:r>
          </w:p>
        </w:tc>
        <w:tc>
          <w:tcPr>
            <w:tcW w:w="3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w:t>
            </w:r>
          </w:p>
        </w:tc>
        <w:tc>
          <w:tcPr>
            <w:tcW w:w="1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7.14</w:t>
            </w:r>
          </w:p>
        </w:tc>
        <w:tc>
          <w:tcPr>
            <w:tcW w:w="146"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0"/>
              <w:ind w:left="0" w:right="0" w:hanging="0"/>
              <w:jc w:val="center"/>
              <w:rPr/>
            </w:pPr>
            <w:r>
              <w:rPr/>
              <w:t>—</w:t>
            </w:r>
          </w:p>
        </w:tc>
      </w:tr>
      <w:tr>
        <w:trPr/>
        <w:tc>
          <w:tcPr>
            <w:tcW w:w="4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September 27, 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480,160</w:t>
            </w:r>
          </w:p>
        </w:tc>
        <w:tc>
          <w:tcPr>
            <w:tcW w:w="326" w:type="dxa"/>
            <w:tcBorders/>
            <w:shd w:fill="CCEEFF" w:val="clear"/>
            <w:vAlign w:val="center"/>
          </w:tcPr>
          <w:p>
            <w:pPr>
              <w:pStyle w:val="TableContents"/>
              <w:bidi w:val="0"/>
              <w:spacing w:before="0" w:after="0"/>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w:t>
            </w:r>
          </w:p>
        </w:tc>
        <w:tc>
          <w:tcPr>
            <w:tcW w:w="1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4.26</w:t>
            </w:r>
          </w:p>
        </w:tc>
        <w:tc>
          <w:tcPr>
            <w:tcW w:w="146"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fair value of each stock option was estimated on the grant date using an exercise price of the closing stock price on the day prior to date of grant and the Black-Scholes option-pricing model with the following weighted average assumptions:</w:t>
      </w:r>
    </w:p>
    <w:p>
      <w:pPr>
        <w:pStyle w:val="TextBody"/>
        <w:bidi w:val="0"/>
        <w:spacing w:before="0" w:after="0"/>
        <w:ind w:left="0" w:right="0" w:hanging="0"/>
        <w:jc w:val="left"/>
        <w:rPr/>
      </w:pPr>
      <w:r>
        <w:rPr/>
        <w:t>​</w:t>
      </w:r>
    </w:p>
    <w:tbl>
      <w:tblPr>
        <w:tblW w:w="5971" w:type="dxa"/>
        <w:jc w:val="left"/>
        <w:tblInd w:w="0" w:type="dxa"/>
        <w:tblLayout w:type="fixed"/>
        <w:tblCellMar>
          <w:top w:w="0" w:type="dxa"/>
          <w:left w:w="0" w:type="dxa"/>
          <w:bottom w:w="0" w:type="dxa"/>
          <w:right w:w="0" w:type="dxa"/>
        </w:tblCellMar>
      </w:tblPr>
      <w:tblGrid>
        <w:gridCol w:w="1876"/>
        <w:gridCol w:w="326"/>
        <w:gridCol w:w="1546"/>
        <w:gridCol w:w="361"/>
        <w:gridCol w:w="1546"/>
        <w:gridCol w:w="31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191260" cy="175260"/>
                      <wp:effectExtent l="0" t="0" r="0" b="0"/>
                      <wp:wrapNone/>
                      <wp:docPr id="197" name="Frame197"/>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981710" cy="175260"/>
                      <wp:effectExtent l="0" t="0" r="0" b="0"/>
                      <wp:wrapNone/>
                      <wp:docPr id="199" name="Frame199"/>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29235" cy="175260"/>
                      <wp:effectExtent l="0" t="0" r="0" b="0"/>
                      <wp:wrapNone/>
                      <wp:docPr id="200" name="Frame20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981710" cy="175260"/>
                      <wp:effectExtent l="0" t="0" r="0" b="0"/>
                      <wp:wrapNone/>
                      <wp:docPr id="201" name="Frame20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0660" cy="175260"/>
                      <wp:effectExtent l="0" t="0" r="0" b="0"/>
                      <wp:wrapNone/>
                      <wp:docPr id="202" name="Frame20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16" w:type="dxa"/>
            <w:tcBorders/>
            <w:vAlign w:val="center"/>
          </w:tcPr>
          <w:p>
            <w:pPr>
              <w:pStyle w:val="TableContents"/>
              <w:bidi w:val="0"/>
              <w:spacing w:before="0" w:after="0"/>
              <w:ind w:left="0" w:right="0" w:hanging="0"/>
              <w:jc w:val="left"/>
              <w:rPr/>
            </w:pPr>
            <w:r>
              <w:rPr/>
              <w:t> </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361"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dividends</w:t>
            </w:r>
          </w:p>
        </w:tc>
        <w:tc>
          <w:tcPr>
            <w:tcW w:w="32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29" w:name="Tc_FocKsgHUkkOWT79YLsTpeg_7_4"/>
      <w:bookmarkStart w:id="1130" w:name="Tc__if_PhKl3UW5c5VKcqb4ew_7_0"/>
      <w:bookmarkStart w:id="1131" w:name="Tc_AMV5_dEKpE-calyXxGXyvQ_6_4"/>
      <w:bookmarkStart w:id="1132" w:name="Tc_CZcKTkLVzkG9-6aSZCENjQ_6_0"/>
      <w:bookmarkStart w:id="1133" w:name="Tc_ifd0HdnwiEa8sK9k2UfIKg_5_4"/>
      <w:bookmarkStart w:id="1134" w:name="Tc_zNTfBXulB02QkYSGGv6spA_5_0"/>
      <w:bookmarkStart w:id="1135" w:name="Tc_KuTHKiL9vEaDxZuM2Jy9IQ_4_4"/>
      <w:bookmarkStart w:id="1136" w:name="Tc_wn95y5O0fUOraCd8gZtcBA_4_0"/>
      <w:bookmarkStart w:id="1137" w:name="Tc_iGET4dngr0i3hETaK1zOAw_3_4"/>
      <w:bookmarkStart w:id="1138" w:name="Tc_SLyFTTK4AE2yYbq6GRNbgQ_3_0"/>
      <w:bookmarkStart w:id="1139" w:name="Tc_yTpYjL1CYkqCeBLXlfIcpg_2_4"/>
      <w:bookmarkStart w:id="1140" w:name="Tc_shEarBXb306Bji_zvE8eew_2_2"/>
      <w:bookmarkStart w:id="1141" w:name="Tc_6FMl0ZoVqUSCQwzBV55utw_1_4"/>
      <w:bookmarkEnd w:id="1129"/>
      <w:bookmarkEnd w:id="1130"/>
      <w:bookmarkEnd w:id="1131"/>
      <w:bookmarkEnd w:id="1132"/>
      <w:bookmarkEnd w:id="1133"/>
      <w:bookmarkEnd w:id="1134"/>
      <w:bookmarkEnd w:id="1135"/>
      <w:bookmarkEnd w:id="1136"/>
      <w:bookmarkEnd w:id="1137"/>
      <w:bookmarkEnd w:id="1138"/>
      <w:bookmarkEnd w:id="1139"/>
      <w:bookmarkEnd w:id="1140"/>
      <w:bookmarkEnd w:id="1141"/>
      <w:r>
        <w:rPr>
          <w:rFonts w:ascii="Times New Roman;Times;serif" w:hAnsi="Times New Roman;Times;serif"/>
          <w:sz w:val="20"/>
        </w:rPr>
        <w:t xml:space="preserve">At September 27, 2023, the Company had total unrecognized compensation expense of $3.0 million related to unvested stock options, which it expects to recognize over a weighted-average period of 3.18 years.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summary of restricted share activity as of September 27, 2023 and changes during the thirty-nine weeks ended September 27, 2023 is as follows:</w:t>
      </w:r>
    </w:p>
    <w:p>
      <w:pPr>
        <w:pStyle w:val="TextBody"/>
        <w:bidi w:val="0"/>
        <w:spacing w:before="0" w:after="240"/>
        <w:ind w:left="0" w:right="0" w:hanging="0"/>
        <w:jc w:val="left"/>
        <w:rPr/>
      </w:pPr>
      <w:r>
        <w:rPr/>
        <w:t>​</w:t>
      </w:r>
    </w:p>
    <w:tbl>
      <w:tblPr>
        <w:tblW w:w="6355" w:type="dxa"/>
        <w:jc w:val="left"/>
        <w:tblInd w:w="0" w:type="dxa"/>
        <w:tblLayout w:type="fixed"/>
        <w:tblCellMar>
          <w:top w:w="0" w:type="dxa"/>
          <w:left w:w="0" w:type="dxa"/>
          <w:bottom w:w="0" w:type="dxa"/>
          <w:right w:w="0" w:type="dxa"/>
        </w:tblCellMar>
      </w:tblPr>
      <w:tblGrid>
        <w:gridCol w:w="3286"/>
        <w:gridCol w:w="326"/>
        <w:gridCol w:w="901"/>
        <w:gridCol w:w="326"/>
        <w:gridCol w:w="360"/>
        <w:gridCol w:w="1156"/>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86610" cy="175260"/>
                      <wp:effectExtent l="0" t="0" r="0" b="0"/>
                      <wp:wrapNone/>
                      <wp:docPr id="203" name="Frame203"/>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72135" cy="175260"/>
                      <wp:effectExtent l="0" t="0" r="0" b="0"/>
                      <wp:wrapNone/>
                      <wp:docPr id="205" name="Frame20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28600" cy="175260"/>
                      <wp:effectExtent l="0" t="0" r="0" b="0"/>
                      <wp:wrapNone/>
                      <wp:docPr id="207" name="Frame20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734060" cy="175260"/>
                      <wp:effectExtent l="0" t="0" r="0" b="0"/>
                      <wp:wrapNone/>
                      <wp:docPr id="208" name="Frame20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5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shares at December 28, 2022</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545,480</w:t>
            </w:r>
          </w:p>
        </w:tc>
        <w:tc>
          <w:tcPr>
            <w:tcW w:w="32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391,432</w:t>
            </w:r>
          </w:p>
        </w:tc>
        <w:tc>
          <w:tcPr>
            <w:tcW w:w="32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Released</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(181,490)</w:t>
            </w:r>
          </w:p>
        </w:tc>
        <w:tc>
          <w:tcPr>
            <w:tcW w:w="32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12.20</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cancelled, or expired</w:t>
            </w:r>
          </w:p>
        </w:tc>
        <w:tc>
          <w:tcPr>
            <w:tcW w:w="32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(108,004)</w:t>
            </w:r>
          </w:p>
        </w:tc>
        <w:tc>
          <w:tcPr>
            <w:tcW w:w="32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11.93</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shares at September 27, 2023</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647,418</w:t>
            </w:r>
          </w:p>
        </w:tc>
        <w:tc>
          <w:tcPr>
            <w:tcW w:w="32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10.27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September 27, 2023, the Company had unrecognized compensation expense of $5.4 million related to unvested restricted shares, which it expects to recognize over a weighted-average period of 2.66 years.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stock-based compensation expense was </w:t>
      </w:r>
      <w:r>
        <w:rPr>
          <w:rFonts w:ascii="Times New Roman;Times;serif" w:hAnsi="Times New Roman;Times;serif"/>
          <w:sz w:val="20"/>
          <w:shd w:fill="FFFFFF" w:val="clear"/>
        </w:rPr>
        <w:t>$0.9 million and</w:t>
      </w:r>
      <w:r>
        <w:rPr>
          <w:rFonts w:ascii="Times New Roman;Times;serif" w:hAnsi="Times New Roman;Times;serif"/>
          <w:sz w:val="20"/>
        </w:rPr>
        <w:t xml:space="preserve"> $2.5 million for the thirteen and thirty-nine weeks ended September 27, 2023, </w:t>
      </w:r>
      <w:r>
        <w:rPr>
          <w:rFonts w:ascii="Times New Roman;Times;serif" w:hAnsi="Times New Roman;Times;serif"/>
          <w:sz w:val="20"/>
          <w:shd w:fill="FFFFFF" w:val="clear"/>
        </w:rPr>
        <w:t>respectively,</w:t>
      </w:r>
      <w:r>
        <w:rPr>
          <w:rFonts w:ascii="Times New Roman;Times;serif" w:hAnsi="Times New Roman;Times;serif"/>
          <w:sz w:val="20"/>
        </w:rPr>
        <w:t xml:space="preserve"> </w:t>
      </w:r>
      <w:r>
        <w:rPr>
          <w:rFonts w:ascii="Times New Roman;Times;serif" w:hAnsi="Times New Roman;Times;serif"/>
          <w:sz w:val="20"/>
          <w:shd w:fill="FFFFFF" w:val="clear"/>
        </w:rPr>
        <w:t>and $1.0 million and $2.8 million for the thirteen and thirty-nine weeks ended September 28, 2022, respectively.</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October 11, 2022, the Company’s Board of Directors approved a share repurchase program (the “2022 Stock Repurchase Plan”) under which the Company was authorized to repurchase up to $20.0 million of shares of its common stock through March 28, 2024.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2022 Stock Repurchase Plan, the Company was permitted to repurchase its common stock from time to time, in amounts and at prices that the Company deemed appropriate, subject to market conditions and other considerations. Pursuant to the 2022 Stock Repurchase Plan, the Company was authorized to effect repurchases using open market purchases, including pursuant to Rule 10b5-1 trading plans, and/or through privately negotiated transactions.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thirteen and thirty-nine weeks ended September 27, 2023, the Company repurchased 206,214 and 2,030,850 shares of common stock, respectively, under the 2022 Stock Repurchase Plan, using open market purchases, for total consideration of approximately $1.9 million and $20.0 million, respectively. The common stock repurchased under 2022 Stock Repurchase Plan were retired upon repurchase. The 2022 Stock Repurchase Plan commenced on January 9, 2023, and was completed on July 12, 2023.</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7, 2023, the Company entered into a Stock Repurchase Agreement (the “Repurchase Agreement”) with FS Equity Partners V, L.P. and FS Affiliates V, L.P. (together, the “Sellers”), pursuant to which the Company agreed to purchase an aggregate of 2,500,000 shares of the Company’s common stock from the Sellers at a price of $10.63 per share, representing the closing price of such shares as listed on Nasdaq on August 7, 2023, for a total purchase price of $26.6 million. The repurchase was completed in August 2023.</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Prior to the repurchase, Freeman Spogli &amp; Co. (“Freeman Spogli”), collectively with the Sellers and certain other funds managed by Freeman Spogli, was the Company’s largest stockholder. In addition, John Roth, a director of the Company until his resignation on August 16, 2023, is a general partner of Freeman Spogli and its chief executive officer.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LONG-TERM DEBT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July 27, 2022, the Company refinanced and terminated its credit agreement (the “2018 Credit Agreement”) among EPL, as borrower, the Company and Intermediate, as guarantors, Bank of America, N.A., as administrative agent, swingline lender, and letter of credit issuer, the lenders party thereto, and the other parties thereto, which provided for a $150.0 million five-year senior secured revolving credit facility (the “2018 Revolver”). The 2018 Revolver was refinanced pursuant to a credit agreement (the “2022 Credit Agreement”) among EPL, as borrower, the Company and Intermediate, as guarantors, Bank of America, N.A., as administrative agent, swingline lender, and letter of credit issuer, the lenders party thereto, and the other parties thereto, which provides for a $150.0 million five-year senior secured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42" w:name="_Hlk149133354"/>
      <w:bookmarkStart w:id="1143" w:name="_Hlk117778221"/>
      <w:bookmarkEnd w:id="1142"/>
      <w:bookmarkEnd w:id="1143"/>
      <w:r>
        <w:rPr>
          <w:rFonts w:ascii="Times New Roman;Times;serif" w:hAnsi="Times New Roman;Times;serif"/>
          <w:sz w:val="20"/>
        </w:rPr>
        <w:t>revolving credit facility (the “2022 Revolver”). In connection with the refinancing, the 2018 Credit Agreement was terminated.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2022 Revolver includes a sub limit of $15.0 million for letters of credit and a sub limit of $15.0 million for swingline loans. The 2022 Revolver and 2022 Credit Agreement will mature on July 27, 2027.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special dividend announced by the Company’s Board of Directors on October 11, 2022 was permitted under the terms of 2022 Revolver pursuant to both subclause (iii)(d) and (iii)(e) of the following sentence. Under the 2022 Revolver, Holdings is restricted from making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w:t>
      </w:r>
      <w:r>
        <w:rPr>
          <w:rFonts w:ascii="Times New Roman;Times;serif" w:hAnsi="Times New Roman;Times;serif"/>
          <w:sz w:val="20"/>
          <w:shd w:fill="FFFFFF" w:val="clear"/>
        </w:rPr>
        <w:t>Term SOFR (as defined in the 2022 Credit Agreement) with a term of one-month SOFR</w:t>
      </w:r>
      <w:r>
        <w:rPr>
          <w:rFonts w:ascii="Times New Roman;Times;serif" w:hAnsi="Times New Roman;Times;serif"/>
          <w:sz w:val="20"/>
        </w:rPr>
        <w:t xml:space="preserve"> plus 1.00%. For </w:t>
      </w:r>
      <w:r>
        <w:rPr>
          <w:rFonts w:ascii="Times New Roman;Times;serif" w:hAnsi="Times New Roman;Times;serif"/>
          <w:sz w:val="20"/>
          <w:shd w:fill="FFFFFF" w:val="clear"/>
        </w:rPr>
        <w:t>Term SOFR</w:t>
      </w:r>
      <w:r>
        <w:rPr>
          <w:rFonts w:ascii="Times New Roman;Times;serif" w:hAnsi="Times New Roman;Times;serif"/>
          <w:sz w:val="20"/>
        </w:rPr>
        <w:t xml:space="preserve"> loans, the margin is in the range of 1.25% to 2.25%, and for base rate loans the margin is in a range of 0.25% to 1.25%. Borrowings under the 2022 Revolver may be repaid and reborrowed. The interest rate range was</w:t>
      </w:r>
      <w:r>
        <w:rPr>
          <w:rFonts w:ascii="Times New Roman;Times;serif" w:hAnsi="Times New Roman;Times;serif"/>
          <w:sz w:val="20"/>
          <w:shd w:fill="FFFFFF" w:val="clear"/>
        </w:rPr>
        <w:t xml:space="preserve"> 6.74% to 6.93% and</w:t>
      </w:r>
      <w:r>
        <w:rPr>
          <w:rFonts w:ascii="Times New Roman;Times;serif" w:hAnsi="Times New Roman;Times;serif"/>
          <w:sz w:val="20"/>
        </w:rPr>
        <w:t xml:space="preserve"> 5.69% to 8.50% for the thirteen and thirty-nine weeks ended September 27, 2023, under the 2022 Revolver, </w:t>
      </w:r>
      <w:r>
        <w:rPr>
          <w:rFonts w:ascii="Times New Roman;Times;serif" w:hAnsi="Times New Roman;Times;serif"/>
          <w:sz w:val="20"/>
          <w:shd w:fill="FFFFFF" w:val="clear"/>
        </w:rPr>
        <w:t xml:space="preserve">respectively, </w:t>
      </w:r>
      <w:r>
        <w:rPr>
          <w:rFonts w:ascii="Times New Roman;Times;serif" w:hAnsi="Times New Roman;Times;serif"/>
          <w:sz w:val="20"/>
        </w:rPr>
        <w:t>and</w:t>
      </w:r>
      <w:r>
        <w:rPr>
          <w:rFonts w:ascii="Times New Roman;Times;serif" w:hAnsi="Times New Roman;Times;serif"/>
          <w:sz w:val="20"/>
          <w:shd w:fill="FFFFFF" w:val="clear"/>
        </w:rPr>
        <w:t xml:space="preserve"> 2.87% to 6.00% and</w:t>
      </w:r>
      <w:r>
        <w:rPr>
          <w:rFonts w:ascii="Times New Roman;Times;serif" w:hAnsi="Times New Roman;Times;serif"/>
          <w:sz w:val="20"/>
        </w:rPr>
        <w:t xml:space="preserve"> 1.35% to 6.00% for the thirteen and thirty-nine weeks ended September 28, 2022, respectively, under the 2022 Revolver and 2018 Revolver</w:t>
      </w:r>
      <w:r>
        <w:rPr>
          <w:rFonts w:ascii="Times New Roman;Times;serif" w:hAnsi="Times New Roman;Times;serif"/>
          <w:sz w:val="20"/>
          <w:shd w:fill="FFFFFF" w:val="clea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2022 Credit Agreement contains certain financial covenants. The Company was in compliance with the financial covenants as of September 27, 2023.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September 27, 2023, the Company had $80.0 million in outstanding borrowings under the 2022 Revolver and $9.8 million of letters of credit that further reduce the amount available under the line of credit to $60.2 million in borrowing availability.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Maturities, Borrowings and Paydowns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July 27, 2022, the Company refinanced and terminated the 2018 Revolver pursuant to the 2022 Credit Agreement. During the thirteen and thirty-nine weeks ended September 27, 2023 the Company borrowed $23.0 million and $25.0 million, respectively, and paid down $3.0 million and $11.0 million, respectively, on the 2022 Revolver. During both the thirteen and thirty-nine weeks ended September 28, 2022 the Company paid down $20.0 million on the 2022 Revolver. </w:t>
      </w:r>
      <w:r>
        <w:rPr>
          <w:rFonts w:ascii="Times New Roman;Times;serif" w:hAnsi="Times New Roman;Times;serif"/>
          <w:sz w:val="20"/>
          <w:shd w:fill="FFFFFF" w:val="clear"/>
        </w:rPr>
        <w:t>No amounts were borrowed on the 2022 Revolver during the thirty-nine weeks ended September 28, 2022.</w:t>
      </w:r>
      <w:r>
        <w:rPr>
          <w:rFonts w:ascii="Times New Roman;Times;serif" w:hAnsi="Times New Roman;Times;serif"/>
          <w:sz w:val="20"/>
        </w:rPr>
        <w:t xml:space="preserve"> There are no required principal payments prior to maturity for the 2022 Revolver which matures on July 27, 2027.</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Rate Swap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year ended December 25, 2019, the Company entered into a variable-to-fixed interest rate swap agreement with a notional amount of $40.0 million with a maturity date in June 2023. The objective of the interest rate swap was to reduce the Company’s exposure to interest rate risk for a portion of its variable-rate interest payments on its borrowings under the 2018 Revolver. The interest rate swap was designated as a cash flow hedge, as the changes in the future cash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44" w:name="Tc_hGW92E6UO0SOClMFEpkguw_5_23"/>
      <w:bookmarkStart w:id="1145" w:name="Tc_PT8em3bACkObTtAjiLYvtA_5_20"/>
      <w:bookmarkStart w:id="1146" w:name="Tc_a2cGBYetTE6-_bDZQjgSQA_5_17"/>
      <w:bookmarkStart w:id="1147" w:name="Tc_UHvph2bpCUOO0ORYynZOIw_5_15"/>
      <w:bookmarkStart w:id="1148" w:name="Tc_olLomfG8p0mtE4aXjlyPYw_5_14"/>
      <w:bookmarkStart w:id="1149" w:name="Tc_y2oDut0M-0ei4A8St23i3w_5_11"/>
      <w:bookmarkStart w:id="1150" w:name="Tc_B2v9BxJxrU21nWhsIZ8BVw_5_9"/>
      <w:bookmarkStart w:id="1151" w:name="Tc_Me-3X_bT_UmlWIu1tW915g_5_8"/>
      <w:bookmarkStart w:id="1152" w:name="Tc_aZbqD2TIjkukgtiI3Nouow_5_5"/>
      <w:bookmarkStart w:id="1153" w:name="Tc_UdPegL2OaUO-bA0A_GvCmg_5_3"/>
      <w:bookmarkStart w:id="1154" w:name="Tc_ZrHqwfJ0dkaZDMxQU_EfJA_5_2"/>
      <w:bookmarkStart w:id="1155" w:name="Tc_DgxTtt8aXESW760HoDW1zg_5_0"/>
      <w:bookmarkStart w:id="1156" w:name="Tc_RqvniI665E-3Q5yGO1hnyg_4_24"/>
      <w:bookmarkStart w:id="1157" w:name="Tc_xqBw-MgGNUSlcb0tA6eEKw_4_20"/>
      <w:bookmarkStart w:id="1158" w:name="Tc_qlh5LBXQrkmc7i7HHO5jZA_4_18"/>
      <w:bookmarkStart w:id="1159" w:name="Tc_6n7rdiv1pkemlpWNekod4A_4_14"/>
      <w:bookmarkStart w:id="1160" w:name="Tc_lpdIuPUMUEitdiTloSpzKQ_4_11"/>
      <w:bookmarkStart w:id="1161" w:name="Tc_a-Er_gu4cEmIfeqQO45ggQ_4_8"/>
      <w:bookmarkStart w:id="1162" w:name="Tc_1o7jGmnA_U6ugiMBfTyX_w_4_5"/>
      <w:bookmarkStart w:id="1163" w:name="Tc_mtXTru8i0kyyHKm1YZHBew_4_2"/>
      <w:bookmarkStart w:id="1164" w:name="Tc_jAOp-R4QpEeVJNSkAoScbA_3_20"/>
      <w:bookmarkStart w:id="1165" w:name="Tc_OcEh316_r0qH09vrwWQ6qg_3_14"/>
      <w:bookmarkStart w:id="1166" w:name="Tc_yk1x37RQDk2nRzH5U4zEog_3_8"/>
      <w:bookmarkStart w:id="1167" w:name="Tc_zCJQu2ojvkeb8nPLRabpEg_3_2"/>
      <w:bookmarkStart w:id="1168" w:name="Tc_oQnb3fKNX0qgnMopSozVzQ_2_20"/>
      <w:bookmarkStart w:id="1169" w:name="Tc_hC5ECEUGb0q3Ti6hJ3xW1Q_2_8"/>
      <w:bookmarkStart w:id="1170" w:name="Tc_g3RS17afx0Go41swMTk7GQ_1_14"/>
      <w:bookmarkStart w:id="1171" w:name="Tc_yVxhKWauu0eYZ0legeXuVw_1_2"/>
      <w:bookmarkStart w:id="1172" w:name="_15d48f37_4a8b_4e43_8358_5cadc68b97ad"/>
      <w:bookmarkStart w:id="1173" w:name="Tc_N6dZ4lmTKkyPO4rJIbUOAg_5_11"/>
      <w:bookmarkStart w:id="1174" w:name="Tc_bFsC0UOjTEaAVEeL7FS0Gw_5_8"/>
      <w:bookmarkStart w:id="1175" w:name="Tc_VZmN8VedYE-GgkhsrPc1gw_5_5"/>
      <w:bookmarkStart w:id="1176" w:name="Tc_ZcaHowjG-EusMyN0-vctEQ_5_3"/>
      <w:bookmarkStart w:id="1177" w:name="Tc_SeNPkjD0OUyuVj7vCOAsYw_5_2"/>
      <w:bookmarkStart w:id="1178" w:name="Tc_PcdZxK2vxkWJzNTgbns2BA_5_0"/>
      <w:bookmarkStart w:id="1179" w:name="Tc_Ofu0JhEeukSC-fHQj0YXQg_4_3"/>
      <w:bookmarkStart w:id="1180" w:name="Tc_Rp1or7usAEmb5ZoSkwl-5g_4_0"/>
      <w:bookmarkStart w:id="1181" w:name="Tc_jxRTDZj0pUGneJ6GEyNw7A_3_11"/>
      <w:bookmarkStart w:id="1182" w:name="Tc_jWVvwv9NmECsq_bXmFq-Gw_3_9"/>
      <w:bookmarkStart w:id="1183" w:name="Tc_1dzlNxaAYE6XscPlq-mbOg_3_8"/>
      <w:bookmarkStart w:id="1184" w:name="Tc_vzl__Au8HkmE_Wl1iWyRww_3_5"/>
      <w:bookmarkStart w:id="1185" w:name="Tc_qzN5OzgjBUKjvEp3wMLRmw_3_3"/>
      <w:bookmarkStart w:id="1186" w:name="Tc_s-tfRlkyMEGiAYa3hXdnQg_3_2"/>
      <w:bookmarkStart w:id="1187" w:name="Tc_MkCB4y85REWtieSlmFws5w_3_0"/>
      <w:bookmarkStart w:id="1188" w:name="Tc_sTQOS0q0FkyZFglIBXYawA_2_11"/>
      <w:bookmarkStart w:id="1189" w:name="Tc_qtJRxj4TtkWOu91c4Lmrdg_2_8"/>
      <w:bookmarkStart w:id="1190" w:name="Tc_6l-LqBioVkuXe0_HHWdYLg_2_5"/>
      <w:bookmarkStart w:id="1191" w:name="Tc_rmHd2EV9JU2slG-9WWPmgw_2_2"/>
      <w:bookmarkStart w:id="1192" w:name="Tc_Fshd1PpeIE2QFjorh9U2CQ_1_8"/>
      <w:bookmarkStart w:id="1193" w:name="Tc_fnpQovacCU-tR6r-wYQRIQ_1_2"/>
      <w:bookmarkStart w:id="1194" w:name="_60c09dfa_2df0_4f7f_a6ff_0e5782441e2c"/>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r>
        <w:rPr>
          <w:rFonts w:ascii="Times New Roman;Times;serif" w:hAnsi="Times New Roman;Times;serif"/>
          <w:sz w:val="20"/>
        </w:rPr>
        <w:t>flows of the swap were expected to offset changes in expected future interest payments on the related variable-rate debt, in accordance with Accounting Standards Codification (“ASC”) 815 “Derivatives and Hedging.”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Company’s entry into the 2022 Credit Agreement, it terminated the interest rate swap on July 28, 2022 which was previously used to hedge interest rate risk. Prior to the interest rate swap termination, the swap was a highly effective cash flow hedge. In settlement of this swap, the Company received approximately $0.6 million and derecognized the corresponding interest rate swap asset. The remaining amount in AOCI related to the hedging relationship was reclassified into earnings when the hedged forecasted transaction was reported in earnings.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September 27, 2023, there were no estimated net gains to be included in AOCI related to the Company’s cash flow hedge that would be reclassified into earnings, based on current </w:t>
      </w:r>
      <w:r>
        <w:rPr>
          <w:rFonts w:ascii="Times New Roman;Times;serif" w:hAnsi="Times New Roman;Times;serif"/>
          <w:sz w:val="20"/>
          <w:shd w:fill="FFFFFF" w:val="clear"/>
        </w:rPr>
        <w:t>Term SOFR</w:t>
      </w:r>
      <w:r>
        <w:rPr>
          <w:rFonts w:ascii="Times New Roman;Times;serif" w:hAnsi="Times New Roman;Times;serif"/>
          <w:sz w:val="20"/>
        </w:rPr>
        <w:t xml:space="preserve"> interest rates.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effect of the Company’s cash flow hedge accounting on the condensed consolidated statements of income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67"/>
        <w:gridCol w:w="326"/>
        <w:gridCol w:w="585"/>
        <w:gridCol w:w="961"/>
        <w:gridCol w:w="335"/>
        <w:gridCol w:w="471"/>
        <w:gridCol w:w="1075"/>
        <w:gridCol w:w="109"/>
        <w:gridCol w:w="471"/>
        <w:gridCol w:w="1075"/>
        <w:gridCol w:w="338"/>
        <w:gridCol w:w="455"/>
        <w:gridCol w:w="1137"/>
      </w:tblGrid>
      <w:tr>
        <w:trPr/>
        <w:tc>
          <w:tcPr>
            <w:tcW w:w="2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820545" cy="175260"/>
                      <wp:effectExtent l="0" t="0" r="0" b="0"/>
                      <wp:wrapNone/>
                      <wp:docPr id="209" name="Frame209"/>
                      <a:graphic xmlns:a="http://schemas.openxmlformats.org/drawingml/2006/main">
                        <a:graphicData uri="http://schemas.microsoft.com/office/word/2010/wordprocessingShape">
                          <wps:wsp>
                            <wps:cNvSpPr txBox="1"/>
                            <wps:spPr>
                              <a:xfrm>
                                <a:off x="0" y="0"/>
                                <a:ext cx="182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71475" cy="175260"/>
                      <wp:effectExtent l="0" t="0" r="0" b="0"/>
                      <wp:wrapNone/>
                      <wp:docPr id="211" name="Frame211"/>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10235" cy="175260"/>
                      <wp:effectExtent l="0" t="0" r="0" b="0"/>
                      <wp:wrapNone/>
                      <wp:docPr id="212" name="Frame21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2725" cy="175260"/>
                      <wp:effectExtent l="0" t="0" r="0" b="0"/>
                      <wp:wrapNone/>
                      <wp:docPr id="213" name="Frame213"/>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99085" cy="175260"/>
                      <wp:effectExtent l="0" t="0" r="0" b="0"/>
                      <wp:wrapNone/>
                      <wp:docPr id="214" name="Frame214"/>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82625" cy="175260"/>
                      <wp:effectExtent l="0" t="0" r="0" b="0"/>
                      <wp:wrapNone/>
                      <wp:docPr id="215" name="Frame215"/>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99085" cy="175260"/>
                      <wp:effectExtent l="0" t="0" r="0" b="0"/>
                      <wp:wrapNone/>
                      <wp:docPr id="217" name="Frame217"/>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82625" cy="175260"/>
                      <wp:effectExtent l="0" t="0" r="0" b="0"/>
                      <wp:wrapNone/>
                      <wp:docPr id="218" name="Frame218"/>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4630" cy="175260"/>
                      <wp:effectExtent l="0" t="0" r="0" b="0"/>
                      <wp:wrapNone/>
                      <wp:docPr id="219" name="Frame219"/>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88925" cy="175260"/>
                      <wp:effectExtent l="0" t="0" r="0" b="0"/>
                      <wp:wrapNone/>
                      <wp:docPr id="220" name="Frame220"/>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721995" cy="175260"/>
                      <wp:effectExtent l="0" t="0" r="0" b="0"/>
                      <wp:wrapNone/>
                      <wp:docPr id="221" name="Frame221"/>
                      <a:graphic xmlns:a="http://schemas.openxmlformats.org/drawingml/2006/main">
                        <a:graphicData uri="http://schemas.microsoft.com/office/word/2010/wordprocessingShape">
                          <wps:wsp>
                            <wps:cNvSpPr txBox="1"/>
                            <wps:spPr>
                              <a:xfrm>
                                <a:off x="0" y="0"/>
                                <a:ext cx="721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center"/>
              <w:rPr/>
            </w:pPr>
            <w:r>
              <w:rPr/>
              <w:t>​</w:t>
            </w:r>
          </w:p>
        </w:tc>
        <w:tc>
          <w:tcPr>
            <w:tcW w:w="34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28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35"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109" w:type="dxa"/>
            <w:tcBorders/>
            <w:vAlign w:val="center"/>
          </w:tcPr>
          <w:p>
            <w:pPr>
              <w:pStyle w:val="TableContents"/>
              <w:bidi w:val="0"/>
              <w:spacing w:before="0" w:after="0"/>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38" w:type="dxa"/>
            <w:tcBorders/>
            <w:vAlign w:val="center"/>
          </w:tcPr>
          <w:p>
            <w:pPr>
              <w:pStyle w:val="TableContents"/>
              <w:bidi w:val="0"/>
              <w:spacing w:before="0" w:after="0"/>
              <w:ind w:left="0" w:right="0" w:hanging="0"/>
              <w:jc w:val="left"/>
              <w:rPr/>
            </w:pPr>
            <w:r>
              <w:rPr/>
              <w:t>    </w:t>
            </w:r>
          </w:p>
        </w:tc>
        <w:tc>
          <w:tcPr>
            <w:tcW w:w="15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r>
      <w:tr>
        <w:trPr/>
        <w:tc>
          <w:tcPr>
            <w:tcW w:w="28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on hedged portion of debt</w:t>
            </w:r>
          </w:p>
        </w:tc>
        <w:tc>
          <w:tcPr>
            <w:tcW w:w="326"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109" w:type="dxa"/>
            <w:tcBorders/>
            <w:shd w:fill="CCEEFF" w:val="clear"/>
            <w:vAlign w:val="center"/>
          </w:tcPr>
          <w:p>
            <w:pPr>
              <w:pStyle w:val="TableContents"/>
              <w:bidi w:val="0"/>
              <w:spacing w:before="0" w:after="0"/>
              <w:ind w:left="0" w:right="0" w:hanging="0"/>
              <w:jc w:val="right"/>
              <w:rPr/>
            </w:pPr>
            <w:r>
              <w:rPr/>
              <w:t>​</w:t>
            </w:r>
          </w:p>
        </w:tc>
        <w:tc>
          <w:tcPr>
            <w:tcW w:w="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0"/>
              <w:ind w:left="0" w:right="0" w:hanging="0"/>
              <w:jc w:val="righ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r>
      <w:tr>
        <w:trPr/>
        <w:tc>
          <w:tcPr>
            <w:tcW w:w="2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on interest rate swap</w:t>
            </w:r>
          </w:p>
        </w:tc>
        <w:tc>
          <w:tcPr>
            <w:tcW w:w="326" w:type="dxa"/>
            <w:tcBorders/>
            <w:vAlign w:val="center"/>
          </w:tcPr>
          <w:p>
            <w:pPr>
              <w:pStyle w:val="TableContents"/>
              <w:bidi w:val="0"/>
              <w:spacing w:before="0" w:after="0"/>
              <w:ind w:left="0" w:right="0" w:hanging="0"/>
              <w:jc w:val="left"/>
              <w:rPr/>
            </w:pPr>
            <w:r>
              <w:rPr/>
              <w:t> </w:t>
            </w:r>
          </w:p>
        </w:tc>
        <w:tc>
          <w:tcPr>
            <w:tcW w:w="5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left"/>
              <w:rPr/>
            </w:pPr>
            <w:r>
              <w:rPr/>
              <w:t> </w:t>
            </w:r>
          </w:p>
        </w:tc>
        <w:tc>
          <w:tcPr>
            <w:tcW w:w="4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109" w:type="dxa"/>
            <w:tcBorders/>
            <w:vAlign w:val="center"/>
          </w:tcPr>
          <w:p>
            <w:pPr>
              <w:pStyle w:val="TableContents"/>
              <w:bidi w:val="0"/>
              <w:spacing w:before="0" w:after="0"/>
              <w:ind w:left="0" w:right="0" w:hanging="0"/>
              <w:jc w:val="right"/>
              <w:rPr/>
            </w:pPr>
            <w:r>
              <w:rPr/>
              <w:t>​</w:t>
            </w:r>
          </w:p>
        </w:tc>
        <w:tc>
          <w:tcPr>
            <w:tcW w:w="4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38" w:type="dxa"/>
            <w:tcBorders/>
            <w:vAlign w:val="center"/>
          </w:tcPr>
          <w:p>
            <w:pPr>
              <w:pStyle w:val="TableContents"/>
              <w:bidi w:val="0"/>
              <w:spacing w:before="0" w:after="0"/>
              <w:ind w:left="0" w:right="0" w:hanging="0"/>
              <w:jc w:val="left"/>
              <w:rPr/>
            </w:pPr>
            <w:r>
              <w:rPr/>
              <w:t> </w:t>
            </w:r>
          </w:p>
        </w:tc>
        <w:tc>
          <w:tcPr>
            <w:tcW w:w="4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28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on debt and derivatives, net</w:t>
            </w:r>
          </w:p>
        </w:tc>
        <w:tc>
          <w:tcPr>
            <w:tcW w:w="326" w:type="dxa"/>
            <w:tcBorders/>
            <w:shd w:fill="CCEEFF" w:val="clear"/>
            <w:vAlign w:val="center"/>
          </w:tcPr>
          <w:p>
            <w:pPr>
              <w:pStyle w:val="TableContents"/>
              <w:bidi w:val="0"/>
              <w:spacing w:before="0" w:after="0"/>
              <w:ind w:left="0" w:right="0" w:hanging="0"/>
              <w:jc w:val="left"/>
              <w:rPr/>
            </w:pPr>
            <w:r>
              <w:rPr/>
              <w:t>​</w:t>
            </w:r>
          </w:p>
        </w:tc>
        <w:tc>
          <w:tcPr>
            <w:tcW w:w="5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4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109" w:type="dxa"/>
            <w:tcBorders/>
            <w:shd w:fill="CCEEFF" w:val="clear"/>
            <w:vAlign w:val="center"/>
          </w:tcPr>
          <w:p>
            <w:pPr>
              <w:pStyle w:val="TableContents"/>
              <w:bidi w:val="0"/>
              <w:spacing w:before="0" w:after="0"/>
              <w:ind w:left="0" w:right="0" w:hanging="0"/>
              <w:jc w:val="right"/>
              <w:rPr/>
            </w:pPr>
            <w:r>
              <w:rPr/>
              <w:t>​</w:t>
            </w:r>
          </w:p>
        </w:tc>
        <w:tc>
          <w:tcPr>
            <w:tcW w:w="4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38" w:type="dxa"/>
            <w:tcBorders/>
            <w:shd w:fill="CCEEFF" w:val="clear"/>
            <w:vAlign w:val="center"/>
          </w:tcPr>
          <w:p>
            <w:pPr>
              <w:pStyle w:val="TableContents"/>
              <w:bidi w:val="0"/>
              <w:spacing w:before="0" w:after="0"/>
              <w:ind w:left="0" w:right="0" w:hanging="0"/>
              <w:jc w:val="left"/>
              <w:rPr/>
            </w:pPr>
            <w:r>
              <w:rPr/>
              <w:t>​</w:t>
            </w:r>
          </w:p>
        </w:tc>
        <w:tc>
          <w:tcPr>
            <w:tcW w:w="4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effect of the Company’s cash flow hedge accounting on AOCI for the thirteen and thirty-nine weeks ended September 27, 2023 and September 28, 2022 (in thousands):</w:t>
      </w:r>
    </w:p>
    <w:p>
      <w:pPr>
        <w:pStyle w:val="TextBody"/>
        <w:bidi w:val="0"/>
        <w:spacing w:before="0" w:after="240"/>
        <w:ind w:left="0" w:right="0" w:hanging="0"/>
        <w:jc w:val="left"/>
        <w:rPr/>
      </w:pPr>
      <w:r>
        <w:rPr/>
        <w:t>​</w:t>
      </w:r>
    </w:p>
    <w:tbl>
      <w:tblPr>
        <w:tblW w:w="14970" w:type="dxa"/>
        <w:jc w:val="left"/>
        <w:tblInd w:w="0" w:type="dxa"/>
        <w:tblLayout w:type="fixed"/>
        <w:tblCellMar>
          <w:top w:w="0" w:type="dxa"/>
          <w:left w:w="0" w:type="dxa"/>
          <w:bottom w:w="0" w:type="dxa"/>
          <w:right w:w="0" w:type="dxa"/>
        </w:tblCellMar>
      </w:tblPr>
      <w:tblGrid>
        <w:gridCol w:w="631"/>
        <w:gridCol w:w="146"/>
        <w:gridCol w:w="559"/>
        <w:gridCol w:w="987"/>
        <w:gridCol w:w="146"/>
        <w:gridCol w:w="628"/>
        <w:gridCol w:w="918"/>
        <w:gridCol w:w="146"/>
        <w:gridCol w:w="581"/>
        <w:gridCol w:w="965"/>
        <w:gridCol w:w="146"/>
        <w:gridCol w:w="457"/>
        <w:gridCol w:w="1089"/>
        <w:gridCol w:w="146"/>
        <w:gridCol w:w="559"/>
        <w:gridCol w:w="987"/>
        <w:gridCol w:w="109"/>
        <w:gridCol w:w="326"/>
        <w:gridCol w:w="1546"/>
        <w:gridCol w:w="326"/>
        <w:gridCol w:w="479"/>
        <w:gridCol w:w="1067"/>
        <w:gridCol w:w="109"/>
        <w:gridCol w:w="326"/>
        <w:gridCol w:w="1591"/>
      </w:tblGrid>
      <w:tr>
        <w:trPr/>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00685" cy="175260"/>
                      <wp:effectExtent l="0" t="0" r="0" b="0"/>
                      <wp:wrapNone/>
                      <wp:docPr id="222" name="Frame22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92710" cy="175260"/>
                      <wp:effectExtent l="0" t="0" r="0" b="0"/>
                      <wp:wrapNone/>
                      <wp:docPr id="223" name="Frame22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54965" cy="175260"/>
                      <wp:effectExtent l="0" t="0" r="0" b="0"/>
                      <wp:wrapNone/>
                      <wp:docPr id="224" name="Frame224"/>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26745" cy="175260"/>
                      <wp:effectExtent l="0" t="0" r="0" b="0"/>
                      <wp:wrapNone/>
                      <wp:docPr id="225" name="Frame225"/>
                      <a:graphic xmlns:a="http://schemas.openxmlformats.org/drawingml/2006/main">
                        <a:graphicData uri="http://schemas.microsoft.com/office/word/2010/wordprocessingShape">
                          <wps:wsp>
                            <wps:cNvSpPr txBox="1"/>
                            <wps:spPr>
                              <a:xfrm>
                                <a:off x="0" y="0"/>
                                <a:ext cx="626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92710" cy="175260"/>
                      <wp:effectExtent l="0" t="0" r="0" b="0"/>
                      <wp:wrapNone/>
                      <wp:docPr id="226" name="Frame22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98780" cy="175260"/>
                      <wp:effectExtent l="0" t="0" r="0" b="0"/>
                      <wp:wrapNone/>
                      <wp:docPr id="227" name="Frame227"/>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82930" cy="175260"/>
                      <wp:effectExtent l="0" t="0" r="0" b="0"/>
                      <wp:wrapNone/>
                      <wp:docPr id="228" name="Frame228"/>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92710" cy="175260"/>
                      <wp:effectExtent l="0" t="0" r="0" b="0"/>
                      <wp:wrapNone/>
                      <wp:docPr id="229" name="Frame22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68935" cy="175260"/>
                      <wp:effectExtent l="0" t="0" r="0" b="0"/>
                      <wp:wrapNone/>
                      <wp:docPr id="230" name="Frame230"/>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12775" cy="175260"/>
                      <wp:effectExtent l="0" t="0" r="0" b="0"/>
                      <wp:wrapNone/>
                      <wp:docPr id="231" name="Frame231"/>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92710" cy="175260"/>
                      <wp:effectExtent l="0" t="0" r="0" b="0"/>
                      <wp:wrapNone/>
                      <wp:docPr id="232" name="Frame23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90195" cy="175260"/>
                      <wp:effectExtent l="0" t="0" r="0" b="0"/>
                      <wp:wrapNone/>
                      <wp:docPr id="233" name="Frame233"/>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1515" cy="175260"/>
                      <wp:effectExtent l="0" t="0" r="0" b="0"/>
                      <wp:wrapNone/>
                      <wp:docPr id="234" name="Frame234"/>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92710" cy="175260"/>
                      <wp:effectExtent l="0" t="0" r="0" b="0"/>
                      <wp:wrapNone/>
                      <wp:docPr id="235" name="Frame23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54965" cy="175260"/>
                      <wp:effectExtent l="0" t="0" r="0" b="0"/>
                      <wp:wrapNone/>
                      <wp:docPr id="236" name="Frame236"/>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26745" cy="175260"/>
                      <wp:effectExtent l="0" t="0" r="0" b="0"/>
                      <wp:wrapNone/>
                      <wp:docPr id="237" name="Frame237"/>
                      <a:graphic xmlns:a="http://schemas.openxmlformats.org/drawingml/2006/main">
                        <a:graphicData uri="http://schemas.microsoft.com/office/word/2010/wordprocessingShape">
                          <wps:wsp>
                            <wps:cNvSpPr txBox="1"/>
                            <wps:spPr>
                              <a:xfrm>
                                <a:off x="0" y="0"/>
                                <a:ext cx="626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8"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981710" cy="175260"/>
                      <wp:effectExtent l="0" t="0" r="0" b="0"/>
                      <wp:wrapNone/>
                      <wp:docPr id="240" name="Frame240"/>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04165" cy="175260"/>
                      <wp:effectExtent l="0" t="0" r="0" b="0"/>
                      <wp:wrapNone/>
                      <wp:docPr id="242" name="Frame242"/>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77545" cy="175260"/>
                      <wp:effectExtent l="0" t="0" r="0" b="0"/>
                      <wp:wrapNone/>
                      <wp:docPr id="243" name="Frame243"/>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010285" cy="175260"/>
                      <wp:effectExtent l="0" t="0" r="0" b="0"/>
                      <wp:wrapNone/>
                      <wp:docPr id="246" name="Frame246"/>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662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46" w:type="dxa"/>
            <w:tcBorders/>
            <w:vAlign w:val="center"/>
          </w:tcPr>
          <w:p>
            <w:pPr>
              <w:pStyle w:val="TableContents"/>
              <w:bidi w:val="0"/>
              <w:spacing w:before="0" w:after="0"/>
              <w:ind w:left="0" w:right="0" w:hanging="0"/>
              <w:jc w:val="center"/>
              <w:rPr/>
            </w:pPr>
            <w:r>
              <w:rPr/>
              <w:t>​</w:t>
            </w:r>
          </w:p>
        </w:tc>
        <w:tc>
          <w:tcPr>
            <w:tcW w:w="742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3238" w:type="dxa"/>
            <w:gridSpan w:val="5"/>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323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Reclassified from</w:t>
            </w:r>
          </w:p>
        </w:tc>
        <w:tc>
          <w:tcPr>
            <w:tcW w:w="146" w:type="dxa"/>
            <w:tcBorders/>
            <w:vAlign w:val="center"/>
          </w:tcPr>
          <w:p>
            <w:pPr>
              <w:pStyle w:val="TableContents"/>
              <w:bidi w:val="0"/>
              <w:spacing w:before="0" w:after="0"/>
              <w:ind w:left="0" w:right="0" w:hanging="0"/>
              <w:jc w:val="center"/>
              <w:rPr/>
            </w:pPr>
            <w:r>
              <w:rPr/>
              <w:t>​</w:t>
            </w:r>
          </w:p>
        </w:tc>
        <w:tc>
          <w:tcPr>
            <w:tcW w:w="3527" w:type="dxa"/>
            <w:gridSpan w:val="5"/>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57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Reclassified from</w:t>
            </w:r>
          </w:p>
        </w:tc>
      </w:tr>
      <w:tr>
        <w:trPr/>
        <w:tc>
          <w:tcPr>
            <w:tcW w:w="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32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Gain Recognized in OCI</w:t>
            </w:r>
          </w:p>
        </w:tc>
        <w:tc>
          <w:tcPr>
            <w:tcW w:w="146" w:type="dxa"/>
            <w:tcBorders/>
            <w:vAlign w:val="center"/>
          </w:tcPr>
          <w:p>
            <w:pPr>
              <w:pStyle w:val="TableContents"/>
              <w:bidi w:val="0"/>
              <w:spacing w:before="0" w:after="0"/>
              <w:ind w:left="0" w:right="0" w:hanging="0"/>
              <w:jc w:val="center"/>
              <w:rPr/>
            </w:pPr>
            <w:r>
              <w:rPr/>
              <w:t>​</w:t>
            </w:r>
          </w:p>
        </w:tc>
        <w:tc>
          <w:tcPr>
            <w:tcW w:w="32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AOCI into Interest Income</w:t>
            </w:r>
          </w:p>
        </w:tc>
        <w:tc>
          <w:tcPr>
            <w:tcW w:w="146" w:type="dxa"/>
            <w:tcBorders/>
            <w:vAlign w:val="center"/>
          </w:tcPr>
          <w:p>
            <w:pPr>
              <w:pStyle w:val="TableContents"/>
              <w:bidi w:val="0"/>
              <w:spacing w:before="0" w:after="0"/>
              <w:ind w:left="0" w:right="0" w:hanging="0"/>
              <w:jc w:val="center"/>
              <w:rPr/>
            </w:pPr>
            <w:r>
              <w:rPr/>
              <w:t>​</w:t>
            </w:r>
          </w:p>
        </w:tc>
        <w:tc>
          <w:tcPr>
            <w:tcW w:w="35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Gain Recognized in OCI</w:t>
            </w:r>
          </w:p>
        </w:tc>
        <w:tc>
          <w:tcPr>
            <w:tcW w:w="326" w:type="dxa"/>
            <w:tcBorders/>
            <w:vAlign w:val="center"/>
          </w:tcPr>
          <w:p>
            <w:pPr>
              <w:pStyle w:val="TableContents"/>
              <w:bidi w:val="0"/>
              <w:spacing w:before="0" w:after="0"/>
              <w:ind w:left="0" w:right="0" w:hanging="0"/>
              <w:jc w:val="center"/>
              <w:rPr/>
            </w:pPr>
            <w:r>
              <w:rPr/>
              <w:t>​</w:t>
            </w:r>
          </w:p>
        </w:tc>
        <w:tc>
          <w:tcPr>
            <w:tcW w:w="357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AOCI into Interest Income</w:t>
            </w:r>
          </w:p>
        </w:tc>
      </w:tr>
      <w:tr>
        <w:trPr/>
        <w:tc>
          <w:tcPr>
            <w:tcW w:w="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4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14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4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14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09" w:type="dxa"/>
            <w:tcBorders/>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09" w:type="dxa"/>
            <w:tcBorders/>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r>
      <w:tr>
        <w:trPr/>
        <w:tc>
          <w:tcPr>
            <w:tcW w:w="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rate swap</w:t>
            </w:r>
          </w:p>
        </w:tc>
        <w:tc>
          <w:tcPr>
            <w:tcW w:w="146" w:type="dxa"/>
            <w:tcBorders/>
            <w:shd w:fill="CCEEFF" w:val="clear"/>
            <w:vAlign w:val="center"/>
          </w:tcPr>
          <w:p>
            <w:pPr>
              <w:pStyle w:val="TableContents"/>
              <w:bidi w:val="0"/>
              <w:spacing w:before="0" w:after="0"/>
              <w:ind w:left="0" w:right="0" w:hanging="0"/>
              <w:jc w:val="left"/>
              <w:rPr/>
            </w:pPr>
            <w:r>
              <w:rPr/>
              <w:t>​</w:t>
            </w:r>
          </w:p>
        </w:tc>
        <w:tc>
          <w:tcPr>
            <w:tcW w:w="5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62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146"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5"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45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w:t>
            </w:r>
          </w:p>
        </w:tc>
        <w:tc>
          <w:tcPr>
            <w:tcW w:w="146" w:type="dxa"/>
            <w:tcBorders/>
            <w:shd w:fill="CCEEFF" w:val="clear"/>
            <w:vAlign w:val="center"/>
          </w:tcPr>
          <w:p>
            <w:pPr>
              <w:pStyle w:val="TableContents"/>
              <w:bidi w:val="0"/>
              <w:spacing w:before="0" w:after="0"/>
              <w:ind w:left="0" w:right="0" w:hanging="0"/>
              <w:jc w:val="left"/>
              <w:rPr/>
            </w:pPr>
            <w:r>
              <w:rPr/>
              <w:t>​</w:t>
            </w:r>
          </w:p>
        </w:tc>
        <w:tc>
          <w:tcPr>
            <w:tcW w:w="5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974</w:t>
            </w:r>
          </w:p>
        </w:tc>
        <w:tc>
          <w:tcPr>
            <w:tcW w:w="32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Note 1, “Basis of Presentation and Summary of Significant Accounting Policies” for information about the fair value of the Company’s derivative asset.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95" w:name="Tc_vhIppbsP1ESfzPMCtRLKoQ_9_5"/>
      <w:bookmarkStart w:id="1196" w:name="Tc_ZO9pxxTgb0iidn4F82Wd6w_9_2"/>
      <w:bookmarkStart w:id="1197" w:name="Tc_eqHEI0ZHGEycCaUDEXojUQ_9_0"/>
      <w:bookmarkStart w:id="1198" w:name="Tc_rJ1h73DpO0qUqv6XgBWAvg_8_0"/>
      <w:bookmarkStart w:id="1199" w:name="Tc_g3YxEkFBpU6ruZ2uZ6rwKQ_7_0"/>
      <w:bookmarkStart w:id="1200" w:name="Tc_kp7Df7CEVEWZOJZSfo4Xnw_6_0"/>
      <w:bookmarkStart w:id="1201" w:name="Tc_wAy78KbFak6iihyRlfl-yg_5_0"/>
      <w:bookmarkStart w:id="1202" w:name="Tc_54InLkucIkmE4ZKveFhhtg_4_0"/>
      <w:bookmarkStart w:id="1203" w:name="Tc_bO_hkHEK7EOcqo-t9_UJug_3_0"/>
      <w:bookmarkStart w:id="1204" w:name="Tc_F6G4xUpafEKqHlWMnIl4iw_2_5"/>
      <w:bookmarkStart w:id="1205" w:name="Tc_TlHV5D-iTkC82tdCiqxmbg_2_2"/>
      <w:bookmarkStart w:id="1206" w:name="Tc_BNUXCylcqUyYTgg0wh2iqQ_2_0"/>
      <w:bookmarkStart w:id="1207" w:name="Tc_aSlEINnwJEWcrseXlJ_2xQ_1_5"/>
      <w:bookmarkStart w:id="1208" w:name="Tc_QgaurBN9MUOLAzE1DhR_Wg_1_2"/>
      <w:bookmarkStart w:id="1209" w:name="_38d594b6_2f46_445d_b4e2_ece16498b2ac"/>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r>
        <w:rPr>
          <w:rFonts w:ascii="Times New Roman;Times;serif" w:hAnsi="Times New Roman;Times;serif"/>
          <w:b/>
          <w:sz w:val="20"/>
        </w:rPr>
        <w:t>5. OTHER ACCRUED EXPENSES AND CURRENT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accrued expenses and current liabilities consist of the following (in thousands):</w:t>
      </w:r>
    </w:p>
    <w:p>
      <w:pPr>
        <w:pStyle w:val="TextBody"/>
        <w:bidi w:val="0"/>
        <w:spacing w:before="0" w:after="240"/>
        <w:ind w:left="0" w:right="0" w:hanging="0"/>
        <w:jc w:val="left"/>
        <w:rPr/>
      </w:pPr>
      <w:r>
        <w:rPr/>
        <w:t>​</w:t>
      </w:r>
    </w:p>
    <w:tbl>
      <w:tblPr>
        <w:tblW w:w="8004" w:type="dxa"/>
        <w:jc w:val="left"/>
        <w:tblInd w:w="0" w:type="dxa"/>
        <w:tblLayout w:type="fixed"/>
        <w:tblCellMar>
          <w:top w:w="0" w:type="dxa"/>
          <w:left w:w="0" w:type="dxa"/>
          <w:bottom w:w="0" w:type="dxa"/>
          <w:right w:w="0" w:type="dxa"/>
        </w:tblCellMar>
      </w:tblPr>
      <w:tblGrid>
        <w:gridCol w:w="4261"/>
        <w:gridCol w:w="326"/>
        <w:gridCol w:w="367"/>
        <w:gridCol w:w="1179"/>
        <w:gridCol w:w="326"/>
        <w:gridCol w:w="327"/>
        <w:gridCol w:w="1218"/>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705735" cy="175260"/>
                      <wp:effectExtent l="0" t="0" r="0" b="0"/>
                      <wp:wrapNone/>
                      <wp:docPr id="247" name="Frame247"/>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33045" cy="175260"/>
                      <wp:effectExtent l="0" t="0" r="0" b="0"/>
                      <wp:wrapNone/>
                      <wp:docPr id="249" name="Frame249"/>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748665" cy="175260"/>
                      <wp:effectExtent l="0" t="0" r="0" b="0"/>
                      <wp:wrapNone/>
                      <wp:docPr id="250" name="Frame250"/>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645" cy="175260"/>
                      <wp:effectExtent l="0" t="0" r="0" b="0"/>
                      <wp:wrapNone/>
                      <wp:docPr id="252" name="Frame252"/>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773430" cy="175260"/>
                      <wp:effectExtent l="0" t="0" r="0" b="0"/>
                      <wp:wrapNone/>
                      <wp:docPr id="253" name="Frame253"/>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 2022</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sales and property taxes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5,950</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5,270</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Gift card liability</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4,047</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4,667</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Loyalty rewards program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advertising</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legal settlements and professional fees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franchise and development fees</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accrued expenses and current liabilities</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14,975</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15,120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10" w:name="Tc_NhKsWbse0keLAICYtfdIMw_4_5"/>
      <w:bookmarkStart w:id="1211" w:name="Tc_2Vo3jT9pi0WvTtHh5X2cuQ_4_2"/>
      <w:bookmarkStart w:id="1212" w:name="Tc_8NFoZmtjZ0uZt1tc7E5LjQ_4_0"/>
      <w:bookmarkStart w:id="1213" w:name="Tc_8RX4ieyUHES4Qq0IHLzIpw_3_0"/>
      <w:bookmarkStart w:id="1214" w:name="Tc_VkLxLKjPLk27Tlt21O-X_g_2_5"/>
      <w:bookmarkStart w:id="1215" w:name="Tc_SmE5RNiv5EyPmc6UbNbavw_2_2"/>
      <w:bookmarkStart w:id="1216" w:name="Tc_v7GcsePzIE2rBgy19xv0aA_2_0"/>
      <w:bookmarkStart w:id="1217" w:name="Tc_iZMO1xvlakay-aSYu82Gaw_1_5"/>
      <w:bookmarkStart w:id="1218" w:name="Tc_rraEEONPVka7WYq7J0Ettg_1_2"/>
      <w:bookmarkStart w:id="1219" w:name="_2b00bec7_54c7_42d5_b9ba_b1bf68957360"/>
      <w:bookmarkEnd w:id="1210"/>
      <w:bookmarkEnd w:id="1211"/>
      <w:bookmarkEnd w:id="1212"/>
      <w:bookmarkEnd w:id="1213"/>
      <w:bookmarkEnd w:id="1214"/>
      <w:bookmarkEnd w:id="1215"/>
      <w:bookmarkEnd w:id="1216"/>
      <w:bookmarkEnd w:id="1217"/>
      <w:bookmarkEnd w:id="1218"/>
      <w:bookmarkEnd w:id="1219"/>
      <w:r>
        <w:rPr>
          <w:rFonts w:ascii="Times New Roman;Times;serif" w:hAnsi="Times New Roman;Times;serif"/>
          <w:b/>
          <w:sz w:val="20"/>
        </w:rPr>
        <w:t>6. OTHER NONCURRENT LIABILITIES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 consist of the following (in thousands):</w:t>
      </w:r>
    </w:p>
    <w:p>
      <w:pPr>
        <w:pStyle w:val="TextBody"/>
        <w:bidi w:val="0"/>
        <w:spacing w:before="0" w:after="240"/>
        <w:ind w:left="0" w:right="0" w:hanging="0"/>
        <w:jc w:val="left"/>
        <w:rPr/>
      </w:pPr>
      <w:r>
        <w:rPr/>
        <w:t>​</w:t>
      </w:r>
    </w:p>
    <w:tbl>
      <w:tblPr>
        <w:tblW w:w="7149" w:type="dxa"/>
        <w:jc w:val="left"/>
        <w:tblInd w:w="0" w:type="dxa"/>
        <w:tblLayout w:type="fixed"/>
        <w:tblCellMar>
          <w:top w:w="0" w:type="dxa"/>
          <w:left w:w="0" w:type="dxa"/>
          <w:bottom w:w="0" w:type="dxa"/>
          <w:right w:w="0" w:type="dxa"/>
        </w:tblCellMar>
      </w:tblPr>
      <w:tblGrid>
        <w:gridCol w:w="3406"/>
        <w:gridCol w:w="326"/>
        <w:gridCol w:w="417"/>
        <w:gridCol w:w="1129"/>
        <w:gridCol w:w="326"/>
        <w:gridCol w:w="367"/>
        <w:gridCol w:w="1178"/>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62810" cy="175260"/>
                      <wp:effectExtent l="0" t="0" r="0" b="0"/>
                      <wp:wrapNone/>
                      <wp:docPr id="254" name="Frame254"/>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64795" cy="175260"/>
                      <wp:effectExtent l="0" t="0" r="0" b="0"/>
                      <wp:wrapNone/>
                      <wp:docPr id="256" name="Frame256"/>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716915" cy="175260"/>
                      <wp:effectExtent l="0" t="0" r="0" b="0"/>
                      <wp:wrapNone/>
                      <wp:docPr id="257" name="Frame257"/>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33045" cy="175260"/>
                      <wp:effectExtent l="0" t="0" r="0" b="0"/>
                      <wp:wrapNone/>
                      <wp:docPr id="259" name="Frame259"/>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748030" cy="175260"/>
                      <wp:effectExtent l="0" t="0" r="0" b="0"/>
                      <wp:wrapNone/>
                      <wp:docPr id="260" name="Frame260"/>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 2022</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franchise and development fees</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6,584</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5,767</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noncurrent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6,627</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5,856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COMMITMENTS AND CONTINGENCIES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Matters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involved in various claims such as wage and hour and other legal actions that arise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condensed consolidated financial condition, results of operations, and cash flows.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Purchasing Commitments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September 27, 2023, the Company’s total estimated commitment to purchase chicken was $14.9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Contingent Lease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a result of assigning the Company’s interest in obligations under real estate leases in connection with the sale of company-operated restaurants to some of the Company’s franchisees, the Company is contingently liable on three lease agreements. These leases have various terms, the latest of which expires in 2038. As of September 27, 2023, the potential amount of undiscounted payments the Company could be required to make in the event of non-payment by the primary lessee was $3.9 million. The present value of these potential payments discounted at the Company’s estimated pre-tax cost of debt at September 27, 2023 was $2.6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27, 2023, the Company had employment agreements with two of the officers of the Company. These agreements provide for minimum salary levels, possible annual adjustments for cost-of-living changes, and incentive bonuses that are payable under certain business conditions.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Indemnification Agreements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20" w:name="Tc_XaS8cfJ_tky30q3uDEUPiQ_6_0"/>
      <w:bookmarkStart w:id="1221" w:name="Tc_YPhT2s51HUWDSA5QvmK2cg_5_0"/>
      <w:bookmarkStart w:id="1222" w:name="Tc_EAwd_HGnlEKBlFxVDo_nBw_4_0"/>
      <w:bookmarkStart w:id="1223" w:name="Tc_st9ToBTA7UG04O_s_FCEOw_3_8"/>
      <w:bookmarkStart w:id="1224" w:name="Tc_T60uZcWNj0ic9568MNIi2A_3_6"/>
      <w:bookmarkStart w:id="1225" w:name="Tc_Id0uPv3e4UetU2mKa1LDug_3_4"/>
      <w:bookmarkStart w:id="1226" w:name="Tc_GmMzr9S_BEGeZUq4ZCcdVQ_3_2"/>
      <w:bookmarkStart w:id="1227" w:name="Tc_B-Pq8O7Vh0KLeIy-M2Nbog_2_6"/>
      <w:bookmarkStart w:id="1228" w:name="Tc_1t8QCEtjzk-QELRQLKDTaA_2_2"/>
      <w:bookmarkStart w:id="1229" w:name="_48799ab0_99fe_4b71_b1ad_304413bd705f"/>
      <w:bookmarkStart w:id="1230" w:name="Tc_9leHv62DrkGkPjRW5w3InA_11_0"/>
      <w:bookmarkStart w:id="1231" w:name="Tc_3bw0fPqlykmK2IdPHK9cdw_10_11"/>
      <w:bookmarkStart w:id="1232" w:name="Tc_4PSqmxPq50m9J9-o8D4t8w_10_8"/>
      <w:bookmarkStart w:id="1233" w:name="Tc_6fEeYnirWU2m4U6e5lAF0w_10_5"/>
      <w:bookmarkStart w:id="1234" w:name="Tc_JqyGdrkNvEWqeyF-gPLQnw_10_2"/>
      <w:bookmarkStart w:id="1235" w:name="Tc_YNuoakDXY0aEy9B_z7KRmA_10_0"/>
      <w:bookmarkStart w:id="1236" w:name="Tc_5YQG2O0fDUydT1T4N6Vmfw_9_11"/>
      <w:bookmarkStart w:id="1237" w:name="Tc_FJmbFCCTM0q6inhjw7EIyg_9_8"/>
      <w:bookmarkStart w:id="1238" w:name="Tc_rCV38qR89kSc1dSLP2bLcw_9_5"/>
      <w:bookmarkStart w:id="1239" w:name="Tc_wYkw5zECcECjiZDV7c5WsA_9_2"/>
      <w:bookmarkStart w:id="1240" w:name="Tc_4Z1UJibI90a0_UouFvul_A_9_0"/>
      <w:bookmarkStart w:id="1241" w:name="Tc_2cWDbwhGvkC3keOsiOcJ9g_8_0"/>
      <w:bookmarkStart w:id="1242" w:name="Tc_l9sjkuP_pES9s4LHN3K8-g_7_0"/>
      <w:bookmarkStart w:id="1243" w:name="Tc_5gNfcC85rU6Eh_Vo_az-JQ_6_0"/>
      <w:bookmarkStart w:id="1244" w:name="Tc_jLnE7FFJ_0-cjymVWFxm7A_5_11"/>
      <w:bookmarkStart w:id="1245" w:name="Tc_-fGCwS-6Dk6neShJvoqpGg_5_8"/>
      <w:bookmarkStart w:id="1246" w:name="Tc_qUCQIxdY1k-ddrRKOjaamg_5_5"/>
      <w:bookmarkStart w:id="1247" w:name="Tc_yRKJaIia2EeZ0wALwzHgiA_5_2"/>
      <w:bookmarkStart w:id="1248" w:name="Tc_oMYhEK775EWh38j8j772kg_5_0"/>
      <w:bookmarkStart w:id="1249" w:name="Tc_trPG9sKpFkOMUvSfe9vh9A_4_0"/>
      <w:bookmarkStart w:id="1250" w:name="Tc_j4QIobFsJEqPAHZ8D0d1HA_3_11"/>
      <w:bookmarkStart w:id="1251" w:name="Tc_R2k0eSrhqUG-uaC1707NEw_3_8"/>
      <w:bookmarkStart w:id="1252" w:name="Tc_arrxqhPpPUmz2s2pj36Q7Q_3_5"/>
      <w:bookmarkStart w:id="1253" w:name="Tc_0wWhJF7_rk2FfAnuPWJKfg_3_2"/>
      <w:bookmarkStart w:id="1254" w:name="Tc_meQ3_fINmkyIhF37gMeBVA_2_8"/>
      <w:bookmarkStart w:id="1255" w:name="Tc_D5hjtXegUUKZ_RlYXhO7Gg_2_2"/>
      <w:bookmarkStart w:id="1256" w:name="_7525101f_5aec_478a_934a_947f2a559775"/>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r>
        <w:rPr>
          <w:rFonts w:ascii="Times New Roman;Times;serif" w:hAnsi="Times New Roman;Times;serif"/>
          <w:b/>
          <w:sz w:val="20"/>
        </w:rPr>
        <w:t>8. EARNINGS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Basic earnings per share (“EPS”) is calculated using the weighted-average number of shares of common stock outstanding during the thirteen and thirty-nine weeks ended September 27, 2023 and September 28, 2022. Diluted EPS is calculated using the weighted-average number of shares of common stock outstanding and potentially dilutive during the period, using the treasury stock method.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 are basic and diluted EPS data for the periods indicated (in thousands except for share and per share data):</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63"/>
        <w:gridCol w:w="326"/>
        <w:gridCol w:w="261"/>
        <w:gridCol w:w="1285"/>
        <w:gridCol w:w="326"/>
        <w:gridCol w:w="261"/>
        <w:gridCol w:w="1285"/>
        <w:gridCol w:w="109"/>
        <w:gridCol w:w="261"/>
        <w:gridCol w:w="1285"/>
        <w:gridCol w:w="326"/>
        <w:gridCol w:w="261"/>
        <w:gridCol w:w="1285"/>
        <w:gridCol w:w="371"/>
      </w:tblGrid>
      <w:tr>
        <w:trPr/>
        <w:tc>
          <w:tcPr>
            <w:tcW w:w="2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627505" cy="175260"/>
                      <wp:effectExtent l="0" t="0" r="0" b="0"/>
                      <wp:wrapNone/>
                      <wp:docPr id="261" name="Frame261"/>
                      <a:graphic xmlns:a="http://schemas.openxmlformats.org/drawingml/2006/main">
                        <a:graphicData uri="http://schemas.microsoft.com/office/word/2010/wordprocessingShape">
                          <wps:wsp>
                            <wps:cNvSpPr txBox="1"/>
                            <wps:spPr>
                              <a:xfrm>
                                <a:off x="0" y="0"/>
                                <a:ext cx="162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65735" cy="175260"/>
                      <wp:effectExtent l="0" t="0" r="0" b="0"/>
                      <wp:wrapNone/>
                      <wp:docPr id="263" name="Frame263"/>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815975" cy="175260"/>
                      <wp:effectExtent l="0" t="0" r="0" b="0"/>
                      <wp:wrapNone/>
                      <wp:docPr id="264" name="Frame264"/>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65735" cy="175260"/>
                      <wp:effectExtent l="0" t="0" r="0" b="0"/>
                      <wp:wrapNone/>
                      <wp:docPr id="266" name="Frame26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815975" cy="175260"/>
                      <wp:effectExtent l="0" t="0" r="0" b="0"/>
                      <wp:wrapNone/>
                      <wp:docPr id="267" name="Frame267"/>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65735" cy="175260"/>
                      <wp:effectExtent l="0" t="0" r="0" b="0"/>
                      <wp:wrapNone/>
                      <wp:docPr id="269" name="Frame269"/>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815975" cy="175260"/>
                      <wp:effectExtent l="0" t="0" r="0" b="0"/>
                      <wp:wrapNone/>
                      <wp:docPr id="270" name="Frame270"/>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65735" cy="175260"/>
                      <wp:effectExtent l="0" t="0" r="0" b="0"/>
                      <wp:wrapNone/>
                      <wp:docPr id="272" name="Frame27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815975" cy="175260"/>
                      <wp:effectExtent l="0" t="0" r="0" b="0"/>
                      <wp:wrapNone/>
                      <wp:docPr id="273" name="Frame273"/>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35585" cy="175260"/>
                      <wp:effectExtent l="0" t="0" r="0" b="0"/>
                      <wp:wrapNone/>
                      <wp:docPr id="274" name="Frame274"/>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5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34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371" w:type="dxa"/>
            <w:tcBorders/>
            <w:vAlign w:val="center"/>
          </w:tcPr>
          <w:p>
            <w:pPr>
              <w:pStyle w:val="TableContents"/>
              <w:bidi w:val="0"/>
              <w:spacing w:before="0" w:after="0"/>
              <w:ind w:left="0" w:right="0" w:hanging="0"/>
              <w:jc w:val="left"/>
              <w:rPr/>
            </w:pPr>
            <w:r>
              <w:rPr/>
              <w:t>​</w:t>
            </w:r>
          </w:p>
        </w:tc>
      </w:tr>
      <w:tr>
        <w:trPr/>
        <w:tc>
          <w:tcPr>
            <w:tcW w:w="25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71" w:type="dxa"/>
            <w:tcBorders/>
            <w:vAlign w:val="center"/>
          </w:tcPr>
          <w:p>
            <w:pPr>
              <w:pStyle w:val="TableContents"/>
              <w:bidi w:val="0"/>
              <w:spacing w:before="0" w:after="0"/>
              <w:ind w:left="0" w:right="0" w:hanging="0"/>
              <w:jc w:val="left"/>
              <w:rPr/>
            </w:pPr>
            <w:r>
              <w:rPr/>
              <w:t>    </w:t>
            </w:r>
          </w:p>
        </w:tc>
      </w:tr>
      <w:tr>
        <w:trPr/>
        <w:tc>
          <w:tcPr>
            <w:tcW w:w="2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9,229</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5,009</w:t>
            </w:r>
          </w:p>
        </w:tc>
        <w:tc>
          <w:tcPr>
            <w:tcW w:w="109"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21,203</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14,265</w:t>
            </w:r>
          </w:p>
        </w:tc>
        <w:tc>
          <w:tcPr>
            <w:tcW w:w="371" w:type="dxa"/>
            <w:tcBorders/>
            <w:vAlign w:val="center"/>
          </w:tcPr>
          <w:p>
            <w:pPr>
              <w:pStyle w:val="TableContents"/>
              <w:bidi w:val="0"/>
              <w:spacing w:before="0" w:after="0"/>
              <w:ind w:left="0" w:right="0" w:hanging="0"/>
              <w:jc w:val="left"/>
              <w:rPr/>
            </w:pPr>
            <w:r>
              <w:rPr/>
              <w:t>​</w:t>
            </w:r>
          </w:p>
        </w:tc>
      </w:tr>
      <w:tr>
        <w:trPr/>
        <w:tc>
          <w:tcPr>
            <w:tcW w:w="2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outstanding—basic</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33,412,674</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36,402,899</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35,026,731</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36,329,938</w:t>
            </w:r>
          </w:p>
        </w:tc>
        <w:tc>
          <w:tcPr>
            <w:tcW w:w="371" w:type="dxa"/>
            <w:tcBorders/>
            <w:vAlign w:val="center"/>
          </w:tcPr>
          <w:p>
            <w:pPr>
              <w:pStyle w:val="TableContents"/>
              <w:bidi w:val="0"/>
              <w:spacing w:before="0" w:after="0"/>
              <w:ind w:left="0" w:right="0" w:hanging="0"/>
              <w:jc w:val="left"/>
              <w:rPr/>
            </w:pPr>
            <w:r>
              <w:rPr/>
              <w:t>​</w:t>
            </w:r>
          </w:p>
        </w:tc>
      </w:tr>
      <w:tr>
        <w:trPr/>
        <w:tc>
          <w:tcPr>
            <w:tcW w:w="2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outstanding—diluted</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33,490,004</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36,507,050</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35,179,483</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36,491,624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share—basic</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0.61</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c>
          <w:tcPr>
            <w:tcW w:w="371" w:type="dxa"/>
            <w:tcBorders/>
            <w:vAlign w:val="center"/>
          </w:tcPr>
          <w:p>
            <w:pPr>
              <w:pStyle w:val="TableContents"/>
              <w:bidi w:val="0"/>
              <w:spacing w:before="0" w:after="0"/>
              <w:ind w:left="0" w:right="0" w:hanging="0"/>
              <w:jc w:val="left"/>
              <w:rPr/>
            </w:pPr>
            <w:r>
              <w:rPr/>
              <w:t>​</w:t>
            </w:r>
          </w:p>
        </w:tc>
      </w:tr>
      <w:tr>
        <w:trPr/>
        <w:tc>
          <w:tcPr>
            <w:tcW w:w="2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share—diluted</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Anti-dilutive securities not considered in diluted EPS calculation</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1,216,015</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1,434,825</w:t>
            </w:r>
          </w:p>
        </w:tc>
        <w:tc>
          <w:tcPr>
            <w:tcW w:w="109"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790,077</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944,183</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 is a reconciliation of basic and diluted share counts: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06"/>
        <w:gridCol w:w="326"/>
        <w:gridCol w:w="1546"/>
        <w:gridCol w:w="146"/>
        <w:gridCol w:w="1546"/>
        <w:gridCol w:w="326"/>
        <w:gridCol w:w="1546"/>
        <w:gridCol w:w="146"/>
        <w:gridCol w:w="1546"/>
        <w:gridCol w:w="371"/>
      </w:tblGrid>
      <w:tr>
        <w:trPr/>
        <w:tc>
          <w:tcPr>
            <w:tcW w:w="2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718310" cy="175260"/>
                      <wp:effectExtent l="0" t="0" r="0" b="0"/>
                      <wp:wrapNone/>
                      <wp:docPr id="275" name="Frame275"/>
                      <a:graphic xmlns:a="http://schemas.openxmlformats.org/drawingml/2006/main">
                        <a:graphicData uri="http://schemas.microsoft.com/office/word/2010/wordprocessingShape">
                          <wps:wsp>
                            <wps:cNvSpPr txBox="1"/>
                            <wps:spPr>
                              <a:xfrm>
                                <a:off x="0" y="0"/>
                                <a:ext cx="171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6"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981710" cy="175260"/>
                      <wp:effectExtent l="0" t="0" r="0" b="0"/>
                      <wp:wrapNone/>
                      <wp:docPr id="277" name="Frame277"/>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92710" cy="175260"/>
                      <wp:effectExtent l="0" t="0" r="0" b="0"/>
                      <wp:wrapNone/>
                      <wp:docPr id="278" name="Frame27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981710" cy="175260"/>
                      <wp:effectExtent l="0" t="0" r="0" b="0"/>
                      <wp:wrapNone/>
                      <wp:docPr id="279" name="Frame279"/>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981710" cy="175260"/>
                      <wp:effectExtent l="0" t="0" r="0" b="0"/>
                      <wp:wrapNone/>
                      <wp:docPr id="281" name="Frame28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92710" cy="175260"/>
                      <wp:effectExtent l="0" t="0" r="0" b="0"/>
                      <wp:wrapNone/>
                      <wp:docPr id="282" name="Frame28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981710" cy="175260"/>
                      <wp:effectExtent l="0" t="0" r="0" b="0"/>
                      <wp:wrapNone/>
                      <wp:docPr id="283" name="Frame28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35585" cy="175260"/>
                      <wp:effectExtent l="0" t="0" r="0" b="0"/>
                      <wp:wrapNone/>
                      <wp:docPr id="284" name="Frame284"/>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3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left"/>
              <w:rPr/>
            </w:pPr>
            <w:r>
              <w:rPr/>
              <w:t>    </w:t>
            </w:r>
          </w:p>
        </w:tc>
        <w:tc>
          <w:tcPr>
            <w:tcW w:w="323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371" w:type="dxa"/>
            <w:tcBorders/>
            <w:vAlign w:val="center"/>
          </w:tcPr>
          <w:p>
            <w:pPr>
              <w:pStyle w:val="TableContents"/>
              <w:bidi w:val="0"/>
              <w:spacing w:before="0" w:after="0"/>
              <w:ind w:left="0" w:right="0" w:hanging="0"/>
              <w:jc w:val="left"/>
              <w:rPr/>
            </w:pPr>
            <w:r>
              <w:rPr/>
              <w:t>    </w:t>
            </w:r>
          </w:p>
        </w:tc>
      </w:tr>
      <w:tr>
        <w:trPr/>
        <w:tc>
          <w:tcPr>
            <w:tcW w:w="2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46" w:type="dxa"/>
            <w:tcBorders/>
            <w:vAlign w:val="center"/>
          </w:tcPr>
          <w:p>
            <w:pPr>
              <w:pStyle w:val="TableContents"/>
              <w:bidi w:val="0"/>
              <w:spacing w:before="0" w:after="0"/>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26" w:type="dxa"/>
            <w:tcBorders/>
            <w:vAlign w:val="center"/>
          </w:tcPr>
          <w:p>
            <w:pPr>
              <w:pStyle w:val="TableContents"/>
              <w:bidi w:val="0"/>
              <w:spacing w:before="0" w:after="0"/>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46" w:type="dxa"/>
            <w:tcBorders/>
            <w:vAlign w:val="center"/>
          </w:tcPr>
          <w:p>
            <w:pPr>
              <w:pStyle w:val="TableContents"/>
              <w:bidi w:val="0"/>
              <w:spacing w:before="0" w:after="0"/>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71" w:type="dxa"/>
            <w:tcBorders/>
            <w:vAlign w:val="center"/>
          </w:tcPr>
          <w:p>
            <w:pPr>
              <w:pStyle w:val="TableContents"/>
              <w:bidi w:val="0"/>
              <w:spacing w:before="0" w:after="0"/>
              <w:ind w:left="0" w:right="0" w:hanging="0"/>
              <w:jc w:val="left"/>
              <w:rPr/>
            </w:pPr>
            <w:r>
              <w:rPr/>
              <w:t>​</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outstanding—basic</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33,412,674</w:t>
            </w:r>
          </w:p>
        </w:tc>
        <w:tc>
          <w:tcPr>
            <w:tcW w:w="1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36,402,899</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35,026,731</w:t>
            </w:r>
          </w:p>
        </w:tc>
        <w:tc>
          <w:tcPr>
            <w:tcW w:w="1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36,329,938</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stock options and restricted shares</w:t>
            </w:r>
          </w:p>
        </w:tc>
        <w:tc>
          <w:tcPr>
            <w:tcW w:w="32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77,330</w:t>
            </w:r>
          </w:p>
        </w:tc>
        <w:tc>
          <w:tcPr>
            <w:tcW w:w="1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104,151</w:t>
            </w:r>
          </w:p>
        </w:tc>
        <w:tc>
          <w:tcPr>
            <w:tcW w:w="32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152,752</w:t>
            </w:r>
          </w:p>
        </w:tc>
        <w:tc>
          <w:tcPr>
            <w:tcW w:w="1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161,686</w:t>
            </w:r>
          </w:p>
        </w:tc>
        <w:tc>
          <w:tcPr>
            <w:tcW w:w="371" w:type="dxa"/>
            <w:tcBorders/>
            <w:vAlign w:val="center"/>
          </w:tcPr>
          <w:p>
            <w:pPr>
              <w:pStyle w:val="TableContents"/>
              <w:bidi w:val="0"/>
              <w:spacing w:before="0" w:after="0"/>
              <w:ind w:left="0" w:right="0" w:hanging="0"/>
              <w:jc w:val="left"/>
              <w:rPr/>
            </w:pPr>
            <w:r>
              <w:rPr/>
              <w:t> </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outstanding—diluted</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33,490,004</w:t>
            </w:r>
          </w:p>
        </w:tc>
        <w:tc>
          <w:tcPr>
            <w:tcW w:w="14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36,507,050</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35,179,483</w:t>
            </w:r>
          </w:p>
        </w:tc>
        <w:tc>
          <w:tcPr>
            <w:tcW w:w="14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36,491,624</w:t>
            </w:r>
          </w:p>
        </w:tc>
        <w:tc>
          <w:tcPr>
            <w:tcW w:w="371"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RELATED PARTY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28, 2023, Trimaran Pollo Partners, L.L.C. (“LLC”) and certain of LLC’s affiliates (collectively, the “Trimaran Group”) distributed substantially all of the shares of the Company’s common stock held by the Trimaran Group to their respective investors, members and limited partners. The Trimaran Group intends to subsequently liquidate or distribute its remaining assets and wind up.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7, 2023, the Company entered into the “Repurchase Agreement with the Sellers, pursuant to which the Company agreed to purchase an aggregate of 2,500,000 shares of the Company’s common stock from the Sellers at a price of $10.63 per share, representing the closing price of such shares as listed on Nasdaq on August 7, 2023, for a total purchase price of $26.6 million. The repurchase was completed in August 2023.</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Prior to the repurchase, Freeman Spogli, collectively with the Sellers and certain other funds managed by Freeman Spogli, was the Company’s largest stockholder. In addition, John Roth, a director of the Company until his resignation on August 16, 2023, is a general partner of Freeman Spogli and its chief executive officer.</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REVENUE FROM CONTRACTS WITH CUSTOMERS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Nature of products and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two revenue streams, company-operated restaurant revenue and franchise related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Company-operated restaurant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offers a loyalty rewards program, which awards a customer points for dollars spent. Customers earn points for each dollar spent and points can be redeemed for multiple redemption options. If a customer does not earn or use points within a one-year period, their account is deactivated and all points expire.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September 27, 2023 and December 28, 2022, the revenue allocated to loyalty points that have not been redeemed was $0.6 million and</w:t>
      </w:r>
      <w:r>
        <w:rPr>
          <w:rFonts w:ascii="Times New Roman;Times;serif" w:hAnsi="Times New Roman;Times;serif"/>
          <w:sz w:val="20"/>
          <w:shd w:fill="FFFFFF" w:val="clear"/>
        </w:rPr>
        <w:t xml:space="preserve"> </w:t>
      </w:r>
      <w:r>
        <w:rPr>
          <w:rFonts w:ascii="Times New Roman;Times;serif" w:hAnsi="Times New Roman;Times;serif"/>
          <w:sz w:val="20"/>
        </w:rPr>
        <w:t>$0.5 million, respectively, which is reflected in the Company’s accompanying condensed consolidated balance sheets within other accrued expenses and current liabilities. The Company expects the loyalty points to be redeemed and recognized over a one-year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condensed consolidated balance sheets.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Franchise and franchise advertising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Franchise license - inclusive of advertising services, development agreements, training, access to plans and help desk services.</w:t>
            </w:r>
          </w:p>
        </w:tc>
      </w:tr>
    </w:tbl>
    <w:tbl>
      <w:tblPr>
        <w:tblW w:w="2766" w:type="dxa"/>
        <w:jc w:val="left"/>
        <w:tblInd w:w="0" w:type="dxa"/>
        <w:tblLayout w:type="fixed"/>
        <w:tblCellMar>
          <w:top w:w="28" w:type="dxa"/>
          <w:left w:w="28" w:type="dxa"/>
          <w:bottom w:w="28" w:type="dxa"/>
          <w:right w:w="28" w:type="dxa"/>
        </w:tblCellMar>
      </w:tblPr>
      <w:tblGrid>
        <w:gridCol w:w="124"/>
        <w:gridCol w:w="256"/>
        <w:gridCol w:w="2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renewal option.</w:t>
            </w:r>
          </w:p>
        </w:tc>
      </w:tr>
    </w:tbl>
    <w:tbl>
      <w:tblPr>
        <w:tblW w:w="2031" w:type="dxa"/>
        <w:jc w:val="left"/>
        <w:tblInd w:w="0" w:type="dxa"/>
        <w:tblLayout w:type="fixed"/>
        <w:tblCellMar>
          <w:top w:w="28" w:type="dxa"/>
          <w:left w:w="28" w:type="dxa"/>
          <w:bottom w:w="28" w:type="dxa"/>
          <w:right w:w="28" w:type="dxa"/>
        </w:tblCellMar>
      </w:tblPr>
      <w:tblGrid>
        <w:gridCol w:w="124"/>
        <w:gridCol w:w="256"/>
        <w:gridCol w:w="1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Hardware services.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 regarding disclosure of the aggregate amount of the transaction price allocated to the performance obligations that are unsatisfied for sales-based royalties.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certain franchise agreements, the Company offers a discounted renewal to incentivize future renewals after the end of the initial franchise term. As this is considered a separate performance obligation, the Company allocates a portion of the initial franchise fee to this discounted renewal, on a pro-rata basis, assuming a 20-year renewal. This performance obligation is satisfied over the renewal term, typically 10 or 20 years, while payment is fixed and due at the time the renewal is signed.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257" w:name="Tc_dFKpKcJit0uoQULc_ZH8RA_9_2"/>
      <w:bookmarkStart w:id="1258" w:name="Tc_hl5J9uCU3U6JG30RY4KL8w_9_0"/>
      <w:bookmarkStart w:id="1259" w:name="Tc_0qzCo0FVS0OUtsZLlvtv0A_8_0"/>
      <w:bookmarkStart w:id="1260" w:name="Tc_TLxoOjvO0kG_J6zuCFXZgg_7_0"/>
      <w:bookmarkStart w:id="1261" w:name="Tc_d6xWz4QRAUWSEbefVkUKow_6_2"/>
      <w:bookmarkStart w:id="1262" w:name="Tc_S1XvLCXijUKJyEsqITaX8w_6_0"/>
      <w:bookmarkStart w:id="1263" w:name="Tc_FIl_h6SJi0upIPnGTw02kw_4_2"/>
      <w:bookmarkStart w:id="1264" w:name="Tc__3WoHiXPV0iQ-jWZzPNvNg_4_0"/>
      <w:bookmarkStart w:id="1265" w:name="Tc__lKbGFsg2EeWKa3F6xLtRQ_3_0"/>
      <w:bookmarkStart w:id="1266" w:name="Tc_MTXV5nr86EO3-HsSGG9cmQ_2_0"/>
      <w:bookmarkStart w:id="1267" w:name="Tc_OUvdxgCxSUuv2qzG-zucsA_1_2"/>
      <w:bookmarkStart w:id="1268" w:name="Tc__eorKLYLQka1f7FZPz6qWQ_1_0"/>
      <w:bookmarkStart w:id="1269" w:name="_89b6a846_0751_4126_bdb3_f5ad5b4ae1f0"/>
      <w:bookmarkStart w:id="1270" w:name="Tc_Q6hgfI7GSkC9Uzavvo7gMA_5_10"/>
      <w:bookmarkStart w:id="1271" w:name="Tc_M8Y6Zt5H50mER1VcAfcKlA_5_8"/>
      <w:bookmarkStart w:id="1272" w:name="Tc_W8Zh12ybRUuPKzsCMLUa-A_5_5"/>
      <w:bookmarkStart w:id="1273" w:name="Tc_USGZJb-hIEaRGXf7wRToIw_5_3"/>
      <w:bookmarkStart w:id="1274" w:name="Tc_3AUntJkSNkioRoIMc_qKPw_5_0"/>
      <w:bookmarkStart w:id="1275" w:name="Tc_bsqk-iaU8EmXqDsvHYQ6ZQ_4_10"/>
      <w:bookmarkStart w:id="1276" w:name="Tc_17WHq13hbE-0I5Ghbv20RQ_4_8"/>
      <w:bookmarkStart w:id="1277" w:name="Tc_osq3ORuyLEu_VLBAnINjGQ_4_5"/>
      <w:bookmarkStart w:id="1278" w:name="Tc_hhXdcFj7SE-ASji5cJeJpA_4_3"/>
      <w:bookmarkStart w:id="1279" w:name="Tc_hkh0xY4PBkqPFkYHoFH-9A_4_0"/>
      <w:bookmarkStart w:id="1280" w:name="Tc_VYKuqDh10k2nPA9FIZqDtg_3_10"/>
      <w:bookmarkStart w:id="1281" w:name="Tc_xW-WI0gVM0-RCA9SwCzBdw_3_8"/>
      <w:bookmarkStart w:id="1282" w:name="Tc_7uQbcN2bZkqpb-TPbiFVlA_3_5"/>
      <w:bookmarkStart w:id="1283" w:name="Tc_yRbIOF13MEGhuLzSeoyPhg_3_3"/>
      <w:bookmarkStart w:id="1284" w:name="Tc_B2KtUMoXQEi64BKECzznpw_3_0"/>
      <w:bookmarkStart w:id="1285" w:name="Tc_S58x0NQhkEyLq6RWVL3QEw_2_9"/>
      <w:bookmarkStart w:id="1286" w:name="Tc_yv3Z1BGqTU-sS_DCr_Zg9g_2_7"/>
      <w:bookmarkStart w:id="1287" w:name="Tc_7c-OCnjXekCPghCBkJnm7g_2_4"/>
      <w:bookmarkStart w:id="1288" w:name="Tc_NsGDOrfzTU6sofEWRkilAg_2_2"/>
      <w:bookmarkStart w:id="1289" w:name="Tc_5ZlhWyeAakWUdedbmmteog_1_7"/>
      <w:bookmarkStart w:id="1290" w:name="Tc_JF2fx5jr5EGB_VbB_gWwgg_1_2"/>
      <w:bookmarkStart w:id="1291" w:name="Tc_pZtOFSsbiEOaDT_0eZ0oxQ_13_11"/>
      <w:bookmarkStart w:id="1292" w:name="Tc_r08xBl1GukC6WcmW64aN-Q_13_8"/>
      <w:bookmarkStart w:id="1293" w:name="Tc_LLXUvV0VoUGRvKqpdZrbWw_13_5"/>
      <w:bookmarkStart w:id="1294" w:name="Tc_b7iYwu86JkGVPW3l1slsYQ_13_2"/>
      <w:bookmarkStart w:id="1295" w:name="Tc_HObSKDRShkGuxbatLLUJMQ_13_0"/>
      <w:bookmarkStart w:id="1296" w:name="Tc_7q1nORqL-0eUUckuMElvLQ_12_11"/>
      <w:bookmarkStart w:id="1297" w:name="Tc_UYluVQJMQE6L5uXrOf466g_12_8"/>
      <w:bookmarkStart w:id="1298" w:name="Tc_iR7uq4gTzkaYoCtRO6Vd_Q_12_5"/>
      <w:bookmarkStart w:id="1299" w:name="Tc_2ykHwp6X4ka8oFntRWoOag_12_2"/>
      <w:bookmarkStart w:id="1300" w:name="Tc_EGhVGt9ZhUmVPO71j5IBNQ_12_0"/>
      <w:bookmarkStart w:id="1301" w:name="Tc_x2xEKdPi-U6B3Bln_4-dEA_11_0"/>
      <w:bookmarkStart w:id="1302" w:name="Tc_mrJ0m8ENzEuJlMxVInapFQ_10_0"/>
      <w:bookmarkStart w:id="1303" w:name="Tc_tIiguZWM4Emi5AfPufSEbw_9_11"/>
      <w:bookmarkStart w:id="1304" w:name="Tc_Paxd1klSjk-_gawfUaa6XA_9_8"/>
      <w:bookmarkStart w:id="1305" w:name="Tc_-HgLQZeK9ka_M8iiPWcSyA_9_5"/>
      <w:bookmarkStart w:id="1306" w:name="Tc_p0h8jze8AUKZ4dCpGh8jFA_9_2"/>
      <w:bookmarkStart w:id="1307" w:name="Tc_BHPpjIiSMk2xxSEZZIlOiw_9_0"/>
      <w:bookmarkStart w:id="1308" w:name="Tc_v7OHQ0IgNEm8ckve90E23Q_8_0"/>
      <w:bookmarkStart w:id="1309" w:name="Tc_gS0VEYH6xU26HFXjQtBwIw_7_11"/>
      <w:bookmarkStart w:id="1310" w:name="Tc_hDKiCYcaHEaDgbMvDSVb-g_7_8"/>
      <w:bookmarkStart w:id="1311" w:name="Tc_UO960IhiF06mNygrPdt26w_7_5"/>
      <w:bookmarkStart w:id="1312" w:name="Tc_qie-J7nBqUSQTHz54EPQxw_7_2"/>
      <w:bookmarkStart w:id="1313" w:name="Tc_OIcB3pSm7ka8NAxW_qtu0Q_7_0"/>
      <w:bookmarkStart w:id="1314" w:name="Tc_Nu2aniMMQE6jI3Z1IKu7vg_6_0"/>
      <w:bookmarkStart w:id="1315" w:name="Tc_F2wvlKSokUeDlRHtiwk7cQ_5_0"/>
      <w:bookmarkStart w:id="1316" w:name="Tc_PWfaHeqWr06kEPCTWG9eKQ_4_11"/>
      <w:bookmarkStart w:id="1317" w:name="Tc_WNAddHdARkCzDnZOT67LGA_4_8"/>
      <w:bookmarkStart w:id="1318" w:name="Tc_jYENcH71TUC7lxQIy3cNXQ_4_5"/>
      <w:bookmarkStart w:id="1319" w:name="Tc_Ykp4e0Y8ykaJVdY2wsC9zg_4_2"/>
      <w:bookmarkStart w:id="1320" w:name="Tc_HzQiiHB3eEq_gjoUuXiryg_4_0"/>
      <w:bookmarkStart w:id="1321" w:name="Tc_d6AZKiBenkib1sA0AjzQSQ_3_0"/>
      <w:bookmarkStart w:id="1322" w:name="Tc_Jh7rKYraGEu4tbfYc5oVVA_2_12"/>
      <w:bookmarkStart w:id="1323" w:name="Tc_yFQj3iS1s0Wt-K-EflyGsg_2_9"/>
      <w:bookmarkStart w:id="1324" w:name="Tc_x4U0tCeV9kK8faGKXJLt9A_2_5"/>
      <w:bookmarkStart w:id="1325" w:name="Tc__uiqrw7e-ECIq-xdu3Ww-w_2_2"/>
      <w:bookmarkStart w:id="1326" w:name="Tc_K6LbHdXBzkK0RWpfRaKnAA_1_8"/>
      <w:bookmarkStart w:id="1327" w:name="Tc_6bGPRD0X8UODsLGa2q0OHA_1_2"/>
      <w:bookmarkStart w:id="1328" w:name="_9d356e95_e338_4862_91d4_316bdb682697"/>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r>
        <w:rPr>
          <w:rFonts w:ascii="Times New Roman;Times;serif" w:hAnsi="Times New Roman;Times;serif"/>
          <w:sz w:val="20"/>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September 27, 2023, there were no performance obligations related to hardware services that were unsatisfied or partially satisfied.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Disaggregated revenue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revenues disaggregated by revenue source and market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81"/>
        <w:gridCol w:w="326"/>
        <w:gridCol w:w="328"/>
        <w:gridCol w:w="1218"/>
        <w:gridCol w:w="146"/>
        <w:gridCol w:w="328"/>
        <w:gridCol w:w="1218"/>
        <w:gridCol w:w="146"/>
        <w:gridCol w:w="211"/>
        <w:gridCol w:w="1546"/>
        <w:gridCol w:w="146"/>
        <w:gridCol w:w="211"/>
        <w:gridCol w:w="1546"/>
        <w:gridCol w:w="154"/>
      </w:tblGrid>
      <w:tr>
        <w:trPr/>
        <w:tc>
          <w:tcPr>
            <w:tcW w:w="2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702435" cy="175260"/>
                      <wp:effectExtent l="0" t="0" r="0" b="0"/>
                      <wp:wrapNone/>
                      <wp:docPr id="285" name="Frame285"/>
                      <a:graphic xmlns:a="http://schemas.openxmlformats.org/drawingml/2006/main">
                        <a:graphicData uri="http://schemas.microsoft.com/office/word/2010/wordprocessingShape">
                          <wps:wsp>
                            <wps:cNvSpPr txBox="1"/>
                            <wps:spPr>
                              <a:xfrm>
                                <a:off x="0" y="0"/>
                                <a:ext cx="170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8280" cy="175260"/>
                      <wp:effectExtent l="0" t="0" r="0" b="0"/>
                      <wp:wrapNone/>
                      <wp:docPr id="287" name="Frame287"/>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773430" cy="175260"/>
                      <wp:effectExtent l="0" t="0" r="0" b="0"/>
                      <wp:wrapNone/>
                      <wp:docPr id="288" name="Frame288"/>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92710" cy="175260"/>
                      <wp:effectExtent l="0" t="0" r="0" b="0"/>
                      <wp:wrapNone/>
                      <wp:docPr id="289" name="Frame28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8280" cy="175260"/>
                      <wp:effectExtent l="0" t="0" r="0" b="0"/>
                      <wp:wrapNone/>
                      <wp:docPr id="290" name="Frame290"/>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773430" cy="175260"/>
                      <wp:effectExtent l="0" t="0" r="0" b="0"/>
                      <wp:wrapNone/>
                      <wp:docPr id="291" name="Frame291"/>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92710" cy="175260"/>
                      <wp:effectExtent l="0" t="0" r="0" b="0"/>
                      <wp:wrapNone/>
                      <wp:docPr id="292" name="Frame29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981710" cy="175260"/>
                      <wp:effectExtent l="0" t="0" r="0" b="0"/>
                      <wp:wrapNone/>
                      <wp:docPr id="294" name="Frame294"/>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92710" cy="175260"/>
                      <wp:effectExtent l="0" t="0" r="0" b="0"/>
                      <wp:wrapNone/>
                      <wp:docPr id="295" name="Frame29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981710" cy="175260"/>
                      <wp:effectExtent l="0" t="0" r="0" b="0"/>
                      <wp:wrapNone/>
                      <wp:docPr id="297" name="Frame297"/>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97790" cy="175260"/>
                      <wp:effectExtent l="0" t="0" r="0" b="0"/>
                      <wp:wrapNone/>
                      <wp:docPr id="298" name="Frame29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2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46" w:type="dxa"/>
            <w:tcBorders/>
            <w:vAlign w:val="center"/>
          </w:tcPr>
          <w:p>
            <w:pPr>
              <w:pStyle w:val="TableContents"/>
              <w:bidi w:val="0"/>
              <w:spacing w:before="0" w:after="1"/>
              <w:ind w:left="0" w:right="0" w:hanging="0"/>
              <w:jc w:val="left"/>
              <w:rPr/>
            </w:pPr>
            <w:r>
              <w:rPr/>
              <w:t> </w:t>
            </w:r>
          </w:p>
        </w:tc>
        <w:tc>
          <w:tcPr>
            <w:tcW w:w="3814"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26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46"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154" w:type="dxa"/>
            <w:tcBorders/>
            <w:vAlign w:val="center"/>
          </w:tcPr>
          <w:p>
            <w:pPr>
              <w:pStyle w:val="TableContents"/>
              <w:bidi w:val="0"/>
              <w:spacing w:before="0" w:after="1"/>
              <w:ind w:left="0" w:right="0" w:hanging="0"/>
              <w:jc w:val="center"/>
              <w:rPr/>
            </w:pPr>
            <w:r>
              <w:rPr/>
              <w:t>​</w:t>
            </w:r>
          </w:p>
        </w:tc>
      </w:tr>
      <w:tr>
        <w:trPr/>
        <w:tc>
          <w:tcPr>
            <w:tcW w:w="26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Core Market</w:t>
            </w:r>
            <w:r>
              <w:rPr>
                <w:rFonts w:ascii="Times New Roman;Times;serif" w:hAnsi="Times New Roman;Times;serif"/>
                <w:b/>
                <w:sz w:val="15"/>
              </w:rPr>
              <w:t>(1)</w:t>
            </w:r>
            <w:r>
              <w:rPr>
                <w:rFonts w:ascii="Times New Roman;Times;serif" w:hAnsi="Times New Roman;Times;serif"/>
                <w:b/>
                <w:sz w:val="20"/>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Company-operated restaurant revenue</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97,966</w:t>
            </w:r>
          </w:p>
        </w:tc>
        <w:tc>
          <w:tcPr>
            <w:tcW w:w="1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98,732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289,534</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289,798</w:t>
            </w:r>
          </w:p>
        </w:tc>
        <w:tc>
          <w:tcPr>
            <w:tcW w:w="154" w:type="dxa"/>
            <w:tcBorders/>
            <w:vAlign w:val="center"/>
          </w:tcPr>
          <w:p>
            <w:pPr>
              <w:pStyle w:val="TableContents"/>
              <w:bidi w:val="0"/>
              <w:spacing w:before="0" w:after="1"/>
              <w:ind w:left="0" w:right="0" w:hanging="0"/>
              <w:jc w:val="left"/>
              <w:rPr/>
            </w:pPr>
            <w:r>
              <w:rPr/>
              <w:t>​</w:t>
            </w:r>
          </w:p>
        </w:tc>
      </w:tr>
      <w:tr>
        <w:trPr/>
        <w:tc>
          <w:tcPr>
            <w:tcW w:w="2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5,021</w:t>
            </w:r>
          </w:p>
        </w:tc>
        <w:tc>
          <w:tcPr>
            <w:tcW w:w="1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4,501</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3,456</w:t>
            </w:r>
          </w:p>
        </w:tc>
        <w:tc>
          <w:tcPr>
            <w:tcW w:w="14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3,336</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10,098</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10,008</w:t>
            </w:r>
          </w:p>
        </w:tc>
        <w:tc>
          <w:tcPr>
            <w:tcW w:w="154" w:type="dxa"/>
            <w:tcBorders/>
            <w:vAlign w:val="center"/>
          </w:tcPr>
          <w:p>
            <w:pPr>
              <w:pStyle w:val="TableContents"/>
              <w:bidi w:val="0"/>
              <w:spacing w:before="0" w:after="1"/>
              <w:ind w:left="0" w:right="0" w:hanging="0"/>
              <w:jc w:val="left"/>
              <w:rPr/>
            </w:pPr>
            <w:r>
              <w:rPr/>
              <w:t>​</w:t>
            </w:r>
          </w:p>
        </w:tc>
      </w:tr>
      <w:tr>
        <w:trPr/>
        <w:tc>
          <w:tcPr>
            <w:tcW w:w="2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core market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106,443</w:t>
            </w:r>
          </w:p>
        </w:tc>
        <w:tc>
          <w:tcPr>
            <w:tcW w:w="14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106,569</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314,086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313,365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6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Non-Core Market</w:t>
            </w:r>
            <w:r>
              <w:rPr>
                <w:rFonts w:ascii="Times New Roman;Times;serif" w:hAnsi="Times New Roman;Times;serif"/>
                <w:b/>
                <w:sz w:val="15"/>
              </w:rPr>
              <w:t>(2)</w:t>
            </w:r>
            <w:r>
              <w:rPr>
                <w:rFonts w:ascii="Times New Roman;Times;serif" w:hAnsi="Times New Roman;Times;serif"/>
                <w:b/>
                <w:sz w:val="20"/>
              </w:rPr>
              <w:t>:</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2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Company-operated restaurant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4,737</w:t>
            </w:r>
          </w:p>
        </w:tc>
        <w:tc>
          <w:tcPr>
            <w:tcW w:w="1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14,943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13,787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5,234</w:t>
            </w:r>
          </w:p>
        </w:tc>
        <w:tc>
          <w:tcPr>
            <w:tcW w:w="1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15,592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15,303</w:t>
            </w:r>
          </w:p>
        </w:tc>
        <w:tc>
          <w:tcPr>
            <w:tcW w:w="154" w:type="dxa"/>
            <w:tcBorders/>
            <w:vAlign w:val="center"/>
          </w:tcPr>
          <w:p>
            <w:pPr>
              <w:pStyle w:val="TableContents"/>
              <w:bidi w:val="0"/>
              <w:spacing w:before="0" w:after="1"/>
              <w:ind w:left="0" w:right="0" w:hanging="0"/>
              <w:jc w:val="left"/>
              <w:rPr/>
            </w:pPr>
            <w:r>
              <w:rPr/>
              <w:t>​</w:t>
            </w:r>
          </w:p>
        </w:tc>
      </w:tr>
      <w:tr>
        <w:trPr/>
        <w:tc>
          <w:tcPr>
            <w:tcW w:w="2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3,985</w:t>
            </w:r>
          </w:p>
        </w:tc>
        <w:tc>
          <w:tcPr>
            <w:tcW w:w="14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3,825</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11,796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11,582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non-core market</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13,956</w:t>
            </w:r>
          </w:p>
        </w:tc>
        <w:tc>
          <w:tcPr>
            <w:tcW w:w="14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13,309</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42,331</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40,672</w:t>
            </w:r>
          </w:p>
        </w:tc>
        <w:tc>
          <w:tcPr>
            <w:tcW w:w="154" w:type="dxa"/>
            <w:tcBorders/>
            <w:vAlign w:val="center"/>
          </w:tcPr>
          <w:p>
            <w:pPr>
              <w:pStyle w:val="TableContents"/>
              <w:bidi w:val="0"/>
              <w:spacing w:before="0" w:after="1"/>
              <w:ind w:left="0" w:right="0" w:hanging="0"/>
              <w:jc w:val="left"/>
              <w:rPr/>
            </w:pPr>
            <w:r>
              <w:rPr/>
              <w:t>​</w:t>
            </w:r>
          </w:p>
        </w:tc>
      </w:tr>
      <w:tr>
        <w:trPr/>
        <w:tc>
          <w:tcPr>
            <w:tcW w:w="26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120,399</w:t>
            </w:r>
          </w:p>
        </w:tc>
        <w:tc>
          <w:tcPr>
            <w:tcW w:w="14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119,878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5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356,417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5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354,037</w:t>
            </w:r>
          </w:p>
        </w:tc>
        <w:tc>
          <w:tcPr>
            <w:tcW w:w="154"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Market includes markets with existing company-operated restaurants at the time of the Company’s IPO on July 28, 2014.</w:t>
            </w:r>
          </w:p>
        </w:tc>
      </w:tr>
    </w:tbl>
    <w:tbl>
      <w:tblPr>
        <w:tblW w:w="7937" w:type="dxa"/>
        <w:jc w:val="left"/>
        <w:tblInd w:w="0" w:type="dxa"/>
        <w:tblLayout w:type="fixed"/>
        <w:tblCellMar>
          <w:top w:w="0" w:type="dxa"/>
          <w:left w:w="0" w:type="dxa"/>
          <w:bottom w:w="0" w:type="dxa"/>
          <w:right w:w="0" w:type="dxa"/>
        </w:tblCellMar>
      </w:tblPr>
      <w:tblGrid>
        <w:gridCol w:w="286"/>
        <w:gridCol w:w="765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7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Non-Core Market includes markets entered into by the Company subsequent to the IPO date.</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revenues disaggregated by geographic market:</w:t>
      </w:r>
    </w:p>
    <w:p>
      <w:pPr>
        <w:pStyle w:val="TextBody"/>
        <w:bidi w:val="0"/>
        <w:spacing w:before="0" w:after="24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2157"/>
        <w:gridCol w:w="326"/>
        <w:gridCol w:w="1546"/>
        <w:gridCol w:w="391"/>
        <w:gridCol w:w="1546"/>
        <w:gridCol w:w="301"/>
        <w:gridCol w:w="109"/>
        <w:gridCol w:w="1546"/>
        <w:gridCol w:w="391"/>
        <w:gridCol w:w="1546"/>
        <w:gridCol w:w="346"/>
      </w:tblGrid>
      <w:tr>
        <w:trPr/>
        <w:tc>
          <w:tcPr>
            <w:tcW w:w="2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69695" cy="175260"/>
                      <wp:effectExtent l="0" t="0" r="0" b="0"/>
                      <wp:wrapNone/>
                      <wp:docPr id="299" name="Frame299"/>
                      <a:graphic xmlns:a="http://schemas.openxmlformats.org/drawingml/2006/main">
                        <a:graphicData uri="http://schemas.microsoft.com/office/word/2010/wordprocessingShape">
                          <wps:wsp>
                            <wps:cNvSpPr txBox="1"/>
                            <wps:spPr>
                              <a:xfrm>
                                <a:off x="0" y="0"/>
                                <a:ext cx="136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981710" cy="175260"/>
                      <wp:effectExtent l="0" t="0" r="0" b="0"/>
                      <wp:wrapNone/>
                      <wp:docPr id="301" name="Frame30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48285" cy="175260"/>
                      <wp:effectExtent l="0" t="0" r="0" b="0"/>
                      <wp:wrapNone/>
                      <wp:docPr id="302" name="Frame30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981710" cy="175260"/>
                      <wp:effectExtent l="0" t="0" r="0" b="0"/>
                      <wp:wrapNone/>
                      <wp:docPr id="303" name="Frame30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91135" cy="175260"/>
                      <wp:effectExtent l="0" t="0" r="0" b="0"/>
                      <wp:wrapNone/>
                      <wp:docPr id="304" name="Frame304"/>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215" cy="175260"/>
                      <wp:effectExtent l="0" t="0" r="0" b="0"/>
                      <wp:wrapNone/>
                      <wp:docPr id="305" name="Frame3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981710" cy="175260"/>
                      <wp:effectExtent l="0" t="0" r="0" b="0"/>
                      <wp:wrapNone/>
                      <wp:docPr id="306" name="Frame306"/>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48285" cy="175260"/>
                      <wp:effectExtent l="0" t="0" r="0" b="0"/>
                      <wp:wrapNone/>
                      <wp:docPr id="307" name="Frame30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981710" cy="175260"/>
                      <wp:effectExtent l="0" t="0" r="0" b="0"/>
                      <wp:wrapNone/>
                      <wp:docPr id="308" name="Frame30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346" w:type="dxa"/>
            <w:tcBorders/>
            <w:vAlign w:val="center"/>
          </w:tcPr>
          <w:p>
            <w:pPr>
              <w:pStyle w:val="TableContents"/>
              <w:bidi w:val="0"/>
              <w:spacing w:before="0" w:after="0"/>
              <w:ind w:left="0" w:right="0" w:hanging="0"/>
              <w:jc w:val="left"/>
              <w:rPr/>
            </w:pPr>
            <w:r>
              <w:rPr/>
              <w:t>​</w:t>
            </w:r>
          </w:p>
        </w:tc>
      </w:tr>
      <w:tr>
        <w:trPr/>
        <w:tc>
          <w:tcPr>
            <w:tcW w:w="21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91"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0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91"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46" w:type="dxa"/>
            <w:tcBorders/>
            <w:vAlign w:val="center"/>
          </w:tcPr>
          <w:p>
            <w:pPr>
              <w:pStyle w:val="TableContents"/>
              <w:bidi w:val="0"/>
              <w:spacing w:before="0" w:after="0"/>
              <w:ind w:left="0" w:right="0" w:hanging="0"/>
              <w:jc w:val="left"/>
              <w:rPr/>
            </w:pPr>
            <w:r>
              <w:rPr/>
              <w:t> </w:t>
            </w:r>
          </w:p>
        </w:tc>
      </w:tr>
      <w:tr>
        <w:trPr/>
        <w:tc>
          <w:tcPr>
            <w:tcW w:w="21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Los Angeles area market</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markets</w:t>
            </w:r>
          </w:p>
        </w:tc>
        <w:tc>
          <w:tcPr>
            <w:tcW w:w="32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balances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provides information about the change in the franchise contract liability balances during the thirty-nine weeks ended September 27, 2023 and September 28, 2022 (in thousands):</w:t>
      </w:r>
    </w:p>
    <w:p>
      <w:pPr>
        <w:pStyle w:val="TextBody"/>
        <w:bidi w:val="0"/>
        <w:spacing w:before="0" w:after="240"/>
        <w:ind w:left="0" w:right="0" w:hanging="0"/>
        <w:jc w:val="left"/>
        <w:rPr/>
      </w:pPr>
      <w:r>
        <w:rPr/>
        <w:t>​</w:t>
      </w:r>
    </w:p>
    <w:tbl>
      <w:tblPr>
        <w:tblW w:w="4447" w:type="dxa"/>
        <w:jc w:val="left"/>
        <w:tblInd w:w="0" w:type="dxa"/>
        <w:tblLayout w:type="fixed"/>
        <w:tblCellMar>
          <w:top w:w="0" w:type="dxa"/>
          <w:left w:w="0" w:type="dxa"/>
          <w:bottom w:w="0" w:type="dxa"/>
          <w:right w:w="0" w:type="dxa"/>
        </w:tblCellMar>
      </w:tblPr>
      <w:tblGrid>
        <w:gridCol w:w="3451"/>
        <w:gridCol w:w="109"/>
        <w:gridCol w:w="211"/>
        <w:gridCol w:w="67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1385" cy="175260"/>
                      <wp:effectExtent l="0" t="0" r="0" b="0"/>
                      <wp:wrapNone/>
                      <wp:docPr id="310" name="Frame310"/>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9215" cy="175260"/>
                      <wp:effectExtent l="0" t="0" r="0" b="0"/>
                      <wp:wrapNone/>
                      <wp:docPr id="311" name="Frame3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29260" cy="175260"/>
                      <wp:effectExtent l="0" t="0" r="0" b="0"/>
                      <wp:wrapNone/>
                      <wp:docPr id="313" name="Frame3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28, 2022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6,377</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 beginning balance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contract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September 27, 2023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7,183</w:t>
            </w:r>
          </w:p>
        </w:tc>
      </w:tr>
      <w:tr>
        <w:trPr/>
        <w:tc>
          <w:tcPr>
            <w:tcW w:w="34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29, 2021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6,328</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 beginning balance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contract liability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September 28, 2022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6,388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329" w:name="Tc_-c8xSL4E_k2fD4KlYcKXkQ_3_10"/>
      <w:bookmarkStart w:id="1330" w:name="Tc_3_cf0CnRJ0aF9C8UolITZw_3_7"/>
      <w:bookmarkStart w:id="1331" w:name="Tc_Ybi7BKlxJEaV-HZZ3nIs1w_3_4"/>
      <w:bookmarkStart w:id="1332" w:name="Tc_OIRLeVsYe0q3lOiLaOjiNQ_3_1"/>
      <w:bookmarkStart w:id="1333" w:name="Tc_dIyNIB7RZkibt1EuOFyWoA_3_0"/>
      <w:bookmarkStart w:id="1334" w:name="Tc_mir7CnUQxEWsPUhuK2TUcA_2_10"/>
      <w:bookmarkStart w:id="1335" w:name="Tc_6cOJq7Wor0m0lNUl_IUP1A_2_7"/>
      <w:bookmarkStart w:id="1336" w:name="Tc_RWo9YQcoykaJOZEmwBAa4Q_2_4"/>
      <w:bookmarkStart w:id="1337" w:name="Tc_NbPmM7uEZUufa9p2V3xehQ_2_1"/>
      <w:bookmarkStart w:id="1338" w:name="Tc_PydbZhzKKkm1RoAkHUiNJQ_1_7"/>
      <w:bookmarkStart w:id="1339" w:name="Tc_K8NvScNwQEOWxHle9tYpJg_1_1"/>
      <w:bookmarkStart w:id="1340" w:name="_cc622cec_69cd_4e62_a6a7_705053668e13"/>
      <w:bookmarkStart w:id="1341" w:name="Tc_ksSVC033-E2jGGH7JM_UUw_2_5"/>
      <w:bookmarkStart w:id="1342" w:name="Tc_pw8-xbIlckyhZRYaFBT6Tg_2_2"/>
      <w:bookmarkStart w:id="1343" w:name="Tc_niFvx8ftEEOaOWl8o-T_pg_2_0"/>
      <w:bookmarkStart w:id="1344" w:name="Tc_8o11cMYjnUycqeePvADXAA_1_5"/>
      <w:bookmarkStart w:id="1345" w:name="Tc_vGrogZHRKU2VNiTVUHzzOA_1_2"/>
      <w:bookmarkStart w:id="1346" w:name="_265e6b3e_7a64_433b_af9d_51129c0a541d"/>
      <w:bookmarkStart w:id="1347" w:name="Tc_0dpDCa8MIUGG_kIaJyFiuw_5_5"/>
      <w:bookmarkStart w:id="1348" w:name="Tc_BAEYv_MsE0Cui24synPKjg_5_2"/>
      <w:bookmarkStart w:id="1349" w:name="Tc_HrCfvl6KVUGFMDQH-I3fSw_5_0"/>
      <w:bookmarkStart w:id="1350" w:name="Tc_scDb5-fM_ka69fcH8HjPpw_4_0"/>
      <w:bookmarkStart w:id="1351" w:name="Tc_FNO_1JLB3Ua23Bbe9X2D8A_3_0"/>
      <w:bookmarkStart w:id="1352" w:name="Tc_VJoQSCVajkKtbFyCSd_Qxg_2_5"/>
      <w:bookmarkStart w:id="1353" w:name="Tc_okNGOYju1k2ZP_n9NgvbvQ_2_2"/>
      <w:bookmarkStart w:id="1354" w:name="Tc_n2pibEebk0ejNbsK5HGwjA_2_0"/>
      <w:bookmarkStart w:id="1355" w:name="Tc_KN5NYjJiDUKt1MdsH2xu_g_1_5"/>
      <w:bookmarkStart w:id="1356" w:name="Tc_znBiAfIeFkyp-n_3m1hZ_w_1_2"/>
      <w:bookmarkStart w:id="1357" w:name="_030b605e_2ecf_4187_98e5_e744f9c4c315"/>
      <w:bookmarkStart w:id="1358" w:name="Tc_vbP6SBvBV02y2hSRMC2pZA_8_2"/>
      <w:bookmarkStart w:id="1359" w:name="Tc_YkjLIfU520WLN1I_f-hO5g_8_0"/>
      <w:bookmarkStart w:id="1360" w:name="Tc_zznGCDVkNkeyB-UyX_FNiw_7_0"/>
      <w:bookmarkStart w:id="1361" w:name="Tc_YtG_4tiS1k20I6wpMYmz3w_2_2"/>
      <w:bookmarkStart w:id="1362" w:name="Tc_UJsEPfaphUOybwFg-p0cFA_1_0"/>
      <w:bookmarkStart w:id="1363" w:name="_481fa7a4_789c_4ba5_853b_4015a27c25e0"/>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r>
        <w:rPr>
          <w:rFonts w:ascii="Times New Roman;Times;serif" w:hAnsi="Times New Roman;Times;serif"/>
          <w:sz w:val="20"/>
        </w:rPr>
        <w:t>agreement. Revenue is recognized from these agreements as the underlying performance obligation is satisfied, which is over the term of the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illustrates the estimated revenue to be recognized in future periods related to performance obligations under the applicable contracts that are unsatisfied as of September 27, 2023 (in thousands):</w:t>
      </w:r>
    </w:p>
    <w:p>
      <w:pPr>
        <w:pStyle w:val="TextBody"/>
        <w:bidi w:val="0"/>
        <w:spacing w:before="0" w:after="240"/>
        <w:ind w:left="0" w:right="0" w:hanging="0"/>
        <w:jc w:val="left"/>
        <w:rPr/>
      </w:pPr>
      <w:r>
        <w:rPr/>
        <w:t>​</w:t>
      </w:r>
    </w:p>
    <w:tbl>
      <w:tblPr>
        <w:tblW w:w="2774" w:type="dxa"/>
        <w:jc w:val="left"/>
        <w:tblInd w:w="0" w:type="dxa"/>
        <w:tblLayout w:type="fixed"/>
        <w:tblCellMar>
          <w:top w:w="0" w:type="dxa"/>
          <w:left w:w="0" w:type="dxa"/>
          <w:bottom w:w="0" w:type="dxa"/>
          <w:right w:w="0" w:type="dxa"/>
        </w:tblCellMar>
      </w:tblPr>
      <w:tblGrid>
        <w:gridCol w:w="1561"/>
        <w:gridCol w:w="326"/>
        <w:gridCol w:w="211"/>
        <w:gridCol w:w="676"/>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991235" cy="175260"/>
                      <wp:effectExtent l="0" t="0" r="0" b="0"/>
                      <wp:wrapNone/>
                      <wp:docPr id="314" name="Frame314"/>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5"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29260" cy="175260"/>
                      <wp:effectExtent l="0" t="0" r="0" b="0"/>
                      <wp:wrapNone/>
                      <wp:docPr id="317" name="Frame3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Franchise revenues:</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4,841</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7,183</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i w:val="false"/>
          <w:caps w:val="false"/>
          <w:smallCaps w:val="false"/>
          <w:sz w:val="20"/>
          <w:shd w:fill="FFFFFF" w:val="clear"/>
        </w:rPr>
      </w:pPr>
      <w:r>
        <w:rPr>
          <w:rFonts w:ascii="Times New Roman;Times;serif" w:hAnsi="Times New Roman;Times;serif"/>
          <w:i w:val="false"/>
          <w:caps w:val="false"/>
          <w:smallCaps w:val="false"/>
          <w:sz w:val="20"/>
          <w:shd w:fill="FFFFFF" w:val="clear"/>
        </w:rPr>
        <w:t>Changes in the loyalty rewards program liability included in deferred revenue within other accrued expenses and current liabilities on the condensed consolidated balance sheets were as follows (in thousands):</w:t>
      </w:r>
    </w:p>
    <w:tbl>
      <w:tblPr>
        <w:tblW w:w="7154" w:type="dxa"/>
        <w:jc w:val="left"/>
        <w:tblInd w:w="0" w:type="dxa"/>
        <w:tblLayout w:type="fixed"/>
        <w:tblCellMar>
          <w:top w:w="0" w:type="dxa"/>
          <w:left w:w="0" w:type="dxa"/>
          <w:bottom w:w="0" w:type="dxa"/>
          <w:right w:w="0" w:type="dxa"/>
        </w:tblCellMar>
      </w:tblPr>
      <w:tblGrid>
        <w:gridCol w:w="3736"/>
        <w:gridCol w:w="109"/>
        <w:gridCol w:w="387"/>
        <w:gridCol w:w="1159"/>
        <w:gridCol w:w="109"/>
        <w:gridCol w:w="375"/>
        <w:gridCol w:w="1125"/>
        <w:gridCol w:w="154"/>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372360" cy="175260"/>
                      <wp:effectExtent l="0" t="0" r="0" b="0"/>
                      <wp:wrapNone/>
                      <wp:docPr id="318" name="Frame318"/>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9215" cy="175260"/>
                      <wp:effectExtent l="0" t="0" r="0" b="0"/>
                      <wp:wrapNone/>
                      <wp:docPr id="319" name="Frame3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45745" cy="175260"/>
                      <wp:effectExtent l="0" t="0" r="0" b="0"/>
                      <wp:wrapNone/>
                      <wp:docPr id="320" name="Frame320"/>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735965" cy="175260"/>
                      <wp:effectExtent l="0" t="0" r="0" b="0"/>
                      <wp:wrapNone/>
                      <wp:docPr id="321" name="Frame321"/>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9215" cy="175260"/>
                      <wp:effectExtent l="0" t="0" r="0" b="0"/>
                      <wp:wrapNone/>
                      <wp:docPr id="322" name="Frame3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38125" cy="175260"/>
                      <wp:effectExtent l="0" t="0" r="0" b="0"/>
                      <wp:wrapNone/>
                      <wp:docPr id="323" name="Frame32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714375" cy="175260"/>
                      <wp:effectExtent l="0" t="0" r="0" b="0"/>
                      <wp:wrapNone/>
                      <wp:docPr id="324" name="Frame324"/>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97790" cy="175260"/>
                      <wp:effectExtent l="0" t="0" r="0" b="0"/>
                      <wp:wrapNone/>
                      <wp:docPr id="325" name="Frame32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09" w:type="dxa"/>
            <w:tcBorders/>
            <w:vAlign w:val="center"/>
          </w:tcPr>
          <w:p>
            <w:pPr>
              <w:pStyle w:val="TableContents"/>
              <w:bidi w:val="0"/>
              <w:spacing w:before="0" w:after="1"/>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28, 2022</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Loyalty rewards liability, beginning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3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deferred</w:t>
            </w:r>
          </w:p>
        </w:tc>
        <w:tc>
          <w:tcPr>
            <w:tcW w:w="109" w:type="dxa"/>
            <w:tcBorders/>
            <w:vAlign w:val="center"/>
          </w:tcPr>
          <w:p>
            <w:pPr>
              <w:pStyle w:val="TableContents"/>
              <w:bidi w:val="0"/>
              <w:spacing w:before="0" w:after="1"/>
              <w:ind w:left="0" w:right="0" w:hanging="0"/>
              <w:jc w:val="left"/>
              <w:rPr/>
            </w:pPr>
            <w:r>
              <w:rPr/>
              <w:t>​</w:t>
            </w:r>
          </w:p>
        </w:tc>
        <w:tc>
          <w:tcPr>
            <w:tcW w:w="387" w:type="dxa"/>
            <w:tcBorders/>
            <w:vAlign w:val="center"/>
          </w:tcPr>
          <w:p>
            <w:pPr>
              <w:pStyle w:val="TableContents"/>
              <w:bidi w:val="0"/>
              <w:spacing w:before="0" w:after="1"/>
              <w:ind w:left="0" w:right="0" w:hanging="0"/>
              <w:jc w:val="left"/>
              <w:rPr/>
            </w:pPr>
            <w:r>
              <w:rPr/>
              <w:t> </w:t>
            </w:r>
          </w:p>
        </w:tc>
        <w:tc>
          <w:tcPr>
            <w:tcW w:w="11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1,571</w:t>
            </w:r>
          </w:p>
        </w:tc>
        <w:tc>
          <w:tcPr>
            <w:tcW w:w="10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 </w:t>
            </w:r>
          </w:p>
        </w:tc>
        <w:tc>
          <w:tcPr>
            <w:tcW w:w="11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2,754</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109" w:type="dxa"/>
            <w:tcBorders/>
            <w:shd w:fill="CCEEFF" w:val="clear"/>
            <w:vAlign w:val="center"/>
          </w:tcPr>
          <w:p>
            <w:pPr>
              <w:pStyle w:val="TableContents"/>
              <w:bidi w:val="0"/>
              <w:spacing w:before="0" w:after="1"/>
              <w:ind w:left="0" w:right="0" w:hanging="0"/>
              <w:jc w:val="left"/>
              <w:rPr/>
            </w:pPr>
            <w:r>
              <w:rPr/>
              <w:t>​</w:t>
            </w:r>
          </w:p>
        </w:tc>
        <w:tc>
          <w:tcPr>
            <w:tcW w:w="3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(1,464)</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Loyalty rewards liability, ending balance</w:t>
            </w:r>
          </w:p>
        </w:tc>
        <w:tc>
          <w:tcPr>
            <w:tcW w:w="109" w:type="dxa"/>
            <w:tcBorders/>
            <w:vAlign w:val="center"/>
          </w:tcPr>
          <w:p>
            <w:pPr>
              <w:pStyle w:val="TableContents"/>
              <w:bidi w:val="0"/>
              <w:spacing w:before="0" w:after="1"/>
              <w:ind w:left="0" w:right="0" w:hanging="0"/>
              <w:jc w:val="left"/>
              <w:rPr/>
            </w:pPr>
            <w:r>
              <w:rPr/>
              <w:t>​</w:t>
            </w:r>
          </w:p>
        </w:tc>
        <w:tc>
          <w:tcPr>
            <w:tcW w:w="38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633</w:t>
            </w:r>
          </w:p>
        </w:tc>
        <w:tc>
          <w:tcPr>
            <w:tcW w:w="109" w:type="dxa"/>
            <w:tcBorders/>
            <w:vAlign w:val="center"/>
          </w:tcPr>
          <w:p>
            <w:pPr>
              <w:pStyle w:val="TableContents"/>
              <w:bidi w:val="0"/>
              <w:spacing w:before="0" w:after="1"/>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526</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pBdr/>
        <w:bidi w:val="0"/>
        <w:spacing w:before="24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Company expects all loyalty points revenue related to performance obligations unsatisfied as of September 27, 2023 to be recognized within one year.</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Gift Cards</w:t>
      </w:r>
    </w:p>
    <w:p>
      <w:pPr>
        <w:pStyle w:val="TextBody"/>
        <w:pBdr/>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gift card liability included in other accrued expenses and current liabilities on the condensed consolidated balance sheets was as follows (in thousands):</w:t>
      </w:r>
    </w:p>
    <w:tbl>
      <w:tblPr>
        <w:tblW w:w="4840" w:type="dxa"/>
        <w:jc w:val="left"/>
        <w:tblInd w:w="0" w:type="dxa"/>
        <w:tblLayout w:type="fixed"/>
        <w:tblCellMar>
          <w:top w:w="0" w:type="dxa"/>
          <w:left w:w="0" w:type="dxa"/>
          <w:bottom w:w="0" w:type="dxa"/>
          <w:right w:w="0" w:type="dxa"/>
        </w:tblCellMar>
      </w:tblPr>
      <w:tblGrid>
        <w:gridCol w:w="1531"/>
        <w:gridCol w:w="109"/>
        <w:gridCol w:w="417"/>
        <w:gridCol w:w="1129"/>
        <w:gridCol w:w="109"/>
        <w:gridCol w:w="367"/>
        <w:gridCol w:w="1178"/>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972185" cy="175260"/>
                      <wp:effectExtent l="0" t="0" r="0" b="0"/>
                      <wp:wrapNone/>
                      <wp:docPr id="326" name="Frame326"/>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9215" cy="175260"/>
                      <wp:effectExtent l="0" t="0" r="0" b="0"/>
                      <wp:wrapNone/>
                      <wp:docPr id="327" name="Frame3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64795" cy="175260"/>
                      <wp:effectExtent l="0" t="0" r="0" b="0"/>
                      <wp:wrapNone/>
                      <wp:docPr id="328" name="Frame328"/>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716915" cy="175260"/>
                      <wp:effectExtent l="0" t="0" r="0" b="0"/>
                      <wp:wrapNone/>
                      <wp:docPr id="329" name="Frame329"/>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9215" cy="175260"/>
                      <wp:effectExtent l="0" t="0" r="0" b="0"/>
                      <wp:wrapNone/>
                      <wp:docPr id="330" name="Frame3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33045" cy="175260"/>
                      <wp:effectExtent l="0" t="0" r="0" b="0"/>
                      <wp:wrapNone/>
                      <wp:docPr id="331" name="Frame331"/>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748030" cy="175260"/>
                      <wp:effectExtent l="0" t="0" r="0" b="0"/>
                      <wp:wrapNone/>
                      <wp:docPr id="332" name="Frame332"/>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 2022</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Gift card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4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4,047</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4,667</w:t>
            </w:r>
          </w:p>
        </w:tc>
      </w:tr>
    </w:tbl>
    <w:p>
      <w:pPr>
        <w:pStyle w:val="TextBody"/>
        <w:shd w:fill="FFFFFF" w:val="clear"/>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Revenue recognized from the redemption of gift cards that was included in other accrued expenses and current liabilities at the beginning of the year was as follows (in thousands):</w:t>
      </w:r>
    </w:p>
    <w:tbl>
      <w:tblPr>
        <w:tblW w:w="10205" w:type="dxa"/>
        <w:jc w:val="left"/>
        <w:tblInd w:w="0" w:type="dxa"/>
        <w:tblLayout w:type="fixed"/>
        <w:tblCellMar>
          <w:top w:w="0" w:type="dxa"/>
          <w:left w:w="0" w:type="dxa"/>
          <w:bottom w:w="0" w:type="dxa"/>
          <w:right w:w="0" w:type="dxa"/>
        </w:tblCellMar>
      </w:tblPr>
      <w:tblGrid>
        <w:gridCol w:w="3403"/>
        <w:gridCol w:w="516"/>
        <w:gridCol w:w="1030"/>
        <w:gridCol w:w="120"/>
        <w:gridCol w:w="516"/>
        <w:gridCol w:w="1030"/>
        <w:gridCol w:w="326"/>
        <w:gridCol w:w="516"/>
        <w:gridCol w:w="1030"/>
        <w:gridCol w:w="125"/>
        <w:gridCol w:w="455"/>
        <w:gridCol w:w="1138"/>
      </w:tblGrid>
      <w:tr>
        <w:trPr/>
        <w:tc>
          <w:tcPr>
            <w:tcW w:w="3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60905" cy="175260"/>
                      <wp:effectExtent l="0" t="0" r="0" b="0"/>
                      <wp:wrapNone/>
                      <wp:docPr id="333" name="Frame333"/>
                      <a:graphic xmlns:a="http://schemas.openxmlformats.org/drawingml/2006/main">
                        <a:graphicData uri="http://schemas.microsoft.com/office/word/2010/wordprocessingShape">
                          <wps:wsp>
                            <wps:cNvSpPr txBox="1"/>
                            <wps:spPr>
                              <a:xfrm>
                                <a:off x="0" y="0"/>
                                <a:ext cx="2160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327660" cy="175260"/>
                      <wp:effectExtent l="0" t="0" r="0" b="0"/>
                      <wp:wrapNone/>
                      <wp:docPr id="334" name="Frame334"/>
                      <a:graphic xmlns:a="http://schemas.openxmlformats.org/drawingml/2006/main">
                        <a:graphicData uri="http://schemas.microsoft.com/office/word/2010/wordprocessingShape">
                          <wps:wsp>
                            <wps:cNvSpPr txBox="1"/>
                            <wps:spPr>
                              <a:xfrm>
                                <a:off x="0" y="0"/>
                                <a:ext cx="327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54050" cy="175260"/>
                      <wp:effectExtent l="0" t="0" r="0" b="0"/>
                      <wp:wrapNone/>
                      <wp:docPr id="335" name="Frame335"/>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76200" cy="175260"/>
                      <wp:effectExtent l="0" t="0" r="0" b="0"/>
                      <wp:wrapNone/>
                      <wp:docPr id="336" name="Frame336"/>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27660" cy="175260"/>
                      <wp:effectExtent l="0" t="0" r="0" b="0"/>
                      <wp:wrapNone/>
                      <wp:docPr id="337" name="Frame337"/>
                      <a:graphic xmlns:a="http://schemas.openxmlformats.org/drawingml/2006/main">
                        <a:graphicData uri="http://schemas.microsoft.com/office/word/2010/wordprocessingShape">
                          <wps:wsp>
                            <wps:cNvSpPr txBox="1"/>
                            <wps:spPr>
                              <a:xfrm>
                                <a:off x="0" y="0"/>
                                <a:ext cx="327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54050" cy="175260"/>
                      <wp:effectExtent l="0" t="0" r="0" b="0"/>
                      <wp:wrapNone/>
                      <wp:docPr id="338" name="Frame338"/>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9"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327660" cy="175260"/>
                      <wp:effectExtent l="0" t="0" r="0" b="0"/>
                      <wp:wrapNone/>
                      <wp:docPr id="340" name="Frame340"/>
                      <a:graphic xmlns:a="http://schemas.openxmlformats.org/drawingml/2006/main">
                        <a:graphicData uri="http://schemas.microsoft.com/office/word/2010/wordprocessingShape">
                          <wps:wsp>
                            <wps:cNvSpPr txBox="1"/>
                            <wps:spPr>
                              <a:xfrm>
                                <a:off x="0" y="0"/>
                                <a:ext cx="327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54050" cy="175260"/>
                      <wp:effectExtent l="0" t="0" r="0" b="0"/>
                      <wp:wrapNone/>
                      <wp:docPr id="341" name="Frame341"/>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79375" cy="175260"/>
                      <wp:effectExtent l="0" t="0" r="0" b="0"/>
                      <wp:wrapNone/>
                      <wp:docPr id="342" name="Frame342"/>
                      <a:graphic xmlns:a="http://schemas.openxmlformats.org/drawingml/2006/main">
                        <a:graphicData uri="http://schemas.microsoft.com/office/word/2010/wordprocessingShape">
                          <wps:wsp>
                            <wps:cNvSpPr txBox="1"/>
                            <wps:spPr>
                              <a:xfrm>
                                <a:off x="0" y="0"/>
                                <a:ext cx="79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88925" cy="175260"/>
                      <wp:effectExtent l="0" t="0" r="0" b="0"/>
                      <wp:wrapNone/>
                      <wp:docPr id="343" name="Frame343"/>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722630" cy="175260"/>
                      <wp:effectExtent l="0" t="0" r="0" b="0"/>
                      <wp:wrapNone/>
                      <wp:docPr id="344" name="Frame344"/>
                      <a:graphic xmlns:a="http://schemas.openxmlformats.org/drawingml/2006/main">
                        <a:graphicData uri="http://schemas.microsoft.com/office/word/2010/wordprocessingShape">
                          <wps:wsp>
                            <wps:cNvSpPr txBox="1"/>
                            <wps:spPr>
                              <a:xfrm>
                                <a:off x="0" y="0"/>
                                <a:ext cx="722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03" w:type="dxa"/>
            <w:tcBorders/>
            <w:vAlign w:val="center"/>
          </w:tcPr>
          <w:p>
            <w:pPr>
              <w:pStyle w:val="TableContents"/>
              <w:bidi w:val="0"/>
              <w:spacing w:before="0" w:after="1"/>
              <w:ind w:left="0" w:right="0" w:hanging="0"/>
              <w:jc w:val="left"/>
              <w:rPr/>
            </w:pPr>
            <w:r>
              <w:rPr/>
              <w:t>​</w:t>
            </w:r>
          </w:p>
        </w:tc>
        <w:tc>
          <w:tcPr>
            <w:tcW w:w="321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1"/>
              <w:ind w:left="0" w:right="0" w:hanging="0"/>
              <w:jc w:val="left"/>
              <w:rPr/>
            </w:pPr>
            <w:r>
              <w:rPr/>
              <w:t>​</w:t>
            </w:r>
          </w:p>
        </w:tc>
        <w:tc>
          <w:tcPr>
            <w:tcW w:w="326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3403"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20"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25" w:type="dxa"/>
            <w:tcBorders/>
            <w:vAlign w:val="center"/>
          </w:tcPr>
          <w:p>
            <w:pPr>
              <w:pStyle w:val="TableContents"/>
              <w:bidi w:val="0"/>
              <w:spacing w:before="0" w:after="1"/>
              <w:ind w:left="0" w:right="0" w:hanging="0"/>
              <w:jc w:val="left"/>
              <w:rPr/>
            </w:pPr>
            <w:r>
              <w:rPr/>
              <w:t>​</w:t>
            </w:r>
          </w:p>
        </w:tc>
        <w:tc>
          <w:tcPr>
            <w:tcW w:w="15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r>
      <w:tr>
        <w:trPr/>
        <w:tc>
          <w:tcPr>
            <w:tcW w:w="34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 from gift card liability balance at the beginning of the year</w:t>
            </w:r>
          </w:p>
        </w:tc>
        <w:tc>
          <w:tcPr>
            <w:tcW w:w="5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120" w:type="dxa"/>
            <w:tcBorders/>
            <w:shd w:fill="CCEEFF" w:val="clear"/>
            <w:vAlign w:val="center"/>
          </w:tcPr>
          <w:p>
            <w:pPr>
              <w:pStyle w:val="TableContents"/>
              <w:bidi w:val="0"/>
              <w:spacing w:before="0" w:after="1"/>
              <w:ind w:left="0" w:right="0" w:hanging="0"/>
              <w:jc w:val="left"/>
              <w:rPr/>
            </w:pPr>
            <w:r>
              <w:rPr/>
              <w:t>​</w:t>
            </w:r>
          </w:p>
        </w:tc>
        <w:tc>
          <w:tcPr>
            <w:tcW w:w="5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26" w:type="dxa"/>
            <w:tcBorders/>
            <w:shd w:fill="CCEEFF" w:val="clear"/>
            <w:vAlign w:val="center"/>
          </w:tcPr>
          <w:p>
            <w:pPr>
              <w:pStyle w:val="TableContents"/>
              <w:bidi w:val="0"/>
              <w:spacing w:before="0" w:after="1"/>
              <w:ind w:left="0" w:right="0" w:hanging="0"/>
              <w:jc w:val="left"/>
              <w:rPr/>
            </w:pPr>
            <w:r>
              <w:rPr/>
              <w:t>​</w:t>
            </w:r>
          </w:p>
        </w:tc>
        <w:tc>
          <w:tcPr>
            <w:tcW w:w="5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w:t>
            </w:r>
          </w:p>
        </w:tc>
        <w:tc>
          <w:tcPr>
            <w:tcW w:w="125" w:type="dxa"/>
            <w:tcBorders/>
            <w:shd w:fill="CCEEFF" w:val="clear"/>
            <w:vAlign w:val="center"/>
          </w:tcPr>
          <w:p>
            <w:pPr>
              <w:pStyle w:val="TableContents"/>
              <w:bidi w:val="0"/>
              <w:spacing w:before="0" w:after="1"/>
              <w:ind w:left="0" w:right="0" w:hanging="0"/>
              <w:jc w:val="left"/>
              <w:rPr/>
            </w:pPr>
            <w:r>
              <w:rPr/>
              <w:t>​</w:t>
            </w:r>
          </w:p>
        </w:tc>
        <w:tc>
          <w:tcPr>
            <w:tcW w:w="4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967</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Contract Costs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does not currently incur costs to obtain or fulfill a contract that would be considered contract assets under Topic 606.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LEASES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Nature of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operations utilize property, facilities, equipment and vehicles leased from others. Additionally, the Company has various contracts with vendors that have been determined to contain an embedded lease in accordance with Topic 842.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27, 2023, the Company had one lease that it had entered into, but had not yet commenced. The Company does not have control of the property until lease commencement.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Building and facility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majority of the Company’s building and facilities leases are classified as operating leases; however, the Company currently has one facility and 10 equipment leases that are classified as finance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that increase at pre-determined dates based on the change in the consumer price index. For all leases, the Company also reimburses the landlord for non-lease components, or items that are not considered components of a contract, such as CAM,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initial terms of land and restaurant building leases are generally 20 years, exclusive of options to renew. These leases typically have four </w:t>
      </w:r>
      <w:r>
        <w:rPr>
          <w:rFonts w:ascii="Times New Roman;Times;serif" w:hAnsi="Times New Roman;Times;serif"/>
          <w:b w:val="false"/>
          <w:i w:val="false"/>
          <w:caps w:val="false"/>
          <w:smallCaps w:val="false"/>
          <w:sz w:val="20"/>
        </w:rPr>
        <w:t>5-year</w:t>
      </w:r>
      <w:r>
        <w:rPr>
          <w:rFonts w:ascii="Times New Roman;Times;serif" w:hAnsi="Times New Roman;Times;serif"/>
          <w:sz w:val="20"/>
        </w:rPr>
        <w:t xml:space="preserve">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thirteen and thirty-nine weeks ended September 27, 2023, the Company reassessed the lease terms on five and 27 restaurants, respectively, due to certain triggering events, such as the addition of significant leasehold improvements with useful lives that extend past the current lease expiration, the decision to terminate a lease, or the decision to renew. As a result of the reassessment, an additional</w:t>
      </w:r>
      <w:r>
        <w:rPr>
          <w:rFonts w:ascii="Times New Roman;Times;serif" w:hAnsi="Times New Roman;Times;serif"/>
          <w:sz w:val="20"/>
          <w:shd w:fill="FFFFFF" w:val="clear"/>
        </w:rPr>
        <w:t> $1.9 million and</w:t>
      </w:r>
      <w:r>
        <w:rPr>
          <w:rFonts w:ascii="Times New Roman;Times;serif" w:hAnsi="Times New Roman;Times;serif"/>
          <w:sz w:val="20"/>
        </w:rPr>
        <w:t xml:space="preserve"> $15.4 million of ROU asset and lease liabilities for the thirteen and thirty-nine weeks ended September 27, 2023, respectively, were recognized and will be amortized over the new lease term. During the thirteen and thirty-nine weeks ended September 28, 2022, the Company reassessed the lease terms on five and 18 restaurants, respectively, due to certain triggering events, such as the addition of significant leasehold improvements with useful lives that extend past the current lease expiration, the decision to terminate a lease, or the decision to renew. This reassessment resulted in an additional </w:t>
      </w:r>
      <w:r>
        <w:rPr>
          <w:rFonts w:ascii="Times New Roman;Times;serif" w:hAnsi="Times New Roman;Times;serif"/>
          <w:sz w:val="20"/>
          <w:shd w:fill="FFFFFF" w:val="clear"/>
        </w:rPr>
        <w:t>$2.0 million and</w:t>
      </w:r>
      <w:r>
        <w:rPr>
          <w:rFonts w:ascii="Times New Roman;Times;serif" w:hAnsi="Times New Roman;Times;serif"/>
          <w:sz w:val="20"/>
        </w:rPr>
        <w:t xml:space="preserve"> $10.5 million of ROU asset and lease liabilities for the thirteen and thirty-nine weeks ended September 28, 2022, respectively, which were recognized and will be amortized over the new lease term. </w:t>
      </w:r>
      <w:r>
        <w:rPr>
          <w:rFonts w:ascii="Times New Roman;Times;serif" w:hAnsi="Times New Roman;Times;serif"/>
          <w:sz w:val="20"/>
          <w:shd w:fill="FFFFFF" w:val="clear"/>
        </w:rPr>
        <w:t xml:space="preserve">The reassessments had an impact on the original lease classification of one property during the thirty-nine weeks ended September 28, 2022 which represented $0.7 million of the $10.5 million total additional ROU asset and lease liabilities for the period. </w:t>
      </w:r>
      <w:r>
        <w:rPr>
          <w:rFonts w:ascii="Times New Roman;Times;serif" w:hAnsi="Times New Roman;Times;serif"/>
          <w:sz w:val="20"/>
        </w:rPr>
        <w:t>Additionally, as the Company adopted all practical expedients available under Topic 842, no reallocation between lease and non-lease components was necessary.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thirty-nine weeks ended September 27, 2023, the Company recorded a less than $0.1 million non-cash impairment charge primarily related to the carrying value of ROU assets of one restaurant in California. During the thirty-nine weeks ended September 28, 2022, the Company recorded a less than $0.1 million non-cash impairment charge related to the carrying value of ROU assets of one restaurant in California. See Note 1, “Basis of Presentation and Summary of Significant Accounting Policies – Impairment of Long-Lived Assets and ROU Assets” for additional information.</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Equipment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1364" w:name="Tc_aGSYV7GEsUWAXQmXVV-Paw_12_17"/>
      <w:bookmarkStart w:id="1365" w:name="Tc_3k-dRHbWW0-HVCixLYEiaw_12_14"/>
      <w:bookmarkStart w:id="1366" w:name="Tc_6nj88OaywkOSfKOncnApDQ_12_11"/>
      <w:bookmarkStart w:id="1367" w:name="Tc_xZ-tV96v3Uan6xnAuI8dDg_12_8"/>
      <w:bookmarkStart w:id="1368" w:name="Tc_NZ5RJcyAA0e9sEpz2b-kPw_12_5"/>
      <w:bookmarkStart w:id="1369" w:name="Tc_v_ssSx5t2ku2SjU3dyp3yQ_12_2"/>
      <w:bookmarkStart w:id="1370" w:name="Tc_8Yf6t20Fp0u2uJFTnA5zxg_12_0"/>
      <w:bookmarkStart w:id="1371" w:name="Tc_J_CBQfcTOkWH3HDl-Acpwg_11_15"/>
      <w:bookmarkStart w:id="1372" w:name="Tc_Aq7IFMYJnkWDHYwxrHlL2w_11_6"/>
      <w:bookmarkStart w:id="1373" w:name="Tc_IXy58D6JM02mFnOYk26ofw_11_0"/>
      <w:bookmarkStart w:id="1374" w:name="Tc_uuoTj3zIwUSuxY5U_4eWRQ_10_0"/>
      <w:bookmarkStart w:id="1375" w:name="Tc_DxfI_TglgUGcA6E27MvSMA_9_12"/>
      <w:bookmarkStart w:id="1376" w:name="Tc_jW5M41m6CEeXCnkFZpUVCQ_9_3"/>
      <w:bookmarkStart w:id="1377" w:name="Tc_PQlICDG1vUOy5iwQVV6uhw_9_0"/>
      <w:bookmarkStart w:id="1378" w:name="Tc_Ze3CUT8uFUuyQ4M7G8tx5A_8_0"/>
      <w:bookmarkStart w:id="1379" w:name="Tc_yakFh4MhKUSIlcOKGLdarg_7_0"/>
      <w:bookmarkStart w:id="1380" w:name="Tc_IbIEUWEVqEe8pnLcMcKiIg_6_17"/>
      <w:bookmarkStart w:id="1381" w:name="Tc_VufJFgsAtkOntuzRRfrElA_6_14"/>
      <w:bookmarkStart w:id="1382" w:name="Tc_489E7WbhsUa6oNjlUHxOug_6_11"/>
      <w:bookmarkStart w:id="1383" w:name="Tc_VqtPJKNCX0C9QZpyPpq-xg_6_8"/>
      <w:bookmarkStart w:id="1384" w:name="Tc_tSvMWHYCi0eouAhs1imTqA_6_5"/>
      <w:bookmarkStart w:id="1385" w:name="Tc_lEQgjrFigkK_p5IGWiFdjQ_6_2"/>
      <w:bookmarkStart w:id="1386" w:name="Tc_-j22cIyqFECEXn64j0Rsvg_6_0"/>
      <w:bookmarkStart w:id="1387" w:name="Tc_9Cn2PzHe60WoCKQhJ6lQHw_5_0"/>
      <w:bookmarkStart w:id="1388" w:name="Tc_3g2SeLPitU-wxOxRGJkfqg_4_17"/>
      <w:bookmarkStart w:id="1389" w:name="Tc_VPAT50Dlk06PGDp4-m3ZxQ_4_14"/>
      <w:bookmarkStart w:id="1390" w:name="Tc_TjtpWs_md02IYnaw9qZGVQ_4_11"/>
      <w:bookmarkStart w:id="1391" w:name="Tc_-1qRZASVgk6wkL1dLuETPg_4_8"/>
      <w:bookmarkStart w:id="1392" w:name="Tc_UWjg3p4F10CNK0x2phLB8w_4_5"/>
      <w:bookmarkStart w:id="1393" w:name="Tc_nqU6X3_SqE2W_6VaCJPlWA_4_2"/>
      <w:bookmarkStart w:id="1394" w:name="Tc_Q9EHzXyW_0qaoSn0f0-UuA_3_14"/>
      <w:bookmarkStart w:id="1395" w:name="Tc_2ZiqrTqK3kOTHfxHfYjOMw_3_11"/>
      <w:bookmarkStart w:id="1396" w:name="Tc_ZAH5vIKygkCfyyjpa8SL4Q_3_5"/>
      <w:bookmarkStart w:id="1397" w:name="Tc_zb1lq5x8TEKU2FLFqxHBLA_3_2"/>
      <w:bookmarkStart w:id="1398" w:name="Tc_BPuxaJdf8UeemTxwvcUSvw_2_11"/>
      <w:bookmarkStart w:id="1399" w:name="Tc_v_iG63HI6EOYsDD3-TCVHA_2_2"/>
      <w:bookmarkStart w:id="1400" w:name="Tc_yMlNe2f9kESSYYBkh0gUdQ_1_2"/>
      <w:bookmarkStart w:id="1401" w:name="_faa7672b_d984_40b2_b22d_14f1f5511c56"/>
      <w:bookmarkStart w:id="1402" w:name="Tc_7lOn2F9qiUK5mH3RoEe0vQ_12_17"/>
      <w:bookmarkStart w:id="1403" w:name="Tc_JUiMKvr_xkiI66nMC9hcTA_12_14"/>
      <w:bookmarkStart w:id="1404" w:name="Tc_wS_0injp80WF_N4QnvldZA_12_11"/>
      <w:bookmarkStart w:id="1405" w:name="Tc_AweFSnjRaU-i-eMSng05Wg_12_8"/>
      <w:bookmarkStart w:id="1406" w:name="Tc_Le_nzFW81UmBnAR8aUbvbg_12_5"/>
      <w:bookmarkStart w:id="1407" w:name="Tc_o_8-rUPf-E2AdFcO93PfKA_12_2"/>
      <w:bookmarkStart w:id="1408" w:name="Tc_GCD74Uga9EmEGZsZ7Mkt5A_12_0"/>
      <w:bookmarkStart w:id="1409" w:name="Tc__5llFojaYkC8YWzIuC7vyA_11_15"/>
      <w:bookmarkStart w:id="1410" w:name="Tc_JuQhrEE4PkG4blJHd8Xz6Q_11_6"/>
      <w:bookmarkStart w:id="1411" w:name="Tc_GhgNTEg5lk24fb3GX5D3CQ_11_0"/>
      <w:bookmarkStart w:id="1412" w:name="Tc_BdjQVOAAhECqJVtN0A4hYQ_10_0"/>
      <w:bookmarkStart w:id="1413" w:name="Tc_VIlHnMik0U6tXiT-i1cExQ_9_12"/>
      <w:bookmarkStart w:id="1414" w:name="Tc_lGydNDgcU0uYqLmvLR70gQ_9_3"/>
      <w:bookmarkStart w:id="1415" w:name="Tc_uaO5NtMECUy2Y20EfEQhow_9_0"/>
      <w:bookmarkStart w:id="1416" w:name="Tc_VJyEfbN400680jUjlgVtpg_8_0"/>
      <w:bookmarkStart w:id="1417" w:name="Tc_vJ91MZMdOES-BcPJ2t9MIg_7_0"/>
      <w:bookmarkStart w:id="1418" w:name="Tc_u_ASQcdSJ0WpjnpOCxWPOw_6_17"/>
      <w:bookmarkStart w:id="1419" w:name="Tc_fEL7iLDN_UiXPhfoXL706g_6_14"/>
      <w:bookmarkStart w:id="1420" w:name="Tc_Wk8c2kprA0-aKLZPRSBpXA_6_11"/>
      <w:bookmarkStart w:id="1421" w:name="Tc_OQqjmLGMn0mqFvMOKui_iw_6_8"/>
      <w:bookmarkStart w:id="1422" w:name="Tc_DNXxmwuPxUq9jo4-9NmDMg_6_5"/>
      <w:bookmarkStart w:id="1423" w:name="Tc_PPNK81IJI06luvuWZxznEw_6_2"/>
      <w:bookmarkStart w:id="1424" w:name="Tc_NV0WtCWQDk-cnDFPOWjrYw_6_0"/>
      <w:bookmarkStart w:id="1425" w:name="Tc_PRQ2_9aPt0mmIlKzny4XqQ_5_0"/>
      <w:bookmarkStart w:id="1426" w:name="Tc_hI3Vz4zkgU65o_fcsxd-IQ_4_17"/>
      <w:bookmarkStart w:id="1427" w:name="Tc_C5299E015kCssQHloJvZqw_4_14"/>
      <w:bookmarkStart w:id="1428" w:name="Tc_uHzyZQJ3z0WD0tElvjEc5Q_4_11"/>
      <w:bookmarkStart w:id="1429" w:name="Tc_X3xtYt334Uuk9OAKCfR28Q_4_8"/>
      <w:bookmarkStart w:id="1430" w:name="Tc_a5DpFEmUK0GNr4uhkg-rqg_4_5"/>
      <w:bookmarkStart w:id="1431" w:name="Tc_IbNB9TjGL0GCp5__gYsGQg_4_2"/>
      <w:bookmarkStart w:id="1432" w:name="Tc_Adi7bEMws0Cq8oYg_PxJlQ_3_14"/>
      <w:bookmarkStart w:id="1433" w:name="Tc_Inb_v_ys2Euwzs_CsMunEQ_3_11"/>
      <w:bookmarkStart w:id="1434" w:name="Tc_-cA0dWbRmkaSDCdKlK3GXQ_3_5"/>
      <w:bookmarkStart w:id="1435" w:name="Tc_Mo0WMqKklE6jZtODal7lEg_3_2"/>
      <w:bookmarkStart w:id="1436" w:name="Tc_0U3BgQ-YFk67YRo1vcWy_g_2_11"/>
      <w:bookmarkStart w:id="1437" w:name="Tc_VZxoJaqGq0aUtcE5VzxjPA_2_2"/>
      <w:bookmarkStart w:id="1438" w:name="Tc_-5JG3uvXcEamXNNeUF19Xg_1_2"/>
      <w:bookmarkStart w:id="1439" w:name="_09da5918_d6c5_4c53_afd4_047b754a2b40"/>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r>
        <w:rPr>
          <w:rFonts w:ascii="Times New Roman;Times;serif" w:hAnsi="Times New Roman;Times;serif"/>
          <w:i/>
          <w:sz w:val="20"/>
        </w:rPr>
        <w:t>Significant Assumptions and Judgments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applying the requirements of Topic 842, the Company made significant assumptions and judgments related to determination of whether a contract contains a lease and the discount rate used for the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also made significant assumptions and judgments in determining an appropriate discount rate for property leases. These included using a consistent discount rate for a portfolio of leases entered into at varying dates, using the full </w:t>
      </w:r>
      <w:r>
        <w:rPr>
          <w:rFonts w:ascii="Times New Roman;Times;serif" w:hAnsi="Times New Roman;Times;serif"/>
          <w:b w:val="false"/>
          <w:i w:val="false"/>
          <w:caps w:val="false"/>
          <w:smallCaps w:val="false"/>
          <w:sz w:val="20"/>
        </w:rPr>
        <w:t>20-year</w:t>
      </w:r>
      <w:r>
        <w:rPr>
          <w:rFonts w:ascii="Times New Roman;Times;serif" w:hAnsi="Times New Roman;Times;serif"/>
          <w:sz w:val="20"/>
        </w:rPr>
        <w:t xml:space="preserve">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the Company has adopted the practical expedient not to separate lease and non-lease components, no significant assumptions or judgments were necessary in allocating consideration between these components, for all classes of underlying assets.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total lease cost, disaggregated by underlying asset (in thousands):</w:t>
      </w:r>
    </w:p>
    <w:p>
      <w:pPr>
        <w:pStyle w:val="TextBody"/>
        <w:bidi w:val="0"/>
        <w:spacing w:before="0" w:after="0"/>
        <w:ind w:left="0" w:right="0" w:hanging="0"/>
        <w:jc w:val="left"/>
        <w:rPr/>
      </w:pPr>
      <w:r>
        <w:rPr/>
        <w:t>​</w:t>
      </w:r>
    </w:p>
    <w:tbl>
      <w:tblPr>
        <w:tblW w:w="9641" w:type="dxa"/>
        <w:jc w:val="left"/>
        <w:tblInd w:w="0" w:type="dxa"/>
        <w:tblLayout w:type="fixed"/>
        <w:tblCellMar>
          <w:top w:w="0" w:type="dxa"/>
          <w:left w:w="0" w:type="dxa"/>
          <w:bottom w:w="0" w:type="dxa"/>
          <w:right w:w="0" w:type="dxa"/>
        </w:tblCellMar>
      </w:tblPr>
      <w:tblGrid>
        <w:gridCol w:w="2911"/>
        <w:gridCol w:w="326"/>
        <w:gridCol w:w="211"/>
        <w:gridCol w:w="691"/>
        <w:gridCol w:w="326"/>
        <w:gridCol w:w="295"/>
        <w:gridCol w:w="591"/>
        <w:gridCol w:w="326"/>
        <w:gridCol w:w="211"/>
        <w:gridCol w:w="691"/>
        <w:gridCol w:w="109"/>
        <w:gridCol w:w="211"/>
        <w:gridCol w:w="691"/>
        <w:gridCol w:w="109"/>
        <w:gridCol w:w="295"/>
        <w:gridCol w:w="591"/>
        <w:gridCol w:w="109"/>
        <w:gridCol w:w="211"/>
        <w:gridCol w:w="736"/>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848485" cy="175260"/>
                      <wp:effectExtent l="0" t="0" r="0" b="0"/>
                      <wp:wrapNone/>
                      <wp:docPr id="345" name="Frame345"/>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7" name="Frame3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38785" cy="175260"/>
                      <wp:effectExtent l="0" t="0" r="0" b="0"/>
                      <wp:wrapNone/>
                      <wp:docPr id="348" name="Frame3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87325" cy="175260"/>
                      <wp:effectExtent l="0" t="0" r="0" b="0"/>
                      <wp:wrapNone/>
                      <wp:docPr id="350" name="Frame350"/>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75285" cy="175260"/>
                      <wp:effectExtent l="0" t="0" r="0" b="0"/>
                      <wp:wrapNone/>
                      <wp:docPr id="351" name="Frame351"/>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38785" cy="175260"/>
                      <wp:effectExtent l="0" t="0" r="0" b="0"/>
                      <wp:wrapNone/>
                      <wp:docPr id="354" name="Frame35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215" cy="175260"/>
                      <wp:effectExtent l="0" t="0" r="0" b="0"/>
                      <wp:wrapNone/>
                      <wp:docPr id="355" name="Frame3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38785" cy="175260"/>
                      <wp:effectExtent l="0" t="0" r="0" b="0"/>
                      <wp:wrapNone/>
                      <wp:docPr id="357" name="Frame35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9215" cy="175260"/>
                      <wp:effectExtent l="0" t="0" r="0" b="0"/>
                      <wp:wrapNone/>
                      <wp:docPr id="358" name="Frame3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87325" cy="175260"/>
                      <wp:effectExtent l="0" t="0" r="0" b="0"/>
                      <wp:wrapNone/>
                      <wp:docPr id="359" name="Frame35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375285" cy="175260"/>
                      <wp:effectExtent l="0" t="0" r="0" b="0"/>
                      <wp:wrapNone/>
                      <wp:docPr id="360" name="Frame360"/>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61" name="Frame3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67360" cy="175260"/>
                      <wp:effectExtent l="0" t="0" r="0" b="0"/>
                      <wp:wrapNone/>
                      <wp:docPr id="363" name="Frame36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04"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34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09" w:type="dxa"/>
            <w:tcBorders/>
            <w:vAlign w:val="center"/>
          </w:tcPr>
          <w:p>
            <w:pPr>
              <w:pStyle w:val="TableContents"/>
              <w:bidi w:val="0"/>
              <w:spacing w:before="0" w:after="0"/>
              <w:ind w:left="0" w:right="0" w:hanging="0"/>
              <w:jc w:val="center"/>
              <w:rPr/>
            </w:pPr>
            <w:r>
              <w:rPr/>
              <w:t>​</w:t>
            </w:r>
          </w:p>
        </w:tc>
        <w:tc>
          <w:tcPr>
            <w:tcW w:w="29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right"/>
              <w:rPr/>
            </w:pPr>
            <w:r>
              <w:rPr/>
              <w:t>​</w:t>
            </w:r>
          </w:p>
        </w:tc>
        <w:tc>
          <w:tcPr>
            <w:tcW w:w="5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shd w:fill="CCEEFF" w:val="cle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6,903</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6,646</w:t>
            </w:r>
          </w:p>
        </w:tc>
        <w:tc>
          <w:tcPr>
            <w:tcW w:w="109"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109"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109" w:type="dxa"/>
            <w:tcBorders/>
            <w:shd w:fill="CCEEFF" w:val="clear"/>
            <w:vAlign w:val="center"/>
          </w:tcPr>
          <w:p>
            <w:pPr>
              <w:pStyle w:val="TableContents"/>
              <w:bidi w:val="0"/>
              <w:spacing w:before="0" w:after="0"/>
              <w:ind w:left="0" w:right="0" w:hanging="0"/>
              <w:jc w:val="righ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5,800</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6,179</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5,695</w:t>
            </w:r>
          </w:p>
        </w:tc>
        <w:tc>
          <w:tcPr>
            <w:tcW w:w="109" w:type="dxa"/>
            <w:tcBorders/>
            <w:vAlign w:val="center"/>
          </w:tcPr>
          <w:p>
            <w:pPr>
              <w:pStyle w:val="TableContents"/>
              <w:bidi w:val="0"/>
              <w:spacing w:before="0" w:after="0"/>
              <w:ind w:left="0" w:right="0" w:hanging="0"/>
              <w:jc w:val="righ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6,153</w:t>
            </w:r>
          </w:p>
        </w:tc>
      </w:tr>
    </w:tbl>
    <w:p>
      <w:pPr>
        <w:pStyle w:val="TextBody"/>
        <w:bidi w:val="0"/>
        <w:spacing w:before="0" w:after="0"/>
        <w:ind w:left="0" w:right="0" w:hanging="0"/>
        <w:jc w:val="left"/>
        <w:rPr/>
      </w:pPr>
      <w:r>
        <w:rPr/>
        <w:t>​</w:t>
      </w:r>
    </w:p>
    <w:tbl>
      <w:tblPr>
        <w:tblW w:w="9903" w:type="dxa"/>
        <w:jc w:val="left"/>
        <w:tblInd w:w="0" w:type="dxa"/>
        <w:tblLayout w:type="fixed"/>
        <w:tblCellMar>
          <w:top w:w="0" w:type="dxa"/>
          <w:left w:w="0" w:type="dxa"/>
          <w:bottom w:w="0" w:type="dxa"/>
          <w:right w:w="0" w:type="dxa"/>
        </w:tblCellMar>
      </w:tblPr>
      <w:tblGrid>
        <w:gridCol w:w="2911"/>
        <w:gridCol w:w="109"/>
        <w:gridCol w:w="211"/>
        <w:gridCol w:w="691"/>
        <w:gridCol w:w="326"/>
        <w:gridCol w:w="239"/>
        <w:gridCol w:w="647"/>
        <w:gridCol w:w="326"/>
        <w:gridCol w:w="211"/>
        <w:gridCol w:w="691"/>
        <w:gridCol w:w="109"/>
        <w:gridCol w:w="211"/>
        <w:gridCol w:w="691"/>
        <w:gridCol w:w="326"/>
        <w:gridCol w:w="239"/>
        <w:gridCol w:w="647"/>
        <w:gridCol w:w="326"/>
        <w:gridCol w:w="211"/>
        <w:gridCol w:w="78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848485" cy="175260"/>
                      <wp:effectExtent l="0" t="0" r="0" b="0"/>
                      <wp:wrapNone/>
                      <wp:docPr id="364" name="Frame364"/>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9215" cy="175260"/>
                      <wp:effectExtent l="0" t="0" r="0" b="0"/>
                      <wp:wrapNone/>
                      <wp:docPr id="365" name="Frame3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6"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38785" cy="175260"/>
                      <wp:effectExtent l="0" t="0" r="0" b="0"/>
                      <wp:wrapNone/>
                      <wp:docPr id="367" name="Frame3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51765" cy="175260"/>
                      <wp:effectExtent l="0" t="0" r="0" b="0"/>
                      <wp:wrapNone/>
                      <wp:docPr id="369" name="Frame36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10845" cy="175260"/>
                      <wp:effectExtent l="0" t="0" r="0" b="0"/>
                      <wp:wrapNone/>
                      <wp:docPr id="370" name="Frame370"/>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38785" cy="175260"/>
                      <wp:effectExtent l="0" t="0" r="0" b="0"/>
                      <wp:wrapNone/>
                      <wp:docPr id="373" name="Frame37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9215" cy="175260"/>
                      <wp:effectExtent l="0" t="0" r="0" b="0"/>
                      <wp:wrapNone/>
                      <wp:docPr id="374" name="Frame3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5"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38785" cy="175260"/>
                      <wp:effectExtent l="0" t="0" r="0" b="0"/>
                      <wp:wrapNone/>
                      <wp:docPr id="376" name="Frame37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51765" cy="175260"/>
                      <wp:effectExtent l="0" t="0" r="0" b="0"/>
                      <wp:wrapNone/>
                      <wp:docPr id="378" name="Frame37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410845" cy="175260"/>
                      <wp:effectExtent l="0" t="0" r="0" b="0"/>
                      <wp:wrapNone/>
                      <wp:docPr id="379" name="Frame379"/>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80"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95935" cy="175260"/>
                      <wp:effectExtent l="0" t="0" r="0" b="0"/>
                      <wp:wrapNone/>
                      <wp:docPr id="382" name="Frame3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83"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4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109" w:type="dxa"/>
            <w:tcBorders/>
            <w:vAlign w:val="center"/>
          </w:tcPr>
          <w:p>
            <w:pPr>
              <w:pStyle w:val="TableContents"/>
              <w:bidi w:val="0"/>
              <w:spacing w:before="0" w:after="0"/>
              <w:ind w:left="0" w:right="0" w:hanging="0"/>
              <w:jc w:val="center"/>
              <w:rPr/>
            </w:pPr>
            <w:r>
              <w:rPr/>
              <w:t>​</w:t>
            </w:r>
          </w:p>
        </w:tc>
        <w:tc>
          <w:tcPr>
            <w:tcW w:w="343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20,589</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19,795</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20,571</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(3,773)</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(3,387)</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17,322</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16,953</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18,207</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440" w:name="Tc_hXw5zwPK_0ye4q_zHKEPZw_19_16"/>
      <w:bookmarkStart w:id="1441" w:name="Tc_6xXvYA5a6EuQ4edYPDtZUw_19_13"/>
      <w:bookmarkStart w:id="1442" w:name="Tc_HeUNufZN_0iprMaqnKWPGg_19_7"/>
      <w:bookmarkStart w:id="1443" w:name="Tc__QTVjP5VokGDr0kKLgoJ6w_19_4"/>
      <w:bookmarkStart w:id="1444" w:name="Tc_s1brnhJraEiH5TnBOypmCQ_19_0"/>
      <w:bookmarkStart w:id="1445" w:name="Tc_OUrLYM-NwEqemlLt-1XeLQ_18_16"/>
      <w:bookmarkStart w:id="1446" w:name="Tc_PwStvHCFxUeh60-LLnS1KQ_18_13"/>
      <w:bookmarkStart w:id="1447" w:name="Tc_0hLkMhi0902DtshzmMf-WQ_18_7"/>
      <w:bookmarkStart w:id="1448" w:name="Tc_GV8Zn6cE0EOZu9GJmcvMEg_18_4"/>
      <w:bookmarkStart w:id="1449" w:name="Tc_hcrRzp3JLUKhUD018Tp_hQ_18_0"/>
      <w:bookmarkStart w:id="1450" w:name="Tc_IsOuFmRmrEO8JoplmgiVFw_17_0"/>
      <w:bookmarkStart w:id="1451" w:name="Tc_92NL9jrO6ky5F_A2Lz3u2g_16_0"/>
      <w:bookmarkStart w:id="1452" w:name="Tc_bI6Pe_ytdkqLjaIs03PNaQ_15_0"/>
      <w:bookmarkStart w:id="1453" w:name="Tc_WffRbyjHqkG7-v6-OBxngA_13_17"/>
      <w:bookmarkStart w:id="1454" w:name="Tc_DQb8R_jDtUOXSlclzmRRVA_13_14"/>
      <w:bookmarkStart w:id="1455" w:name="Tc_P-DCMJrl6U65V7cBL_olJw_13_11"/>
      <w:bookmarkStart w:id="1456" w:name="Tc_jwDTI0uoCkaOE4LT72CeOg_13_8"/>
      <w:bookmarkStart w:id="1457" w:name="Tc_exfrJ37VPUyGyfsRUMRrUw_13_5"/>
      <w:bookmarkStart w:id="1458" w:name="Tc_5ADA23hQYESrcy2fe0a9FQ_13_2"/>
      <w:bookmarkStart w:id="1459" w:name="Tc_7SGTJex7FU6q5MVzMHWD7Q_13_0"/>
      <w:bookmarkStart w:id="1460" w:name="Tc_V2SCb2Ak8U6QnmX0DhCFnQ_12_17"/>
      <w:bookmarkStart w:id="1461" w:name="Tc_wX3ZqkT-iUyYkP6IIjh6mw_12_14"/>
      <w:bookmarkStart w:id="1462" w:name="Tc_Z8PDakWDBk-LvEOlr1msHQ_12_12"/>
      <w:bookmarkStart w:id="1463" w:name="Tc_jbnKa5JRNECQv_GTF4mUOA_12_11"/>
      <w:bookmarkStart w:id="1464" w:name="Tc_aJxXLA650EywDoUWW43ccg_12_9"/>
      <w:bookmarkStart w:id="1465" w:name="Tc_2U2YTsp6TEuB4y8TtTtu8A_12_8"/>
      <w:bookmarkStart w:id="1466" w:name="Tc_eSrZq5OEnUCRML9kZ6jnew_12_6"/>
      <w:bookmarkStart w:id="1467" w:name="Tc_7x25fjLGc02YRzZQCKUlHg_12_5"/>
      <w:bookmarkStart w:id="1468" w:name="Tc_PfeMWqmefkGn6p5e02E1Ng_12_3"/>
      <w:bookmarkStart w:id="1469" w:name="Tc_vrmdGu9PPkyDjP3jwXtRZQ_12_2"/>
      <w:bookmarkStart w:id="1470" w:name="Tc__zF8JT1Z70muIe_RDInHzA_12_0"/>
      <w:bookmarkStart w:id="1471" w:name="Tc_S_73LZryhEGNqb8P4GneZg_11_0"/>
      <w:bookmarkStart w:id="1472" w:name="Tc_z3ZOzy7KTkugHkyTHaCwOw_10_17"/>
      <w:bookmarkStart w:id="1473" w:name="Tc_CwbsyC1QGka2NCJI7W-QVA_10_14"/>
      <w:bookmarkStart w:id="1474" w:name="Tc_m8QhNpSH4ESVL1YR3j4F3A_10_11"/>
      <w:bookmarkStart w:id="1475" w:name="Tc_EU7dh7jgwEq976l_wxotKA_10_8"/>
      <w:bookmarkStart w:id="1476" w:name="Tc_S4zi7BiLCkW7AQSg3JMnGA_10_5"/>
      <w:bookmarkStart w:id="1477" w:name="Tc_pDr9J8SbUk6B3MoR7AO1JA_10_2"/>
      <w:bookmarkStart w:id="1478" w:name="Tc_81j9NlHdzU2RscjJ-qelXg_10_0"/>
      <w:bookmarkStart w:id="1479" w:name="Tc_hfpLox5q4EGlX6V1Uh8b1g_9_0"/>
      <w:bookmarkStart w:id="1480" w:name="Tc_8DwpYEJFJk26VjKMczCihA_8_0"/>
      <w:bookmarkStart w:id="1481" w:name="Tc_WRxBOsc8Zk-9U1voLP0MxQ_6_17"/>
      <w:bookmarkStart w:id="1482" w:name="Tc_O2GyzydgwEOnTkTyjNml1w_6_14"/>
      <w:bookmarkStart w:id="1483" w:name="Tc_jE7RigMISUaRlIIqGc8i_A_6_11"/>
      <w:bookmarkStart w:id="1484" w:name="Tc_QIrLvBuTNEuFqD8N7H19AA_6_8"/>
      <w:bookmarkStart w:id="1485" w:name="Tc_610yL9FVOU6-k99V8h040A_6_5"/>
      <w:bookmarkStart w:id="1486" w:name="Tc_ZbEVKIUtG0WhtJRciFXq8Q_6_2"/>
      <w:bookmarkStart w:id="1487" w:name="Tc_A-Z5ppjHtk2hK95WsDwVZQ_6_0"/>
      <w:bookmarkStart w:id="1488" w:name="Tc_f8Voh77YAECrAY7OYJ0T0Q_5_17"/>
      <w:bookmarkStart w:id="1489" w:name="Tc_hp51tifEpEeotw207Bx5QQ_5_14"/>
      <w:bookmarkStart w:id="1490" w:name="Tc_QIzuePGnkUe2PQPGheJeDQ_5_11"/>
      <w:bookmarkStart w:id="1491" w:name="Tc_6F7trGGvlkWGttu6xPFZ_Q_5_8"/>
      <w:bookmarkStart w:id="1492" w:name="Tc_tdqiCYTc40Gq0FzqpmdN_w_5_5"/>
      <w:bookmarkStart w:id="1493" w:name="Tc_jfoo5ZINc0KVCqnCK4tZDw_5_2"/>
      <w:bookmarkStart w:id="1494" w:name="Tc_cPOmduZ_DUuyqimazGvnOQ_5_0"/>
      <w:bookmarkStart w:id="1495" w:name="Tc_uLBB_aeY80-8kdaHavkSYA_4_0"/>
      <w:bookmarkStart w:id="1496" w:name="Tc_mK0emQ5fe0uENBdMG8FhcQ_3_17"/>
      <w:bookmarkStart w:id="1497" w:name="Tc_Hhti3EnTrE-2u327iv6DSw_3_14"/>
      <w:bookmarkStart w:id="1498" w:name="Tc_ns4Gm23O2U-QQVvoU2BJaQ_3_11"/>
      <w:bookmarkStart w:id="1499" w:name="Tc_xwZ9AEbkzUqav6wSZSL2fQ_3_8"/>
      <w:bookmarkStart w:id="1500" w:name="Tc_pNrSXcEa0kW4JJy1yoIBpg_3_5"/>
      <w:bookmarkStart w:id="1501" w:name="Tc_k6DswspLd0207By-C9nvCQ_3_2"/>
      <w:bookmarkStart w:id="1502" w:name="Tc_6b6McjUSwUS4BUOC-cIuJw_2_14"/>
      <w:bookmarkStart w:id="1503" w:name="Tc_dIa2xj9H9EGLJPh8Dn-rYg_2_11"/>
      <w:bookmarkStart w:id="1504" w:name="Tc_pa1me8ZgnEaZgtDcHwIEqQ_2_5"/>
      <w:bookmarkStart w:id="1505" w:name="Tc_nkDrg54dHkmnzO08Ybb2Ww_2_2"/>
      <w:bookmarkStart w:id="1506" w:name="Tc_QdrcSjvx7UqBaRGUzCgGWQ_1_11"/>
      <w:bookmarkStart w:id="1507" w:name="Tc_IA5KhMQO40i9m70P6OVNfg_1_2"/>
      <w:bookmarkStart w:id="1508" w:name="_f837dee7_2be0_4118_8732_48fb146ef73c"/>
      <w:bookmarkStart w:id="1509" w:name="Tc_S_i00gy9-kunoFCNX1QLYQ_8_12"/>
      <w:bookmarkStart w:id="1510" w:name="Tc_b0UJe8_NAkeYcR5msUaCCQ_8_9"/>
      <w:bookmarkStart w:id="1511" w:name="Tc_CTmLh65W5U--6TkSwvC3mQ_8_5"/>
      <w:bookmarkStart w:id="1512" w:name="Tc_hISbQbk3lkSOBZIhAb6QiQ_8_2"/>
      <w:bookmarkStart w:id="1513" w:name="Tc_j394a4t7C0eqJPytTsGp_A_8_0"/>
      <w:bookmarkStart w:id="1514" w:name="Tc_TewS2tXOUUyek4ympcjbPQ_7_3"/>
      <w:bookmarkStart w:id="1515" w:name="Tc_dZ2AQxAWxUSl7SkkJPXlPw_7_0"/>
      <w:bookmarkStart w:id="1516" w:name="Tc_9tY3dHtnCkiMfVU9r2XnMQ_6_0"/>
      <w:bookmarkStart w:id="1517" w:name="Tc_QZty9YPE60GttNTXFHMvtA_5_0"/>
      <w:bookmarkStart w:id="1518" w:name="Tc_o71LSf_92UmqbDVyGb5k8w_4_0"/>
      <w:bookmarkStart w:id="1519" w:name="Tc_-vG9R1XgIUuUC_v95FcUnQ_3_12"/>
      <w:bookmarkStart w:id="1520" w:name="Tc_htaKJIpu0UKWGR6h3WBxmw_3_9"/>
      <w:bookmarkStart w:id="1521" w:name="Tc_7y0m3Eyk6kGvr34ST788oA_3_5"/>
      <w:bookmarkStart w:id="1522" w:name="Tc_X7X94UZdj0Gek5_it-5g3g_3_2"/>
      <w:bookmarkStart w:id="1523" w:name="Tc_6gib-CXYnU6hyUsh5jLs2g_3_0"/>
      <w:bookmarkStart w:id="1524" w:name="Tc_cYqn10vIRkGGHEeCGKcbDA_2_12"/>
      <w:bookmarkStart w:id="1525" w:name="Tc_fOKcUSFr2k-VRlVQRUHR2g_2_9"/>
      <w:bookmarkStart w:id="1526" w:name="Tc_yYA7As7fJkO66bQUKurT6A_2_5"/>
      <w:bookmarkStart w:id="1527" w:name="Tc_cASt1-y8m0yNOoN1MVUisQ_2_2"/>
      <w:bookmarkStart w:id="1528" w:name="Tc_YD3rLEjpcUmwy3b1aRp91Q_1_9"/>
      <w:bookmarkStart w:id="1529" w:name="Tc_WhmskCCNZke-K4z5si4GwQ_1_2"/>
      <w:bookmarkStart w:id="1530" w:name="_73b627b9_d824_44a1_aa77_0db623e45990"/>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r>
        <w:rPr>
          <w:rFonts w:ascii="Times New Roman;Times;serif" w:hAnsi="Times New Roman;Times;serif"/>
          <w:sz w:val="20"/>
        </w:rPr>
        <w:t>The following table presents the Company’s total lease cost on the condensed consolidated statements of income (in thousands):</w:t>
      </w:r>
    </w:p>
    <w:p>
      <w:pPr>
        <w:pStyle w:val="TextBody"/>
        <w:bidi w:val="0"/>
        <w:spacing w:before="0" w:after="24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043"/>
        <w:gridCol w:w="206"/>
        <w:gridCol w:w="417"/>
        <w:gridCol w:w="1129"/>
        <w:gridCol w:w="206"/>
        <w:gridCol w:w="417"/>
        <w:gridCol w:w="1129"/>
        <w:gridCol w:w="109"/>
        <w:gridCol w:w="206"/>
        <w:gridCol w:w="367"/>
        <w:gridCol w:w="1179"/>
        <w:gridCol w:w="206"/>
        <w:gridCol w:w="338"/>
        <w:gridCol w:w="1253"/>
      </w:tblGrid>
      <w:tr>
        <w:trPr/>
        <w:tc>
          <w:tcPr>
            <w:tcW w:w="3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932305" cy="175260"/>
                      <wp:effectExtent l="0" t="0" r="0" b="0"/>
                      <wp:wrapNone/>
                      <wp:docPr id="383" name="Frame383"/>
                      <a:graphic xmlns:a="http://schemas.openxmlformats.org/drawingml/2006/main">
                        <a:graphicData uri="http://schemas.microsoft.com/office/word/2010/wordprocessingShape">
                          <wps:wsp>
                            <wps:cNvSpPr txBox="1"/>
                            <wps:spPr>
                              <a:xfrm>
                                <a:off x="0" y="0"/>
                                <a:ext cx="1932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0810" cy="175260"/>
                      <wp:effectExtent l="0" t="0" r="0" b="0"/>
                      <wp:wrapNone/>
                      <wp:docPr id="384" name="Frame38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64795" cy="175260"/>
                      <wp:effectExtent l="0" t="0" r="0" b="0"/>
                      <wp:wrapNone/>
                      <wp:docPr id="385" name="Frame385"/>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716915" cy="175260"/>
                      <wp:effectExtent l="0" t="0" r="0" b="0"/>
                      <wp:wrapNone/>
                      <wp:docPr id="386" name="Frame386"/>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0810" cy="175260"/>
                      <wp:effectExtent l="0" t="0" r="0" b="0"/>
                      <wp:wrapNone/>
                      <wp:docPr id="387" name="Frame38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64795" cy="175260"/>
                      <wp:effectExtent l="0" t="0" r="0" b="0"/>
                      <wp:wrapNone/>
                      <wp:docPr id="388" name="Frame388"/>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716915" cy="175260"/>
                      <wp:effectExtent l="0" t="0" r="0" b="0"/>
                      <wp:wrapNone/>
                      <wp:docPr id="389" name="Frame389"/>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9215" cy="175260"/>
                      <wp:effectExtent l="0" t="0" r="0" b="0"/>
                      <wp:wrapNone/>
                      <wp:docPr id="390" name="Frame3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0810" cy="175260"/>
                      <wp:effectExtent l="0" t="0" r="0" b="0"/>
                      <wp:wrapNone/>
                      <wp:docPr id="391" name="Frame39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33045" cy="175260"/>
                      <wp:effectExtent l="0" t="0" r="0" b="0"/>
                      <wp:wrapNone/>
                      <wp:docPr id="392" name="Frame39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748665" cy="175260"/>
                      <wp:effectExtent l="0" t="0" r="0" b="0"/>
                      <wp:wrapNone/>
                      <wp:docPr id="393" name="Frame393"/>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0810" cy="175260"/>
                      <wp:effectExtent l="0" t="0" r="0" b="0"/>
                      <wp:wrapNone/>
                      <wp:docPr id="394" name="Frame39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4630" cy="175260"/>
                      <wp:effectExtent l="0" t="0" r="0" b="0"/>
                      <wp:wrapNone/>
                      <wp:docPr id="395" name="Frame395"/>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795655" cy="175260"/>
                      <wp:effectExtent l="0" t="0" r="0" b="0"/>
                      <wp:wrapNone/>
                      <wp:docPr id="396" name="Frame396"/>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4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2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3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304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20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206" w:type="dxa"/>
            <w:tcBorders/>
            <w:vAlign w:val="center"/>
          </w:tcPr>
          <w:p>
            <w:pPr>
              <w:pStyle w:val="TableContents"/>
              <w:bidi w:val="0"/>
              <w:spacing w:before="0" w:after="0"/>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r>
      <w:tr>
        <w:trPr/>
        <w:tc>
          <w:tcPr>
            <w:tcW w:w="30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Occupancy and other operating expenses</w:t>
            </w:r>
          </w:p>
        </w:tc>
        <w:tc>
          <w:tcPr>
            <w:tcW w:w="20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6,043</w:t>
            </w:r>
          </w:p>
        </w:tc>
        <w:tc>
          <w:tcPr>
            <w:tcW w:w="206" w:type="dxa"/>
            <w:tcBorders/>
            <w:shd w:fill="CCEEFF" w:val="clear"/>
            <w:vAlign w:val="center"/>
          </w:tcPr>
          <w:p>
            <w:pPr>
              <w:pStyle w:val="TableContents"/>
              <w:bidi w:val="0"/>
              <w:spacing w:before="0" w:after="0"/>
              <w:ind w:left="0" w:right="0" w:hanging="0"/>
              <w:jc w:val="righ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5,969</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18,101</w:t>
            </w:r>
          </w:p>
        </w:tc>
        <w:tc>
          <w:tcPr>
            <w:tcW w:w="20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17,709</w:t>
            </w:r>
          </w:p>
        </w:tc>
      </w:tr>
      <w:tr>
        <w:trPr/>
        <w:tc>
          <w:tcPr>
            <w:tcW w:w="30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General &amp; administrative</w:t>
            </w:r>
          </w:p>
        </w:tc>
        <w:tc>
          <w:tcPr>
            <w:tcW w:w="20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206" w:type="dxa"/>
            <w:tcBorders/>
            <w:vAlign w:val="center"/>
          </w:tcPr>
          <w:p>
            <w:pPr>
              <w:pStyle w:val="TableContents"/>
              <w:bidi w:val="0"/>
              <w:spacing w:before="0" w:after="0"/>
              <w:ind w:left="0" w:right="0" w:hanging="0"/>
              <w:jc w:val="right"/>
              <w:rPr/>
            </w:pPr>
            <w:r>
              <w:rPr/>
              <w:t>​</w:t>
            </w:r>
          </w:p>
        </w:tc>
        <w:tc>
          <w:tcPr>
            <w:tcW w:w="417" w:type="dxa"/>
            <w:tcBorders/>
            <w:vAlign w:val="center"/>
          </w:tcPr>
          <w:p>
            <w:pPr>
              <w:pStyle w:val="TableContents"/>
              <w:bidi w:val="0"/>
              <w:spacing w:before="0" w:after="0"/>
              <w:ind w:left="0" w:right="0" w:hanging="0"/>
              <w:jc w:val="right"/>
              <w:rPr/>
            </w:pPr>
            <w:r>
              <w:rPr/>
              <w:t>​</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20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w:t>
            </w:r>
          </w:p>
        </w:tc>
        <w:tc>
          <w:tcPr>
            <w:tcW w:w="12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30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Depreciation and amortization</w:t>
            </w:r>
          </w:p>
        </w:tc>
        <w:tc>
          <w:tcPr>
            <w:tcW w:w="20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 </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206" w:type="dxa"/>
            <w:tcBorders/>
            <w:shd w:fill="CCEEFF" w:val="clear"/>
            <w:vAlign w:val="center"/>
          </w:tcPr>
          <w:p>
            <w:pPr>
              <w:pStyle w:val="TableContents"/>
              <w:bidi w:val="0"/>
              <w:spacing w:before="0" w:after="0"/>
              <w:ind w:left="0" w:right="0" w:hanging="0"/>
              <w:jc w:val="right"/>
              <w:rPr/>
            </w:pPr>
            <w:r>
              <w:rPr/>
              <w:t>​</w:t>
            </w:r>
          </w:p>
        </w:tc>
        <w:tc>
          <w:tcPr>
            <w:tcW w:w="417" w:type="dxa"/>
            <w:tcBorders/>
            <w:shd w:fill="CCEEFF" w:val="clear"/>
            <w:vAlign w:val="center"/>
          </w:tcPr>
          <w:p>
            <w:pPr>
              <w:pStyle w:val="TableContents"/>
              <w:bidi w:val="0"/>
              <w:spacing w:before="0" w:after="0"/>
              <w:ind w:left="0" w:right="0" w:hanging="0"/>
              <w:jc w:val="right"/>
              <w:rPr/>
            </w:pPr>
            <w:r>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20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12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30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Interest expense</w:t>
            </w:r>
          </w:p>
        </w:tc>
        <w:tc>
          <w:tcPr>
            <w:tcW w:w="20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06" w:type="dxa"/>
            <w:tcBorders/>
            <w:vAlign w:val="center"/>
          </w:tcPr>
          <w:p>
            <w:pPr>
              <w:pStyle w:val="TableContents"/>
              <w:bidi w:val="0"/>
              <w:spacing w:before="0" w:after="0"/>
              <w:ind w:left="0" w:right="0" w:hanging="0"/>
              <w:jc w:val="right"/>
              <w:rPr/>
            </w:pPr>
            <w:r>
              <w:rPr/>
              <w:t>​</w:t>
            </w:r>
          </w:p>
        </w:tc>
        <w:tc>
          <w:tcPr>
            <w:tcW w:w="417" w:type="dxa"/>
            <w:tcBorders/>
            <w:vAlign w:val="center"/>
          </w:tcPr>
          <w:p>
            <w:pPr>
              <w:pStyle w:val="TableContents"/>
              <w:bidi w:val="0"/>
              <w:spacing w:before="0" w:after="0"/>
              <w:ind w:left="0" w:right="0" w:hanging="0"/>
              <w:jc w:val="right"/>
              <w:rPr/>
            </w:pPr>
            <w:r>
              <w:rPr/>
              <w:t>​</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w:t>
            </w:r>
          </w:p>
        </w:tc>
        <w:tc>
          <w:tcPr>
            <w:tcW w:w="12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30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Closed-store reserve</w:t>
            </w:r>
          </w:p>
        </w:tc>
        <w:tc>
          <w:tcPr>
            <w:tcW w:w="206" w:type="dxa"/>
            <w:tcBorders/>
            <w:shd w:fill="CCEEFF" w:val="clear"/>
            <w:vAlign w:val="center"/>
          </w:tcPr>
          <w:p>
            <w:pPr>
              <w:pStyle w:val="TableContents"/>
              <w:bidi w:val="0"/>
              <w:spacing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206"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30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206" w:type="dxa"/>
            <w:tcBorders/>
            <w:vAlign w:val="center"/>
          </w:tcPr>
          <w:p>
            <w:pPr>
              <w:pStyle w:val="TableContents"/>
              <w:bidi w:val="0"/>
              <w:spacing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6,179</w:t>
            </w:r>
          </w:p>
        </w:tc>
        <w:tc>
          <w:tcPr>
            <w:tcW w:w="206" w:type="dxa"/>
            <w:tcBorders/>
            <w:vAlign w:val="center"/>
          </w:tcPr>
          <w:p>
            <w:pPr>
              <w:pStyle w:val="TableContents"/>
              <w:bidi w:val="0"/>
              <w:spacing w:before="0" w:after="0"/>
              <w:ind w:left="0" w:right="0" w:hanging="0"/>
              <w:jc w:val="right"/>
              <w:rPr/>
            </w:pPr>
            <w:r>
              <w:rPr/>
              <w:t>​</w:t>
            </w:r>
          </w:p>
        </w:tc>
        <w:tc>
          <w:tcPr>
            <w:tcW w:w="4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6,153</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18,583</w:t>
            </w:r>
          </w:p>
        </w:tc>
        <w:tc>
          <w:tcPr>
            <w:tcW w:w="20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18,207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thirty-nine weeks ended September 27, 2023 and September 28, 2022, the Company had the following cash and non-cash activities associated with its leases (dollars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94"/>
        <w:gridCol w:w="206"/>
        <w:gridCol w:w="211"/>
        <w:gridCol w:w="650"/>
        <w:gridCol w:w="358"/>
        <w:gridCol w:w="281"/>
        <w:gridCol w:w="605"/>
        <w:gridCol w:w="358"/>
        <w:gridCol w:w="211"/>
        <w:gridCol w:w="650"/>
        <w:gridCol w:w="206"/>
        <w:gridCol w:w="211"/>
        <w:gridCol w:w="649"/>
        <w:gridCol w:w="357"/>
        <w:gridCol w:w="281"/>
        <w:gridCol w:w="605"/>
        <w:gridCol w:w="357"/>
        <w:gridCol w:w="211"/>
        <w:gridCol w:w="704"/>
      </w:tblGrid>
      <w:tr>
        <w:trPr/>
        <w:tc>
          <w:tcPr>
            <w:tcW w:w="3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964690" cy="175260"/>
                      <wp:effectExtent l="0" t="0" r="0" b="0"/>
                      <wp:wrapNone/>
                      <wp:docPr id="397" name="Frame397"/>
                      <a:graphic xmlns:a="http://schemas.openxmlformats.org/drawingml/2006/main">
                        <a:graphicData uri="http://schemas.microsoft.com/office/word/2010/wordprocessingShape">
                          <wps:wsp>
                            <wps:cNvSpPr txBox="1"/>
                            <wps:spPr>
                              <a:xfrm>
                                <a:off x="0" y="0"/>
                                <a:ext cx="1964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0810" cy="175260"/>
                      <wp:effectExtent l="0" t="0" r="0" b="0"/>
                      <wp:wrapNone/>
                      <wp:docPr id="398" name="Frame39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99"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412750" cy="175260"/>
                      <wp:effectExtent l="0" t="0" r="0" b="0"/>
                      <wp:wrapNone/>
                      <wp:docPr id="400" name="Frame400"/>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27330" cy="175260"/>
                      <wp:effectExtent l="0" t="0" r="0" b="0"/>
                      <wp:wrapNone/>
                      <wp:docPr id="401" name="Frame401"/>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78435" cy="175260"/>
                      <wp:effectExtent l="0" t="0" r="0" b="0"/>
                      <wp:wrapNone/>
                      <wp:docPr id="402" name="Frame40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384175" cy="175260"/>
                      <wp:effectExtent l="0" t="0" r="0" b="0"/>
                      <wp:wrapNone/>
                      <wp:docPr id="403" name="Frame403"/>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27330" cy="175260"/>
                      <wp:effectExtent l="0" t="0" r="0" b="0"/>
                      <wp:wrapNone/>
                      <wp:docPr id="404" name="Frame404"/>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3985" cy="175260"/>
                      <wp:effectExtent l="0" t="0" r="0" b="0"/>
                      <wp:wrapNone/>
                      <wp:docPr id="405" name="Frame4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12750" cy="175260"/>
                      <wp:effectExtent l="0" t="0" r="0" b="0"/>
                      <wp:wrapNone/>
                      <wp:docPr id="406" name="Frame406"/>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0810" cy="175260"/>
                      <wp:effectExtent l="0" t="0" r="0" b="0"/>
                      <wp:wrapNone/>
                      <wp:docPr id="407" name="Frame40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3985" cy="175260"/>
                      <wp:effectExtent l="0" t="0" r="0" b="0"/>
                      <wp:wrapNone/>
                      <wp:docPr id="408" name="Frame4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12115" cy="175260"/>
                      <wp:effectExtent l="0" t="0" r="0" b="0"/>
                      <wp:wrapNone/>
                      <wp:docPr id="409" name="Frame409"/>
                      <a:graphic xmlns:a="http://schemas.openxmlformats.org/drawingml/2006/main">
                        <a:graphicData uri="http://schemas.microsoft.com/office/word/2010/wordprocessingShape">
                          <wps:wsp>
                            <wps:cNvSpPr txBox="1"/>
                            <wps:spPr>
                              <a:xfrm>
                                <a:off x="0" y="0"/>
                                <a:ext cx="412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26695" cy="175260"/>
                      <wp:effectExtent l="0" t="0" r="0" b="0"/>
                      <wp:wrapNone/>
                      <wp:docPr id="410" name="Frame410"/>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78435" cy="175260"/>
                      <wp:effectExtent l="0" t="0" r="0" b="0"/>
                      <wp:wrapNone/>
                      <wp:docPr id="411" name="Frame41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384175" cy="175260"/>
                      <wp:effectExtent l="0" t="0" r="0" b="0"/>
                      <wp:wrapNone/>
                      <wp:docPr id="412" name="Frame412"/>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26695" cy="175260"/>
                      <wp:effectExtent l="0" t="0" r="0" b="0"/>
                      <wp:wrapNone/>
                      <wp:docPr id="413" name="Frame413"/>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3985" cy="175260"/>
                      <wp:effectExtent l="0" t="0" r="0" b="0"/>
                      <wp:wrapNone/>
                      <wp:docPr id="414" name="Frame4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447040" cy="175260"/>
                      <wp:effectExtent l="0" t="0" r="0" b="0"/>
                      <wp:wrapNone/>
                      <wp:docPr id="415" name="Frame415"/>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32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 September 27, 2023</w:t>
            </w:r>
          </w:p>
        </w:tc>
        <w:tc>
          <w:tcPr>
            <w:tcW w:w="206" w:type="dxa"/>
            <w:tcBorders/>
            <w:vAlign w:val="center"/>
          </w:tcPr>
          <w:p>
            <w:pPr>
              <w:pStyle w:val="TableContents"/>
              <w:bidi w:val="0"/>
              <w:spacing w:before="0" w:after="0"/>
              <w:ind w:left="0" w:right="0" w:hanging="0"/>
              <w:jc w:val="center"/>
              <w:rPr/>
            </w:pPr>
            <w:r>
              <w:rPr/>
              <w:t>​</w:t>
            </w:r>
          </w:p>
        </w:tc>
        <w:tc>
          <w:tcPr>
            <w:tcW w:w="337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 September 28, 2022</w:t>
            </w:r>
          </w:p>
        </w:tc>
      </w:tr>
      <w:tr>
        <w:trPr/>
        <w:tc>
          <w:tcPr>
            <w:tcW w:w="309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8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358"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58"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  </w:t>
            </w:r>
          </w:p>
        </w:tc>
        <w:tc>
          <w:tcPr>
            <w:tcW w:w="8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357"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57"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04" w:type="dxa"/>
            <w:tcBorders/>
            <w:vAlign w:val="center"/>
          </w:tcPr>
          <w:p>
            <w:pPr>
              <w:pStyle w:val="TableContents"/>
              <w:bidi w:val="0"/>
              <w:spacing w:before="0" w:after="0"/>
              <w:ind w:left="0" w:right="0" w:hanging="0"/>
              <w:jc w:val="center"/>
              <w:rPr/>
            </w:pPr>
            <w:r>
              <w:rPr/>
              <w:t>​</w:t>
            </w:r>
          </w:p>
        </w:tc>
      </w:tr>
      <w:tr>
        <w:trPr/>
        <w:tc>
          <w:tcPr>
            <w:tcW w:w="309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58"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58" w:type="dxa"/>
            <w:tcBorders/>
            <w:vAlign w:val="center"/>
          </w:tcPr>
          <w:p>
            <w:pPr>
              <w:pStyle w:val="TableContents"/>
              <w:bidi w:val="0"/>
              <w:spacing w:before="0" w:after="0"/>
              <w:ind w:left="0" w:right="0" w:hanging="0"/>
              <w:jc w:val="left"/>
              <w:rPr/>
            </w:pPr>
            <w:r>
              <w:rPr/>
              <w:t>​</w:t>
            </w:r>
          </w:p>
        </w:tc>
        <w:tc>
          <w:tcPr>
            <w:tcW w:w="8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06" w:type="dxa"/>
            <w:tcBorders/>
            <w:vAlign w:val="center"/>
          </w:tcPr>
          <w:p>
            <w:pPr>
              <w:pStyle w:val="TableContents"/>
              <w:bidi w:val="0"/>
              <w:spacing w:before="0" w:after="0"/>
              <w:ind w:left="0" w:right="0" w:hanging="0"/>
              <w:jc w:val="center"/>
              <w:rPr/>
            </w:pPr>
            <w:r>
              <w:rPr/>
              <w:t>​</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57"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57" w:type="dxa"/>
            <w:tcBorders/>
            <w:vAlign w:val="center"/>
          </w:tcPr>
          <w:p>
            <w:pPr>
              <w:pStyle w:val="TableContents"/>
              <w:bidi w:val="0"/>
              <w:spacing w:before="0" w:after="0"/>
              <w:ind w:left="0" w:right="0" w:hanging="0"/>
              <w:jc w:val="center"/>
              <w:rPr/>
            </w:pPr>
            <w:r>
              <w:rPr/>
              <w:t>​</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9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paid for amounts included in the measurement of lease liabilities</w:t>
            </w:r>
          </w:p>
        </w:tc>
        <w:tc>
          <w:tcPr>
            <w:tcW w:w="20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  </w:t>
            </w:r>
          </w:p>
        </w:tc>
        <w:tc>
          <w:tcPr>
            <w:tcW w:w="358"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  </w:t>
            </w:r>
          </w:p>
        </w:tc>
        <w:tc>
          <w:tcPr>
            <w:tcW w:w="358"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49"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left"/>
              <w:rPr/>
            </w:pPr>
            <w:r>
              <w:rPr/>
              <w:t>​</w:t>
            </w:r>
          </w:p>
        </w:tc>
      </w:tr>
      <w:tr>
        <w:trPr/>
        <w:tc>
          <w:tcPr>
            <w:tcW w:w="30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cash flows used for operating leases</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20,797</w:t>
            </w:r>
          </w:p>
        </w:tc>
        <w:tc>
          <w:tcPr>
            <w:tcW w:w="358"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w:t>
            </w:r>
          </w:p>
        </w:tc>
        <w:tc>
          <w:tcPr>
            <w:tcW w:w="358"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21,094</w:t>
            </w:r>
          </w:p>
        </w:tc>
        <w:tc>
          <w:tcPr>
            <w:tcW w:w="20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20,364</w:t>
            </w:r>
          </w:p>
        </w:tc>
        <w:tc>
          <w:tcPr>
            <w:tcW w:w="357"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737</w:t>
            </w:r>
          </w:p>
        </w:tc>
        <w:tc>
          <w:tcPr>
            <w:tcW w:w="3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21,101</w:t>
            </w:r>
          </w:p>
        </w:tc>
      </w:tr>
      <w:tr>
        <w:trPr/>
        <w:tc>
          <w:tcPr>
            <w:tcW w:w="30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Financing cash flows used for finance leases</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c>
          <w:tcPr>
            <w:tcW w:w="358"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358"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20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57"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357"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r>
      <w:tr>
        <w:trPr/>
        <w:tc>
          <w:tcPr>
            <w:tcW w:w="309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49" w:type="dxa"/>
            <w:tcBorders/>
            <w:vAlign w:val="center"/>
          </w:tcPr>
          <w:p>
            <w:pPr>
              <w:pStyle w:val="TableContents"/>
              <w:bidi w:val="0"/>
              <w:spacing w:before="0" w:after="0"/>
              <w:ind w:left="0" w:right="0" w:hanging="0"/>
              <w:jc w:val="right"/>
              <w:rPr/>
            </w:pPr>
            <w:r>
              <w:rPr/>
              <w:t>​</w:t>
            </w:r>
          </w:p>
        </w:tc>
        <w:tc>
          <w:tcPr>
            <w:tcW w:w="357"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right"/>
              <w:rPr/>
            </w:pPr>
            <w:r>
              <w:rPr/>
              <w:t>​</w:t>
            </w:r>
          </w:p>
        </w:tc>
        <w:tc>
          <w:tcPr>
            <w:tcW w:w="605" w:type="dxa"/>
            <w:tcBorders/>
            <w:vAlign w:val="center"/>
          </w:tcPr>
          <w:p>
            <w:pPr>
              <w:pStyle w:val="TableContents"/>
              <w:bidi w:val="0"/>
              <w:spacing w:before="0" w:after="0"/>
              <w:ind w:left="0" w:right="0" w:hanging="0"/>
              <w:jc w:val="right"/>
              <w:rPr/>
            </w:pPr>
            <w:r>
              <w:rPr/>
              <w:t>​</w:t>
            </w:r>
          </w:p>
        </w:tc>
        <w:tc>
          <w:tcPr>
            <w:tcW w:w="3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left"/>
              <w:rPr/>
            </w:pPr>
            <w:r>
              <w:rPr/>
              <w:t>​</w:t>
            </w:r>
          </w:p>
        </w:tc>
      </w:tr>
      <w:tr>
        <w:trPr/>
        <w:tc>
          <w:tcPr>
            <w:tcW w:w="309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Non-cash investing and financing activities:</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  </w:t>
            </w:r>
          </w:p>
        </w:tc>
        <w:tc>
          <w:tcPr>
            <w:tcW w:w="358"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t>  </w:t>
            </w:r>
          </w:p>
        </w:tc>
        <w:tc>
          <w:tcPr>
            <w:tcW w:w="358"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  </w:t>
            </w:r>
          </w:p>
        </w:tc>
        <w:tc>
          <w:tcPr>
            <w:tcW w:w="20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49" w:type="dxa"/>
            <w:tcBorders/>
            <w:shd w:fill="CCEEFF" w:val="clear"/>
            <w:vAlign w:val="center"/>
          </w:tcPr>
          <w:p>
            <w:pPr>
              <w:pStyle w:val="TableContents"/>
              <w:bidi w:val="0"/>
              <w:spacing w:before="0" w:after="0"/>
              <w:ind w:left="0" w:right="0" w:hanging="0"/>
              <w:jc w:val="right"/>
              <w:rPr/>
            </w:pPr>
            <w:r>
              <w:rPr/>
              <w:t>​</w:t>
            </w:r>
          </w:p>
        </w:tc>
        <w:tc>
          <w:tcPr>
            <w:tcW w:w="357"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righ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357"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left"/>
              <w:rPr/>
            </w:pPr>
            <w:r>
              <w:rPr/>
              <w:t>​</w:t>
            </w:r>
          </w:p>
        </w:tc>
      </w:tr>
      <w:tr>
        <w:trPr/>
        <w:tc>
          <w:tcPr>
            <w:tcW w:w="30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ROU assets obtained in exchange for lease liabilities:</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  </w:t>
            </w:r>
          </w:p>
        </w:tc>
        <w:tc>
          <w:tcPr>
            <w:tcW w:w="358"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pPr>
            <w:r>
              <w:rPr/>
              <w:t>  </w:t>
            </w:r>
          </w:p>
        </w:tc>
        <w:tc>
          <w:tcPr>
            <w:tcW w:w="358"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49" w:type="dxa"/>
            <w:tcBorders/>
            <w:vAlign w:val="center"/>
          </w:tcPr>
          <w:p>
            <w:pPr>
              <w:pStyle w:val="TableContents"/>
              <w:bidi w:val="0"/>
              <w:spacing w:before="0" w:after="0"/>
              <w:ind w:left="0" w:right="0" w:hanging="0"/>
              <w:jc w:val="right"/>
              <w:rPr/>
            </w:pPr>
            <w:r>
              <w:rPr/>
              <w:t>​</w:t>
            </w:r>
          </w:p>
        </w:tc>
        <w:tc>
          <w:tcPr>
            <w:tcW w:w="357"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right"/>
              <w:rPr/>
            </w:pPr>
            <w:r>
              <w:rPr/>
              <w:t>​</w:t>
            </w:r>
          </w:p>
        </w:tc>
        <w:tc>
          <w:tcPr>
            <w:tcW w:w="605" w:type="dxa"/>
            <w:tcBorders/>
            <w:vAlign w:val="center"/>
          </w:tcPr>
          <w:p>
            <w:pPr>
              <w:pStyle w:val="TableContents"/>
              <w:bidi w:val="0"/>
              <w:spacing w:before="0" w:after="0"/>
              <w:ind w:left="0" w:right="0" w:hanging="0"/>
              <w:jc w:val="right"/>
              <w:rPr/>
            </w:pPr>
            <w:r>
              <w:rPr/>
              <w:t>​</w:t>
            </w:r>
          </w:p>
        </w:tc>
        <w:tc>
          <w:tcPr>
            <w:tcW w:w="3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left"/>
              <w:rPr/>
            </w:pPr>
            <w:r>
              <w:rPr/>
              <w:t>​</w:t>
            </w:r>
          </w:p>
        </w:tc>
      </w:tr>
      <w:tr>
        <w:trPr/>
        <w:tc>
          <w:tcPr>
            <w:tcW w:w="30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ROU assets</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15,445</w:t>
            </w:r>
          </w:p>
        </w:tc>
        <w:tc>
          <w:tcPr>
            <w:tcW w:w="358"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c>
          <w:tcPr>
            <w:tcW w:w="358"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15,499</w:t>
            </w:r>
          </w:p>
        </w:tc>
        <w:tc>
          <w:tcPr>
            <w:tcW w:w="20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10,486</w:t>
            </w:r>
          </w:p>
        </w:tc>
        <w:tc>
          <w:tcPr>
            <w:tcW w:w="357"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c>
          <w:tcPr>
            <w:tcW w:w="357"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10,572</w:t>
            </w:r>
          </w:p>
        </w:tc>
      </w:tr>
      <w:tr>
        <w:trPr/>
        <w:tc>
          <w:tcPr>
            <w:tcW w:w="30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ROU assets obtained in exchange for lease liabilities:</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49" w:type="dxa"/>
            <w:tcBorders/>
            <w:vAlign w:val="center"/>
          </w:tcPr>
          <w:p>
            <w:pPr>
              <w:pStyle w:val="TableContents"/>
              <w:bidi w:val="0"/>
              <w:spacing w:before="0" w:after="0"/>
              <w:ind w:left="0" w:right="0" w:hanging="0"/>
              <w:jc w:val="right"/>
              <w:rPr/>
            </w:pPr>
            <w:r>
              <w:rPr/>
              <w:t>​</w:t>
            </w:r>
          </w:p>
        </w:tc>
        <w:tc>
          <w:tcPr>
            <w:tcW w:w="357"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right"/>
              <w:rPr/>
            </w:pPr>
            <w:r>
              <w:rPr/>
              <w:t>​</w:t>
            </w:r>
          </w:p>
        </w:tc>
        <w:tc>
          <w:tcPr>
            <w:tcW w:w="605" w:type="dxa"/>
            <w:tcBorders/>
            <w:vAlign w:val="center"/>
          </w:tcPr>
          <w:p>
            <w:pPr>
              <w:pStyle w:val="TableContents"/>
              <w:bidi w:val="0"/>
              <w:spacing w:before="0" w:after="0"/>
              <w:ind w:left="0" w:right="0" w:hanging="0"/>
              <w:jc w:val="right"/>
              <w:rPr/>
            </w:pPr>
            <w:r>
              <w:rPr/>
              <w:t>​</w:t>
            </w:r>
          </w:p>
        </w:tc>
        <w:tc>
          <w:tcPr>
            <w:tcW w:w="3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pPr>
            <w:r>
              <w:rPr/>
              <w:t>​</w:t>
            </w:r>
          </w:p>
        </w:tc>
      </w:tr>
      <w:tr>
        <w:trPr/>
        <w:tc>
          <w:tcPr>
            <w:tcW w:w="30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ROU assets</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9" w:type="dxa"/>
            <w:tcBorders/>
            <w:shd w:fill="CCEEFF" w:val="clear"/>
            <w:vAlign w:val="center"/>
          </w:tcPr>
          <w:p>
            <w:pPr>
              <w:pStyle w:val="TableContents"/>
              <w:bidi w:val="0"/>
              <w:spacing w:before="0" w:after="0"/>
              <w:ind w:left="0" w:right="0" w:hanging="0"/>
              <w:jc w:val="right"/>
              <w:rPr/>
            </w:pPr>
            <w:r>
              <w:rPr/>
              <w:t>—</w:t>
            </w:r>
          </w:p>
        </w:tc>
        <w:tc>
          <w:tcPr>
            <w:tcW w:w="357"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357"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r>
      <w:tr>
        <w:trPr/>
        <w:tc>
          <w:tcPr>
            <w:tcW w:w="30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Derecognition of ROU assets due to terminations, impairment or modifications</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358"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58"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20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357"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35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w:t>
            </w:r>
          </w:p>
        </w:tc>
      </w:tr>
      <w:tr>
        <w:trPr/>
        <w:tc>
          <w:tcPr>
            <w:tcW w:w="3094"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49" w:type="dxa"/>
            <w:tcBorders/>
            <w:shd w:fill="CCEEFF" w:val="clear"/>
            <w:vAlign w:val="center"/>
          </w:tcPr>
          <w:p>
            <w:pPr>
              <w:pStyle w:val="TableContents"/>
              <w:bidi w:val="0"/>
              <w:spacing w:before="0" w:after="0"/>
              <w:ind w:left="0" w:right="0" w:hanging="0"/>
              <w:jc w:val="right"/>
              <w:rPr/>
            </w:pPr>
            <w:r>
              <w:rPr/>
              <w:t>​</w:t>
            </w:r>
          </w:p>
        </w:tc>
        <w:tc>
          <w:tcPr>
            <w:tcW w:w="357"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righ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357"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left"/>
              <w:rPr/>
            </w:pPr>
            <w:r>
              <w:rPr/>
              <w:t>​</w:t>
            </w:r>
          </w:p>
        </w:tc>
      </w:tr>
      <w:tr>
        <w:trPr/>
        <w:tc>
          <w:tcPr>
            <w:tcW w:w="309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Information</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  </w:t>
            </w:r>
          </w:p>
        </w:tc>
        <w:tc>
          <w:tcPr>
            <w:tcW w:w="358"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pPr>
            <w:r>
              <w:rPr/>
              <w:t>  </w:t>
            </w:r>
          </w:p>
        </w:tc>
        <w:tc>
          <w:tcPr>
            <w:tcW w:w="358"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left"/>
              <w:rPr/>
            </w:pPr>
            <w:r>
              <w:rPr/>
              <w:t>​</w:t>
            </w:r>
          </w:p>
        </w:tc>
      </w:tr>
      <w:tr>
        <w:trPr/>
        <w:tc>
          <w:tcPr>
            <w:tcW w:w="30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remaining years in lease term—finance leases</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17.12</w:t>
            </w:r>
          </w:p>
        </w:tc>
        <w:tc>
          <w:tcPr>
            <w:tcW w:w="358"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w:t>
            </w:r>
          </w:p>
        </w:tc>
        <w:tc>
          <w:tcPr>
            <w:tcW w:w="358"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18.12</w:t>
            </w:r>
          </w:p>
        </w:tc>
        <w:tc>
          <w:tcPr>
            <w:tcW w:w="357"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w:t>
            </w:r>
          </w:p>
        </w:tc>
        <w:tc>
          <w:tcPr>
            <w:tcW w:w="357"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left"/>
              <w:rPr/>
            </w:pPr>
            <w:r>
              <w:rPr/>
              <w:t>​</w:t>
            </w:r>
          </w:p>
        </w:tc>
      </w:tr>
      <w:tr>
        <w:trPr/>
        <w:tc>
          <w:tcPr>
            <w:tcW w:w="30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remaining years in lease term—operating leases</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10.56</w:t>
            </w:r>
          </w:p>
        </w:tc>
        <w:tc>
          <w:tcPr>
            <w:tcW w:w="358"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w:t>
            </w:r>
          </w:p>
        </w:tc>
        <w:tc>
          <w:tcPr>
            <w:tcW w:w="358"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10.91</w:t>
            </w:r>
          </w:p>
        </w:tc>
        <w:tc>
          <w:tcPr>
            <w:tcW w:w="357"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w:t>
            </w:r>
          </w:p>
        </w:tc>
        <w:tc>
          <w:tcPr>
            <w:tcW w:w="35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left"/>
              <w:rPr/>
            </w:pPr>
            <w:r>
              <w:rPr/>
              <w:t>​</w:t>
            </w:r>
          </w:p>
        </w:tc>
      </w:tr>
      <w:tr>
        <w:trPr/>
        <w:tc>
          <w:tcPr>
            <w:tcW w:w="30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discount rate—finance leases</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81"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left"/>
              <w:rPr/>
            </w:pPr>
            <w:r>
              <w:rPr/>
              <w:t>​</w:t>
            </w:r>
          </w:p>
        </w:tc>
      </w:tr>
      <w:tr>
        <w:trPr/>
        <w:tc>
          <w:tcPr>
            <w:tcW w:w="30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discount rate—operating leases</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w:t>
            </w:r>
          </w:p>
        </w:tc>
        <w:tc>
          <w:tcPr>
            <w:tcW w:w="35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81"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4.45</w:t>
            </w:r>
          </w:p>
        </w:tc>
        <w:tc>
          <w:tcPr>
            <w:tcW w:w="35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11"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4.49</w:t>
            </w:r>
          </w:p>
        </w:tc>
        <w:tc>
          <w:tcPr>
            <w:tcW w:w="35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81"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w:t>
            </w:r>
          </w:p>
        </w:tc>
        <w:tc>
          <w:tcPr>
            <w:tcW w:w="35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11"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531" w:name="_12aab2c4_46ac_4b42_ac70_fccc8f66bd4a_4"/>
      <w:bookmarkStart w:id="1532" w:name="_12aab2c4_46ac_4b42_ac70_fccc8f66bd4a_3"/>
      <w:bookmarkStart w:id="1533" w:name="_12aab2c4_46ac_4b42_ac70_fccc8f66bd4a_2"/>
      <w:bookmarkStart w:id="1534" w:name="_12aab2c4_46ac_4b42_ac70_fccc8f66bd4a"/>
      <w:bookmarkStart w:id="1535" w:name="Tc_mJaOFWk72Eq16A7SZFIe9Q_15_5"/>
      <w:bookmarkStart w:id="1536" w:name="Tc_FS2XMFqjqE-huuTQQoAp-A_15_2"/>
      <w:bookmarkStart w:id="1537" w:name="Tc_gHPjkqOfrku53zHPtAg0CQ_15_0"/>
      <w:bookmarkStart w:id="1538" w:name="Tc_cxspIU6ZKUSNjXYZpTHaQA_14_0"/>
      <w:bookmarkStart w:id="1539" w:name="Tc_u0csW2GW7k207TW0x4XI_Q_13_0"/>
      <w:bookmarkStart w:id="1540" w:name="Tc_BcHuUBIPAUOAH5g2EIGTDw_12_0"/>
      <w:bookmarkStart w:id="1541" w:name="Tc_yKaL_-2f9kG3pOcXU_-LKw_11_8"/>
      <w:bookmarkStart w:id="1542" w:name="Tc_iDPTBUNhyEmz4Lwv-jrm0A_11_5"/>
      <w:bookmarkStart w:id="1543" w:name="Tc_i-vnpJm1bkK-jKdt53WZuQ_11_2"/>
      <w:bookmarkStart w:id="1544" w:name="Tc_bdTaa9OwYESABsR1kniDVw_11_0"/>
      <w:bookmarkStart w:id="1545" w:name="Tc_0F7GXDAY70SR9GTRhpdTpg_10_0"/>
      <w:bookmarkStart w:id="1546" w:name="Tc_w1FJ0fLmcUiVeUmgwp-t8A_9_0"/>
      <w:bookmarkStart w:id="1547" w:name="Tc_LQBUa9VXMU2MoSXvXr6quA_8_0"/>
      <w:bookmarkStart w:id="1548" w:name="Tc_oltd7AnH8EqJ23pzsvz6Bw_7_0"/>
      <w:bookmarkStart w:id="1549" w:name="Tc_zUwdoETaI0yglySxu3NaXw_6_0"/>
      <w:bookmarkStart w:id="1550" w:name="Tc_6_aQFsQIvkGYWgiqX7qz0A_5_8"/>
      <w:bookmarkStart w:id="1551" w:name="Tc_TPq2a8WOe0q_yMvosycF-w_5_5"/>
      <w:bookmarkStart w:id="1552" w:name="Tc_l0HY06P_d0ujvNwaZeqdLA_5_2"/>
      <w:bookmarkStart w:id="1553" w:name="Tc_NvWIxPLnsEa1khpgx5qn1g_5_0"/>
      <w:bookmarkStart w:id="1554" w:name="Tc__hxxzKhdfUusOlQK5BIuDQ_4_8"/>
      <w:bookmarkStart w:id="1555" w:name="Tc_HeQ2pycAd0mfH2tusBSObA_4_5"/>
      <w:bookmarkStart w:id="1556" w:name="Tc_54Ou1FYnYk2yjzkpat_11g_4_2"/>
      <w:bookmarkStart w:id="1557" w:name="Tc_99kaRdUZmUS1_qmr85HqPQ_4_0"/>
      <w:bookmarkStart w:id="1558" w:name="Tc_FXuU88M5fEGH0PUDBS0qpw_3_8"/>
      <w:bookmarkStart w:id="1559" w:name="Tc_H0u4tn0y-EakJUxdc7C6iw_3_5"/>
      <w:bookmarkStart w:id="1560" w:name="Tc_cgQd49YUUkayeiihvCX1ag_3_2"/>
      <w:bookmarkStart w:id="1561" w:name="Tc_Hj64wommjU-O9LAD4PNPnQ_2_8"/>
      <w:bookmarkStart w:id="1562" w:name="Tc_NerPAD8vQ0G72IGlPYUv8Q_2_5"/>
      <w:bookmarkStart w:id="1563" w:name="Tc_dnqBwrzVxkCb4H1UwqwKsA_2_2"/>
      <w:bookmarkStart w:id="1564" w:name="Tc_c783U_C6MUGiT1_cXLxajQ_1_5"/>
      <w:bookmarkStart w:id="1565" w:name="Tc_4i3y_399rEWbWupWNkA_6Q_1_2"/>
      <w:bookmarkStart w:id="1566" w:name="_65affca2_7bf7_434d_86ca_b717bae683ac"/>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r>
        <w:rPr>
          <w:rFonts w:ascii="Times New Roman;Times;serif" w:hAnsi="Times New Roman;Times;serif"/>
          <w:sz w:val="20"/>
        </w:rPr>
        <w:t>Information regarding the Company’s minimum future lease obligations as of September 27, 2023 is as follows (in thousands):</w:t>
      </w:r>
    </w:p>
    <w:p>
      <w:pPr>
        <w:pStyle w:val="TextBody"/>
        <w:bidi w:val="0"/>
        <w:spacing w:before="0" w:after="240"/>
        <w:ind w:left="0" w:right="0" w:hanging="0"/>
        <w:jc w:val="left"/>
        <w:rPr/>
      </w:pPr>
      <w:r>
        <w:rPr/>
        <w:t>​</w:t>
      </w:r>
    </w:p>
    <w:tbl>
      <w:tblPr>
        <w:tblW w:w="7373" w:type="dxa"/>
        <w:jc w:val="left"/>
        <w:tblInd w:w="0" w:type="dxa"/>
        <w:tblLayout w:type="fixed"/>
        <w:tblCellMar>
          <w:top w:w="0" w:type="dxa"/>
          <w:left w:w="0" w:type="dxa"/>
          <w:bottom w:w="0" w:type="dxa"/>
          <w:right w:w="0" w:type="dxa"/>
        </w:tblCellMar>
      </w:tblPr>
      <w:tblGrid>
        <w:gridCol w:w="3271"/>
        <w:gridCol w:w="326"/>
        <w:gridCol w:w="320"/>
        <w:gridCol w:w="865"/>
        <w:gridCol w:w="326"/>
        <w:gridCol w:w="211"/>
        <w:gridCol w:w="796"/>
        <w:gridCol w:w="326"/>
        <w:gridCol w:w="211"/>
        <w:gridCol w:w="72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7085" cy="175260"/>
                      <wp:effectExtent l="0" t="0" r="0" b="0"/>
                      <wp:wrapNone/>
                      <wp:docPr id="416" name="Frame416"/>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7"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3200" cy="175260"/>
                      <wp:effectExtent l="0" t="0" r="0" b="0"/>
                      <wp:wrapNone/>
                      <wp:docPr id="418" name="Frame418"/>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549275" cy="175260"/>
                      <wp:effectExtent l="0" t="0" r="0" b="0"/>
                      <wp:wrapNone/>
                      <wp:docPr id="419" name="Frame419"/>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3985" cy="175260"/>
                      <wp:effectExtent l="0" t="0" r="0" b="0"/>
                      <wp:wrapNone/>
                      <wp:docPr id="421" name="Frame4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505460" cy="175260"/>
                      <wp:effectExtent l="0" t="0" r="0" b="0"/>
                      <wp:wrapNone/>
                      <wp:docPr id="422" name="Frame4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7010" cy="175260"/>
                      <wp:effectExtent l="0" t="0" r="0" b="0"/>
                      <wp:wrapNone/>
                      <wp:docPr id="423" name="Frame4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3985" cy="175260"/>
                      <wp:effectExtent l="0" t="0" r="0" b="0"/>
                      <wp:wrapNone/>
                      <wp:docPr id="424" name="Frame4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57835" cy="175260"/>
                      <wp:effectExtent l="0" t="0" r="0" b="0"/>
                      <wp:wrapNone/>
                      <wp:docPr id="425" name="Frame42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 Leases</w:t>
            </w:r>
          </w:p>
        </w:tc>
        <w:tc>
          <w:tcPr>
            <w:tcW w:w="326" w:type="dxa"/>
            <w:tcBorders/>
            <w:vAlign w:val="center"/>
          </w:tcPr>
          <w:p>
            <w:pPr>
              <w:pStyle w:val="TableContents"/>
              <w:bidi w:val="0"/>
              <w:spacing w:before="0" w:after="1"/>
              <w:ind w:left="0" w:right="0" w:hanging="0"/>
              <w:jc w:val="left"/>
              <w:rPr/>
            </w:pPr>
            <w:r>
              <w:rPr/>
              <w:t>​</w:t>
            </w:r>
          </w:p>
        </w:tc>
        <w:tc>
          <w:tcPr>
            <w:tcW w:w="22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r>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Minimum</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Minimum</w:t>
            </w:r>
          </w:p>
        </w:tc>
        <w:tc>
          <w:tcPr>
            <w:tcW w:w="326" w:type="dxa"/>
            <w:tcBorders/>
            <w:vAlign w:val="center"/>
          </w:tcPr>
          <w:p>
            <w:pPr>
              <w:pStyle w:val="TableContents"/>
              <w:bidi w:val="0"/>
              <w:spacing w:before="0" w:after="1"/>
              <w:ind w:left="0" w:right="0" w:hanging="0"/>
              <w:jc w:val="left"/>
              <w:rPr/>
            </w:pPr>
            <w:r>
              <w:rPr/>
              <w:t>    </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Minimum</w:t>
            </w:r>
          </w:p>
        </w:tc>
      </w:tr>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26"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Sublease</w:t>
            </w:r>
          </w:p>
        </w:tc>
      </w:tr>
      <w:tr>
        <w:trPr/>
        <w:tc>
          <w:tcPr>
            <w:tcW w:w="32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the Years Ending</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w:t>
            </w:r>
          </w:p>
        </w:tc>
        <w:tc>
          <w:tcPr>
            <w:tcW w:w="326" w:type="dxa"/>
            <w:tcBorders/>
            <w:vAlign w:val="center"/>
          </w:tcPr>
          <w:p>
            <w:pPr>
              <w:pStyle w:val="TableContents"/>
              <w:bidi w:val="0"/>
              <w:spacing w:before="0" w:after="1"/>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27, 2023</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25, 2024</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27,867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4,041</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3,653</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30, 2026</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23,778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3,289</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29, 2027</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3,239</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134,298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21,645</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241,456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36,888</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 (1.53% - 4.85%)</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(55,167)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186,289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maturities</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Short-Term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multiple short-term leases, which have terms of less than 12 months, and thus were excluded from the recognition requirements of Topic 842. The Company has recognized these lease payments in its condensed consolidated statements of income on a straight-line basis over the lease term and variable lease payments in the period in which the obligation for those payments was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Lessor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is a lessor for certain property, facilities and equipment owned by the Company and leased to others, principally franchisees, under non-cancelable leases with initial terms ranging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20 years. These lease agreements generally provide for a fixed base rent and, in some instances, contingent rent based on a percentage of gross operating profit or net revenues. All leases are considered operating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received $0.1 million of lease income from company-owned locations for each of the thirteen weeks ended September 27, 2023 and September 28, 2022. The Company received $0.2 million and $0.3 million of lease income from company-owned locations for the thirty-nine weeks ended September 27, 2023 and September 28, 2022, respectively.</w:t>
      </w:r>
    </w:p>
    <w:p>
      <w:pPr>
        <w:pStyle w:val="TextBody"/>
        <w:bidi w:val="0"/>
        <w:spacing w:before="0" w:after="24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12. SHAREHOLDER RIGHTS AGREEMENT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8, 2023, the Company’s Board of Directors declared a dividend of one preferred share purchase right (a “Right”) for each share of common stock, par value $0.01 per share, of the Company (the “Common Shares”) outstanding on August 18, 2023 to the stockholders of record on that date. In connection with the distribution of the Rights, the Company entered into a Rights Agreement (the “Rights Agreement”), dated as of August 8, 2023, between the Company and Equiniti Trust Company, LLC, as rights agent. Each Right entitles the registered holder to purchase from the Company one </w:t>
      </w:r>
      <w:r>
        <w:rPr>
          <w:rFonts w:ascii="Times New Roman;Times;serif" w:hAnsi="Times New Roman;Times;serif"/>
          <w:b w:val="false"/>
          <w:i w:val="false"/>
          <w:caps w:val="false"/>
          <w:smallCaps w:val="false"/>
          <w:sz w:val="20"/>
        </w:rPr>
        <w:t>one-thousandth</w:t>
      </w:r>
      <w:r>
        <w:rPr>
          <w:rFonts w:ascii="Times New Roman;Times;serif" w:hAnsi="Times New Roman;Times;serif"/>
          <w:sz w:val="20"/>
        </w:rPr>
        <w:t xml:space="preserve"> of a share of Series A Preferred Stock, par value $0.01 per share, of the Company (the “Preferred Shares”) at a price of $53.75 per one </w:t>
      </w:r>
      <w:r>
        <w:rPr>
          <w:rFonts w:ascii="Times New Roman;Times;serif" w:hAnsi="Times New Roman;Times;serif"/>
          <w:b w:val="false"/>
          <w:i w:val="false"/>
          <w:caps w:val="false"/>
          <w:smallCaps w:val="false"/>
          <w:sz w:val="20"/>
        </w:rPr>
        <w:t>one-thousandth</w:t>
      </w:r>
      <w:r>
        <w:rPr>
          <w:rFonts w:ascii="Times New Roman;Times;serif" w:hAnsi="Times New Roman;Times;serif"/>
          <w:sz w:val="20"/>
        </w:rPr>
        <w:t xml:space="preserve"> of a Preferred Share represented by a Right, subject to adjustment.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Under the Rights Agreement, the Rights will generally be exercisable only in the event that a person or group of affiliated or associated persons (such person or group being an “Acquiring Person”), other than certain exempt persons, acquires (or commences a tender offer or exchange offer the consummation of which would result in) beneficial ownership of 12.5% or more of the outstanding Common Shares. In such case (with certain limited exceptions), each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holder of a Right (other than the Acquiring Person, whose Rights shall become void) will have the right to receive, upon exercise at the then current exercise price of the Right, Common Shares (or, if the Board so elects, cash, securities, or other property) having a value equal to two times the exercise price of the Right.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 any time after any person or group becomes an Acquiring Person, the Board may exchange the Rights at an exchange ratio of one Common Share per Right (subject to adjustment).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at any time after a person or group becomes an Acquiring Person, (i) the Company engages in a consolidation or merger and, in connection there with all or part of the Common Shares are or will be changed into or exchanged for stock or other securities of any other person or cash or any other property; or (ii) 50% or more of the Company’s consolidated assets or earning power are sold, then each holder of a Right will thereafter have the right to receive, upon exercise at the then current exercise price of the Right, that number of shares of common stock of the acquiring company having a market value of two times the exercise price of the Right.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any time prior to the time any person or group becomes an Acquiring Person, the Board may redeem the Rights at a price of $0.001 per Right (the “Redemption Price”). Immediately upon any redemption of the Rights, the right to exercise the Rights will terminate and the only right of the holders of Rights will be to receive the Redemption Price.</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Until a Right is exercised, the holder thereof, as such, will have no rights as a stockholder of the Company, including, without limitation, the right to vote or to receive dividends. The Rights will expire at the close of business on August 7, 2024.</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67" w:name="Item2ManagementsDiscussionandAnalysisofF"/>
      <w:bookmarkStart w:id="1568" w:name="_16ce871f_efdc_46ec_87f9_50bb6d0ac700"/>
      <w:bookmarkEnd w:id="1567"/>
      <w:bookmarkEnd w:id="1568"/>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Cautionary Statement Concerning 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economic or other business conditions that may affect the desire or ability of our customers to purchase our products such as inflationary pressures, high unemployment levels, increases in gas prices, and declines in median income growth, consumer confidence and consumer discretionary spending;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open new restaurants in new and existing markets, including difficulty in finding sites and in negotiating acceptable leases;</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successfully with other quick-service and fast casual restaurants;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vulnerability to changes in political and economic conditions and consumer preferences;</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develop, assimilate and retain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vulnerability to conditions in the greater Los Angeles area and to natural disasters given the geographic concentration and real estate intensive nature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impacts of the uncertainty regarding a potential resurgence of COVID-19 or </w:t>
            </w:r>
            <w:r>
              <w:rPr>
                <w:rFonts w:ascii="Times New Roman;Times;serif" w:hAnsi="Times New Roman;Times;serif"/>
                <w:b w:val="false"/>
                <w:i w:val="false"/>
                <w:caps w:val="false"/>
                <w:smallCaps w:val="false"/>
                <w:sz w:val="20"/>
                <w:shd w:fill="FFFFFF" w:val="clear"/>
              </w:rPr>
              <w:t>another pandemic, epidemic or infectious disease outbreak</w:t>
            </w:r>
            <w:r>
              <w:rPr>
                <w:caps w:val="false"/>
                <w:smallCaps w:val="false"/>
              </w:rPr>
              <w:t xml:space="preserve"> </w:t>
            </w:r>
            <w:r>
              <w:rPr>
                <w:rFonts w:ascii="Times New Roman;Times;serif" w:hAnsi="Times New Roman;Times;serif"/>
                <w:b w:val="false"/>
                <w:i w:val="false"/>
                <w:caps w:val="false"/>
                <w:smallCaps w:val="false"/>
                <w:sz w:val="20"/>
              </w:rPr>
              <w:t xml:space="preserve">on our company, our employees, our customers, our partners, our industry and the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489" w:type="dxa"/>
        <w:jc w:val="left"/>
        <w:tblInd w:w="0" w:type="dxa"/>
        <w:tblLayout w:type="fixed"/>
        <w:tblCellMar>
          <w:top w:w="28" w:type="dxa"/>
          <w:left w:w="28" w:type="dxa"/>
          <w:bottom w:w="28" w:type="dxa"/>
          <w:right w:w="28" w:type="dxa"/>
        </w:tblCellMar>
      </w:tblPr>
      <w:tblGrid>
        <w:gridCol w:w="124"/>
        <w:gridCol w:w="109"/>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economy as a whole, as well as our franchisees’ ability to operate their individual restaurants without disruption;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possibility that we may continue to incur significant impairment of certain of our assets, in particular in our new markets; </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food and supply costs, especially for chicken, labor, construction and utilities;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media and negative publicity, whether or not valid, and our ability to respond to and effectively manage the accelerated impact of social media;</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expand our digital business, delivery orders and catering;</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 about food safety and quality and about food-borne illness;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frequent and timely deliveries of food and supplies;</w:t>
            </w:r>
          </w:p>
        </w:tc>
      </w:tr>
    </w:tbl>
    <w:tbl>
      <w:tblPr>
        <w:tblW w:w="4356" w:type="dxa"/>
        <w:jc w:val="left"/>
        <w:tblInd w:w="0" w:type="dxa"/>
        <w:tblLayout w:type="fixed"/>
        <w:tblCellMar>
          <w:top w:w="28" w:type="dxa"/>
          <w:left w:w="28" w:type="dxa"/>
          <w:bottom w:w="28" w:type="dxa"/>
          <w:right w:w="28" w:type="dxa"/>
        </w:tblCellMar>
      </w:tblPr>
      <w:tblGrid>
        <w:gridCol w:w="124"/>
        <w:gridCol w:w="256"/>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service our level of indebtedness;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related to the success of our marketing programs, new menu items, advertising campaigns and restaurant designs and remodels;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the economic environment, including inflation and increased labor and supply costs, which may affect our franchisees, with adverse consequences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control over our franchisees and potential deterioration of our relations with existing or potential franchisees;</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potential exposure to unexpected costs and losses from our self-insurance programs;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obligations under long-term and non-cancelable leases, and our ability to renew leases at the end of their terms;</w:t>
            </w:r>
          </w:p>
        </w:tc>
      </w:tr>
    </w:tbl>
    <w:p>
      <w:pPr>
        <w:pStyle w:val="Normal"/>
        <w:bidi w:val="0"/>
        <w:spacing w:before="0" w:after="0"/>
        <w:jc w:val="left"/>
        <w:rPr>
          <w:sz w:val="4"/>
          <w:szCs w:val="4"/>
        </w:rPr>
      </w:pPr>
      <w:r>
        <w:rPr>
          <w:sz w:val="4"/>
          <w:szCs w:val="4"/>
        </w:rPr>
      </w:r>
      <w:bookmarkStart w:id="1569" w:name="_Hlk148698869"/>
      <w:bookmarkStart w:id="1570" w:name="_Hlk148698869"/>
      <w:bookmarkEnd w:id="1570"/>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w:t>
            </w:r>
            <w:r>
              <w:rPr>
                <w:caps w:val="false"/>
                <w:smallCaps w:val="false"/>
              </w:rPr>
              <w:t xml:space="preserve"> </w:t>
            </w:r>
            <w:r>
              <w:rPr>
                <w:rFonts w:ascii="Times New Roman;Times;serif" w:hAnsi="Times New Roman;Times;serif"/>
                <w:b w:val="false"/>
                <w:i w:val="false"/>
                <w:caps w:val="false"/>
                <w:smallCaps w:val="false"/>
                <w:sz w:val="20"/>
              </w:rPr>
              <w:t>possibility that Delaware law, our organizational documents, our shareholder rights agreement, and our existing and future debt agreements may impede or discourage a takeover;</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shareholder activism on our expenses, business and stock price;</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failure of our information technology system or any breach of our network security;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security breaches on our ability to protect our customers’ payment method data or personal information;</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enforce and maintain our trademarks and protect our other proprietary intellectual property;</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government regulation and litigation, including employment and labor laws;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set forth in our filings with the SEC from time to time, including under Item 1A, Risk Factors in our annual report on Form 10-K for the year ended December 28, 2022, which filings are available online at www.sec.gov.</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pStyle w:val="TextBody"/>
        <w:bidi w:val="0"/>
        <w:spacing w:before="0" w:after="240"/>
        <w:ind w:left="0" w:right="0" w:hanging="0"/>
        <w:jc w:val="left"/>
        <w:rPr>
          <w:rFonts w:ascii="Times New Roman;Times;serif" w:hAnsi="Times New Roman;Times;serif"/>
          <w:b/>
          <w:sz w:val="20"/>
        </w:rPr>
      </w:pPr>
      <w:bookmarkStart w:id="1571" w:name="_e64bf735_555b_4b6b_935c_07768f54adde"/>
      <w:bookmarkEnd w:id="1571"/>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El Pollo Loco is a differentiated and growing restaurant concept that specializes in fire-grilling citrus-marinated chicken and operates in the limited service restaurant segment. We strive to offer food that integrates the culinary traditions of Mexico with the healthier lifestyle.” Our distinctive menu features our signature product--citrus-marinated fire-grilled chicken--and a variety of Mexican and LA-inspired entrees that we create from our chicken. We serve individual and family-sized chicken meals, a variety of Mexican and LA-inspired entrees, and sides, and, throughout the year, on a limited-time basis, additional proteins like beef.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We believe that our distinctive menu with better for you and more affordable alternatives appeals to consumers across a wide variety of socio-economic backgrounds and drives our balanced composition of sales throughout the day (our “day-part mix”), including at lunch and dinner.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Trends and Uncertainties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On September 28, 2023, Governor Newsom signed AB 1228 into law, which will repeal and replace the Fast Food Accountability and Standards Recovery Act (FAST Act) on January 1, 2024 if a referendum seeking repeal of the FAST Act is withdrawn prior to that date. The FAST Act was previously signed into law in September 2022 and would have, among other things, established a council to set minimum wage standards for industry workers in California. In connection with the adoption of AB 1228, the proponents of the referendum seeking repeal of the FAST Act indicated their agreement to withdraw the referendum. If AB 1228 becomes effective January 1, 2024, the minimum wage at fast food restaurants that are part of brands which have more than 60 establishments nationwide will rise to $20 an hour on April 1, 2024, and a Fast Food Council created by AB 1228 will have limited power to approve annual wage increases until 2029. Under the law, the Fast Food Council will also have the power to develop and propose minimum standards for fast food workers, including standards for working hours, working conditions, and health and safety. As a result of AB 1228, we expect our labor and regulatory compliance costs will increase beginning in fiscal 2024 and that our results of operations and profitability will be adversely affected if we are not able to implement other measures to counter these increased costs.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experienced inflationary pressures affecting our operations in certain areas such as food cost, labor costs, construction costs and utility costs. We have also experienced temporary shortages in food, equipment and other goods, as well as an increase in freights costs, due in part to supply chain impacts of overall economic conditions in the markets in which we operate. We have been able to substantially offset these inflationary and other cost pressures through various actions, such as increasing menu prices, managing menu mix, and productivity improvements. However, we expect these inflationary and other cost pressures to continue throughout the remainder of fiscal year 2023 and we may not be able to offset cost increases in the future.</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Growth Strategies and Outlook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27, 2023, we had 492 locations in seven states. In fiscal 2022, we opened four new company-operated restaurants, two in Nevada and two in California, and our franchisees opened nine new restaurants, seven in California, one in Colorado and one in Utah. For the thirty-nine weeks ended September 27, 2023, we opened one new company-operated in Nevada and our franchisees opened one new restaurant in California. We plan to continue to expand our business, drive restaurant sales growth, and enhance our competitive positioning, by executing the following strategies:</w:t>
      </w:r>
    </w:p>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embed our unique El Pollo Loco culture</w:t>
            </w:r>
            <w:r>
              <w:rPr>
                <w:rFonts w:ascii="Times New Roman;Times;serif" w:hAnsi="Times New Roman;Times;serif"/>
                <w:b w:val="false"/>
                <w:i w:val="false"/>
                <w:caps w:val="false"/>
                <w:smallCaps w:val="false"/>
                <w:sz w:val="20"/>
              </w:rPr>
              <w:t>;</w:t>
            </w:r>
          </w:p>
        </w:tc>
      </w:tr>
    </w:tbl>
    <w:tbl>
      <w:tblPr>
        <w:tblW w:w="3321" w:type="dxa"/>
        <w:jc w:val="left"/>
        <w:tblInd w:w="0" w:type="dxa"/>
        <w:tblLayout w:type="fixed"/>
        <w:tblCellMar>
          <w:top w:w="28" w:type="dxa"/>
          <w:left w:w="28" w:type="dxa"/>
          <w:bottom w:w="28" w:type="dxa"/>
          <w:right w:w="28" w:type="dxa"/>
        </w:tblCellMar>
      </w:tblPr>
      <w:tblGrid>
        <w:gridCol w:w="124"/>
        <w:gridCol w:w="256"/>
        <w:gridCol w:w="2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build awareness and own our lane;</w:t>
            </w:r>
          </w:p>
        </w:tc>
      </w:tr>
    </w:tbl>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deliver exceptional service – profitably; and</w:t>
            </w:r>
          </w:p>
        </w:tc>
      </w:tr>
    </w:tbl>
    <w:tbl>
      <w:tblPr>
        <w:tblW w:w="2496" w:type="dxa"/>
        <w:jc w:val="left"/>
        <w:tblInd w:w="0" w:type="dxa"/>
        <w:tblLayout w:type="fixed"/>
        <w:tblCellMar>
          <w:top w:w="28" w:type="dxa"/>
          <w:left w:w="28" w:type="dxa"/>
          <w:bottom w:w="28" w:type="dxa"/>
          <w:right w:w="28" w:type="dxa"/>
        </w:tblCellMar>
      </w:tblPr>
      <w:tblGrid>
        <w:gridCol w:w="124"/>
        <w:gridCol w:w="256"/>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accelerate development.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To increase comparable restaurant sales, we plan to increase customer frequency, attract new customers, and improve per-person spend.</w:t>
      </w:r>
      <w:r>
        <w:rPr>
          <w:rFonts w:ascii="Times New Roman;Times;serif" w:hAnsi="Times New Roman;Times;serif"/>
          <w:sz w:val="20"/>
        </w:rPr>
        <w:t xml:space="preserve"> The success of these growth plans is not guaranteed.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Highlights and Trends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Comparable Restaurant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thirteen weeks ended September 27, 2023, system-wide comparable restaurant sales increased by 0.8% from the comparable period in the prior year. For the thirty-nine weeks ended September 27, 2023, system-wide comparable restaurant sales decreased by 0.7%</w:t>
      </w:r>
      <w:r>
        <w:rPr>
          <w:rFonts w:ascii="Times New Roman;Times;serif" w:hAnsi="Times New Roman;Times;serif"/>
          <w:sz w:val="20"/>
          <w:shd w:fill="FFFFFF" w:val="clear"/>
        </w:rPr>
        <w:t xml:space="preserve"> </w:t>
      </w:r>
      <w:r>
        <w:rPr>
          <w:rFonts w:ascii="Times New Roman;Times;serif" w:hAnsi="Times New Roman;Times;serif"/>
          <w:sz w:val="20"/>
        </w:rPr>
        <w:t xml:space="preserve">from the comparable period in the prior year. For company-operated restaurants, comparable restaurant sales for the thirteen and thirty-nine weeks ended September 27, 2023 increased by 0.3% and 0.5%, respectively. For company-operated restaurants, the quarter’s change in comparable restaurant sales consisted of a 1.3% increase in average check size, partially offset by a 0.9% decrease in transactions, </w:t>
      </w:r>
      <w:r>
        <w:rPr>
          <w:rFonts w:ascii="Times New Roman;Times;serif" w:hAnsi="Times New Roman;Times;serif"/>
          <w:sz w:val="20"/>
          <w:shd w:fill="FFFFFF" w:val="clear"/>
        </w:rPr>
        <w:t>and the year-to-date change in comparable restaurant sales consisted of a 3.2% increase in average check size, partially offset by a 2.6% decrease in transactions</w:t>
      </w:r>
      <w:r>
        <w:rPr>
          <w:rFonts w:ascii="Times New Roman;Times;serif" w:hAnsi="Times New Roman;Times;serif"/>
          <w:sz w:val="20"/>
        </w:rPr>
        <w:t>. For franchised restaurants, comparable restaurant sales increased 1.1% and decreased 1.4% for the thirteen and thirty-nine weeks ended September 27, 2023, respectively. Refer to Comparable Restaurant Sales definition in “Key Performance Indicators” section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Restaurant Development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restaurant counts at the beginning and end of each of the last three fiscal years and the thirty-nine weeks ended September 27, 2023, were as follows:</w:t>
      </w:r>
    </w:p>
    <w:p>
      <w:pPr>
        <w:pStyle w:val="TextBody"/>
        <w:bidi w:val="0"/>
        <w:spacing w:before="0" w:after="240"/>
        <w:ind w:left="0" w:right="0" w:hanging="0"/>
        <w:jc w:val="left"/>
        <w:rPr/>
      </w:pPr>
      <w:r>
        <w:rPr/>
        <w:t>​</w:t>
      </w:r>
    </w:p>
    <w:tbl>
      <w:tblPr>
        <w:tblW w:w="8164" w:type="dxa"/>
        <w:jc w:val="left"/>
        <w:tblInd w:w="0" w:type="dxa"/>
        <w:tblLayout w:type="fixed"/>
        <w:tblCellMar>
          <w:top w:w="0" w:type="dxa"/>
          <w:left w:w="0" w:type="dxa"/>
          <w:bottom w:w="0" w:type="dxa"/>
          <w:right w:w="0" w:type="dxa"/>
        </w:tblCellMar>
      </w:tblPr>
      <w:tblGrid>
        <w:gridCol w:w="3436"/>
        <w:gridCol w:w="326"/>
        <w:gridCol w:w="1966"/>
        <w:gridCol w:w="326"/>
        <w:gridCol w:w="466"/>
        <w:gridCol w:w="326"/>
        <w:gridCol w:w="466"/>
        <w:gridCol w:w="326"/>
        <w:gridCol w:w="526"/>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81860" cy="175260"/>
                      <wp:effectExtent l="0" t="0" r="0" b="0"/>
                      <wp:wrapNone/>
                      <wp:docPr id="426" name="Frame426"/>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248410" cy="175260"/>
                      <wp:effectExtent l="0" t="0" r="0" b="0"/>
                      <wp:wrapNone/>
                      <wp:docPr id="428" name="Frame428"/>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9" name="Frame4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95910" cy="175260"/>
                      <wp:effectExtent l="0" t="0" r="0" b="0"/>
                      <wp:wrapNone/>
                      <wp:docPr id="430" name="Frame43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95910" cy="175260"/>
                      <wp:effectExtent l="0" t="0" r="0" b="0"/>
                      <wp:wrapNone/>
                      <wp:docPr id="432" name="Frame43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334010" cy="175260"/>
                      <wp:effectExtent l="0" t="0" r="0" b="0"/>
                      <wp:wrapNone/>
                      <wp:docPr id="434" name="Frame43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326" w:type="dxa"/>
            <w:tcBorders/>
            <w:vAlign w:val="center"/>
          </w:tcPr>
          <w:p>
            <w:pPr>
              <w:pStyle w:val="TableContents"/>
              <w:bidi w:val="0"/>
              <w:spacing w:before="0" w:after="0"/>
              <w:ind w:left="0" w:right="0" w:hanging="0"/>
              <w:jc w:val="center"/>
              <w:rPr/>
            </w:pPr>
            <w:r>
              <w:rPr/>
              <w:t>    </w:t>
            </w:r>
          </w:p>
        </w:tc>
        <w:tc>
          <w:tcPr>
            <w:tcW w:w="21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Ended</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26"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Company-operated restaurant activity:</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  </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Openings</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sale to franchisee</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Closures</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Franchised restaurant activity:</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  </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Openings</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sale to franchisee</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Closures</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System-wide restaurant activity:</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  </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Openings</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Closures</w:t>
            </w:r>
          </w:p>
        </w:tc>
        <w:tc>
          <w:tcPr>
            <w:tcW w:w="326" w:type="dxa"/>
            <w:tcBorders/>
            <w:vAlign w:val="center"/>
          </w:tcPr>
          <w:p>
            <w:pPr>
              <w:pStyle w:val="TableContents"/>
              <w:bidi w:val="0"/>
              <w:spacing w:before="0" w:after="0"/>
              <w:ind w:left="0" w:right="0" w:hanging="0"/>
              <w:jc w:val="left"/>
              <w:rPr/>
            </w:pPr>
            <w:r>
              <w:rPr/>
              <w:t>​</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Restaurant Remodeling</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During the thirty-nine weeks ended September 27, 2023, we completed 12 company-operated restaurant remodels and 21 franchise remodels. In fiscal 2023, we plan to continue our standard practices for remodels, which includes completing a total of 14-15 company and 28-32 franchise remodels. The cost of our restaurant remodels varies depending on the scope of the work required, but on average the investment is $0.3 million to $0.4 million per restaurant.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Loco Rewards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Loco Rewards loyalty program offers rewards that incentivize customers to visit our restaurants more often each month. Customers earn points for each dollar spent and points can be redeemed for multiple redemption options. If a customer does not earn or use points within a one-year period, their account is deactivated and all points expire.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on a pro-rata basis, based on stand-alone selling price, as determined by menu pricing and loyalty point’s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September 27, 2023 and December 28, 2022, the revenue allocated to loyalty points that had not been redeemed was $0.6 million and $0.5 million</w:t>
      </w:r>
      <w:r>
        <w:rPr>
          <w:rFonts w:ascii="Times New Roman;Times;serif" w:hAnsi="Times New Roman;Times;serif"/>
          <w:sz w:val="20"/>
          <w:shd w:fill="FFFFFF" w:val="clear"/>
        </w:rPr>
        <w:t>,</w:t>
      </w:r>
      <w:r>
        <w:rPr>
          <w:rFonts w:ascii="Times New Roman;Times;serif" w:hAnsi="Times New Roman;Times;serif"/>
          <w:sz w:val="20"/>
        </w:rPr>
        <w:t xml:space="preserve"> respectively, which is reflected in our accompanying condensed consolidated balance sheets within other accrued expenses and current liabilities. We had over 3.6 million loyalty program members as of September 27,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preparation of our condensed consolidated financial statements in accordance with U.S. generally accepted accounting principles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making judgments about the carrying value of assets and liabilities that are not readily available from other sources. We evaluate our estimates on an on-going basis. Actual results may differ from these estimates under different assumptions or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Accounting policies are an integral part of our condensed consolidated financial statements. A thorough understanding of these accounting policies is essential when reviewing our reported results of operations and our financial position. Management believes that our critical accounting policies and estimates involve the most difficult management judgments, due to the sensitivity of the methods and assumptions used. For a summary of our critical accounting policies and a discussion of our use of estimates, see “Critical Accounting Policies and Estimates” in Item 7, “Management’s Discussion and Analysis of Financial Condition and Results of Operations” in our annual report on Form 10-K for the year ended December 28,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material changes to our critical accounting policies or uses of estimates since our annual report on Form 10-K for the year ended December 28,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Financial Definitions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revenue is derived from three primary sources: company-operated restaurant revenue, franchise revenue, which is comprised primarily of franchise royalties and, to a lesser extent, franchise fees and sublease rental income, and franchise advertising fee revenue. See Note 10, “Revenue from Contracts with Customers” </w:t>
      </w:r>
      <w:r>
        <w:rPr>
          <w:rFonts w:ascii="Times New Roman;Times;serif" w:hAnsi="Times New Roman;Times;serif"/>
          <w:sz w:val="20"/>
          <w:shd w:fill="FFFFFF" w:val="clear"/>
        </w:rPr>
        <w:t>in the Notes to Condensed Consolidated Financial Statements</w:t>
      </w:r>
      <w:r>
        <w:rPr>
          <w:rFonts w:ascii="Times New Roman;Times;serif" w:hAnsi="Times New Roman;Times;serif"/>
          <w:sz w:val="20"/>
        </w:rPr>
        <w:t xml:space="preserve"> above for further details regarding our revenue recognition policy.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Food and Paper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Labor and Related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state labor laws (which, in California, may include AB 1228), overtime, wage inflation, the frequency and severity of workers’ compensation claims, health care costs, and the performance of our restaurants.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Occupancy Costs and Other Operating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Occupancy costs include rent, common area maintenance (“CAM”), and real estate taxes. Other restaurant operating expenses include the costs of utilities, advertising, credit card processing fees, restaurant supplies, repairs and maintenance, and other restaurant operating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Franchise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Franchise expenses are primarily comprised of rent expenses incurred on properties leased by us and then sublet to franchisees, expenses incurred in support of franchisee information technology systems, and the franchisee’s portion of advertising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 and Amortization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Depreciation and amortization primarily consists of the depreciation of property and equipment, including leasehold improvements and equipment.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 on Disposal of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Loss on disposal of assets includes the loss on disposal of assets related to retirements and replacement or write-off of leasehold improvements or equipment.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and Closed-Store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review long-lived assets such as property, equipment, and intangibles on a unit-by-unit basis for impairment when events or circumstances indicate the carrying value of the assets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asset’s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 we close a restaurant, we will evaluate the right of use (“ROU”) asset for impairment, based on anticipated sublease recoveries. The remaining value of the ROU asset is amortized on a straight-line basis, with the expense recognized in closed-store reserve expense, in addition to property tax and CAM charges for closed restaurants.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net, consists primarily of interest on our outstanding debt. Debt issuance costs are amortized at cost over the life of the related debt.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Provision for income taxes consists of federal and state taxes on our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72" w:name="_562563bb_eb78_46a0_8024_8db8a068093e"/>
      <w:bookmarkEnd w:id="1572"/>
      <w:r>
        <w:rPr>
          <w:rFonts w:ascii="Times New Roman;Times;serif" w:hAnsi="Times New Roman;Times;serif"/>
          <w:b/>
          <w:sz w:val="20"/>
        </w:rPr>
        <w:t>Comparison of Results of Operations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Our operating results for the thirteen weeks ended September 27, 2023 and September 28, 2022 and expressed as percentages of total revenue, with the exception of cost of operations and company restaurant expenses, which are expressed as percentages of company-operated restaurant revenue, are compared in the tables below.</w:t>
      </w:r>
    </w:p>
    <w:tbl>
      <w:tblPr>
        <w:tblW w:w="10205" w:type="dxa"/>
        <w:jc w:val="left"/>
        <w:tblInd w:w="0" w:type="dxa"/>
        <w:tblLayout w:type="fixed"/>
        <w:tblCellMar>
          <w:top w:w="0" w:type="dxa"/>
          <w:left w:w="0" w:type="dxa"/>
          <w:bottom w:w="0" w:type="dxa"/>
          <w:right w:w="0" w:type="dxa"/>
        </w:tblCellMar>
      </w:tblPr>
      <w:tblGrid>
        <w:gridCol w:w="3473"/>
        <w:gridCol w:w="326"/>
        <w:gridCol w:w="211"/>
        <w:gridCol w:w="781"/>
        <w:gridCol w:w="326"/>
        <w:gridCol w:w="571"/>
        <w:gridCol w:w="326"/>
        <w:gridCol w:w="211"/>
        <w:gridCol w:w="781"/>
        <w:gridCol w:w="326"/>
        <w:gridCol w:w="571"/>
        <w:gridCol w:w="326"/>
        <w:gridCol w:w="211"/>
        <w:gridCol w:w="672"/>
        <w:gridCol w:w="326"/>
        <w:gridCol w:w="767"/>
      </w:tblGrid>
      <w:tr>
        <w:trPr/>
        <w:tc>
          <w:tcPr>
            <w:tcW w:w="3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205355" cy="175260"/>
                      <wp:effectExtent l="0" t="0" r="0" b="0"/>
                      <wp:wrapNone/>
                      <wp:docPr id="435" name="Frame435"/>
                      <a:graphic xmlns:a="http://schemas.openxmlformats.org/drawingml/2006/main">
                        <a:graphicData uri="http://schemas.microsoft.com/office/word/2010/wordprocessingShape">
                          <wps:wsp>
                            <wps:cNvSpPr txBox="1"/>
                            <wps:spPr>
                              <a:xfrm>
                                <a:off x="0" y="0"/>
                                <a:ext cx="2205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6"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33985" cy="175260"/>
                      <wp:effectExtent l="0" t="0" r="0" b="0"/>
                      <wp:wrapNone/>
                      <wp:docPr id="437" name="Frame4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495935" cy="175260"/>
                      <wp:effectExtent l="0" t="0" r="0" b="0"/>
                      <wp:wrapNone/>
                      <wp:docPr id="438" name="Frame4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9"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362585" cy="175260"/>
                      <wp:effectExtent l="0" t="0" r="0" b="0"/>
                      <wp:wrapNone/>
                      <wp:docPr id="440" name="Frame44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41" name="Frame4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33985" cy="175260"/>
                      <wp:effectExtent l="0" t="0" r="0" b="0"/>
                      <wp:wrapNone/>
                      <wp:docPr id="442" name="Frame4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495935" cy="175260"/>
                      <wp:effectExtent l="0" t="0" r="0" b="0"/>
                      <wp:wrapNone/>
                      <wp:docPr id="443" name="Frame4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7010" cy="175260"/>
                      <wp:effectExtent l="0" t="0" r="0" b="0"/>
                      <wp:wrapNone/>
                      <wp:docPr id="444" name="Frame4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362585" cy="175260"/>
                      <wp:effectExtent l="0" t="0" r="0" b="0"/>
                      <wp:wrapNone/>
                      <wp:docPr id="445" name="Frame44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3985" cy="175260"/>
                      <wp:effectExtent l="0" t="0" r="0" b="0"/>
                      <wp:wrapNone/>
                      <wp:docPr id="447" name="Frame4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426720" cy="175260"/>
                      <wp:effectExtent l="0" t="0" r="0" b="0"/>
                      <wp:wrapNone/>
                      <wp:docPr id="448" name="Frame448"/>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7010" cy="175260"/>
                      <wp:effectExtent l="0" t="0" r="0" b="0"/>
                      <wp:wrapNone/>
                      <wp:docPr id="449"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487045" cy="175260"/>
                      <wp:effectExtent l="0" t="0" r="0" b="0"/>
                      <wp:wrapNone/>
                      <wp:docPr id="450" name="Frame450"/>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40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4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26" w:type="dxa"/>
            <w:tcBorders/>
            <w:vAlign w:val="center"/>
          </w:tcPr>
          <w:p>
            <w:pPr>
              <w:pStyle w:val="TableContents"/>
              <w:bidi w:val="0"/>
              <w:spacing w:before="0" w:after="0"/>
              <w:ind w:left="0" w:right="0" w:hanging="0"/>
              <w:jc w:val="center"/>
              <w:rPr/>
            </w:pPr>
            <w:r>
              <w:rPr/>
              <w:t>​</w:t>
            </w:r>
          </w:p>
        </w:tc>
        <w:tc>
          <w:tcPr>
            <w:tcW w:w="18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26" w:type="dxa"/>
            <w:tcBorders/>
            <w:vAlign w:val="center"/>
          </w:tcPr>
          <w:p>
            <w:pPr>
              <w:pStyle w:val="TableContents"/>
              <w:bidi w:val="0"/>
              <w:spacing w:before="0" w:after="0"/>
              <w:ind w:left="0" w:right="0" w:hanging="0"/>
              <w:jc w:val="center"/>
              <w:rPr/>
            </w:pPr>
            <w:r>
              <w:rPr/>
              <w:t>​</w:t>
            </w:r>
          </w:p>
        </w:tc>
        <w:tc>
          <w:tcPr>
            <w:tcW w:w="197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 (Decrease)</w:t>
            </w:r>
          </w:p>
        </w:tc>
      </w:tr>
      <w:tr>
        <w:trPr/>
        <w:tc>
          <w:tcPr>
            <w:tcW w:w="34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47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Statements of Income Data</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767" w:type="dxa"/>
            <w:tcBorders/>
            <w:shd w:fill="CCEEFF" w:val="clear"/>
            <w:vAlign w:val="center"/>
          </w:tcPr>
          <w:p>
            <w:pPr>
              <w:pStyle w:val="TableContents"/>
              <w:bidi w:val="0"/>
              <w:spacing w:before="0" w:after="0"/>
              <w:ind w:left="0" w:right="0" w:hanging="0"/>
              <w:jc w:val="center"/>
              <w:rPr/>
            </w:pPr>
            <w:r>
              <w:rPr/>
              <w:t>​</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Company-operated restaurant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102,703</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103,174</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32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34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10,255</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9,543</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7,441</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7,161</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47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120,399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119,878</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521</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0.4</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r>
      <w:tr>
        <w:trPr/>
        <w:tc>
          <w:tcPr>
            <w:tcW w:w="34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paper costs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27,552</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30,163</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(2,611)</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and related expenses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33,092</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33,279</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34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and other operating expenses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26,920</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 restaurant expenses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87,933</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90,362</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(2,429)</w:t>
            </w:r>
          </w:p>
        </w:tc>
        <w:tc>
          <w:tcPr>
            <w:tcW w:w="32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34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9,855</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9,583</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9,027</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32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34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3,946</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r>
      <w:tr>
        <w:trPr/>
        <w:tc>
          <w:tcPr>
            <w:tcW w:w="34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restaurants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(4,923)</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(4,923)</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w:t>
            </w:r>
          </w:p>
        </w:tc>
        <w:tc>
          <w:tcPr>
            <w:tcW w:w="326"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360.3</w:t>
            </w:r>
          </w:p>
        </w:tc>
      </w:tr>
      <w:tr>
        <w:trPr/>
        <w:tc>
          <w:tcPr>
            <w:tcW w:w="347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106,707</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113,014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(6,307)</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13,692</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6,864</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6,828</w:t>
            </w:r>
          </w:p>
        </w:tc>
        <w:tc>
          <w:tcPr>
            <w:tcW w:w="32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99.5</w:t>
            </w:r>
          </w:p>
        </w:tc>
      </w:tr>
      <w:tr>
        <w:trPr/>
        <w:tc>
          <w:tcPr>
            <w:tcW w:w="34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 of 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1,179.6</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 agreement expense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(465.5)</w:t>
            </w:r>
          </w:p>
        </w:tc>
      </w:tr>
      <w:tr>
        <w:trPr/>
        <w:tc>
          <w:tcPr>
            <w:tcW w:w="347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12,204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6,785</w:t>
            </w:r>
          </w:p>
        </w:tc>
        <w:tc>
          <w:tcPr>
            <w:tcW w:w="32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5,419</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79.9</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2,975</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w:t>
            </w:r>
          </w:p>
        </w:tc>
        <w:tc>
          <w:tcPr>
            <w:tcW w:w="326"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r>
      <w:tr>
        <w:trPr/>
        <w:tc>
          <w:tcPr>
            <w:tcW w:w="347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9,229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5,009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4,220</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84.2</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Percentages for line items relating to cost of operations and company restaurant expenses are calculated with company-operated restaurant revenue as the denominator. All other percentages use total revenue.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Our operating results for the thirty-nine weeks ended September 27, 2023 and September 28, 2022 and expressed as percentages of total revenue, with the exception of cost of operations and company restaurant expenses, which are expressed as a percentage of company-operated restaurant revenue, are compared below.</w:t>
      </w:r>
    </w:p>
    <w:tbl>
      <w:tblPr>
        <w:tblW w:w="10205" w:type="dxa"/>
        <w:jc w:val="left"/>
        <w:tblInd w:w="0" w:type="dxa"/>
        <w:tblLayout w:type="fixed"/>
        <w:tblCellMar>
          <w:top w:w="0" w:type="dxa"/>
          <w:left w:w="0" w:type="dxa"/>
          <w:bottom w:w="0" w:type="dxa"/>
          <w:right w:w="0" w:type="dxa"/>
        </w:tblCellMar>
      </w:tblPr>
      <w:tblGrid>
        <w:gridCol w:w="3529"/>
        <w:gridCol w:w="326"/>
        <w:gridCol w:w="211"/>
        <w:gridCol w:w="781"/>
        <w:gridCol w:w="326"/>
        <w:gridCol w:w="571"/>
        <w:gridCol w:w="326"/>
        <w:gridCol w:w="211"/>
        <w:gridCol w:w="781"/>
        <w:gridCol w:w="326"/>
        <w:gridCol w:w="571"/>
        <w:gridCol w:w="326"/>
        <w:gridCol w:w="211"/>
        <w:gridCol w:w="682"/>
        <w:gridCol w:w="326"/>
        <w:gridCol w:w="701"/>
      </w:tblGrid>
      <w:tr>
        <w:trPr/>
        <w:tc>
          <w:tcPr>
            <w:tcW w:w="3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240915" cy="175260"/>
                      <wp:effectExtent l="0" t="0" r="0" b="0"/>
                      <wp:wrapNone/>
                      <wp:docPr id="451" name="Frame451"/>
                      <a:graphic xmlns:a="http://schemas.openxmlformats.org/drawingml/2006/main">
                        <a:graphicData uri="http://schemas.microsoft.com/office/word/2010/wordprocessingShape">
                          <wps:wsp>
                            <wps:cNvSpPr txBox="1"/>
                            <wps:spPr>
                              <a:xfrm>
                                <a:off x="0" y="0"/>
                                <a:ext cx="2240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52" name="Frame4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3985" cy="175260"/>
                      <wp:effectExtent l="0" t="0" r="0" b="0"/>
                      <wp:wrapNone/>
                      <wp:docPr id="453" name="Frame4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95935" cy="175260"/>
                      <wp:effectExtent l="0" t="0" r="0" b="0"/>
                      <wp:wrapNone/>
                      <wp:docPr id="454" name="Frame4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5" name="Frame4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362585" cy="175260"/>
                      <wp:effectExtent l="0" t="0" r="0" b="0"/>
                      <wp:wrapNone/>
                      <wp:docPr id="456" name="Frame45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7" name="Frame4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58"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495935" cy="175260"/>
                      <wp:effectExtent l="0" t="0" r="0" b="0"/>
                      <wp:wrapNone/>
                      <wp:docPr id="459" name="Frame4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60" name="Frame4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362585" cy="175260"/>
                      <wp:effectExtent l="0" t="0" r="0" b="0"/>
                      <wp:wrapNone/>
                      <wp:docPr id="461" name="Frame46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2"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33985" cy="175260"/>
                      <wp:effectExtent l="0" t="0" r="0" b="0"/>
                      <wp:wrapNone/>
                      <wp:docPr id="463" name="Frame4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33070" cy="175260"/>
                      <wp:effectExtent l="0" t="0" r="0" b="0"/>
                      <wp:wrapNone/>
                      <wp:docPr id="464" name="Frame464"/>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5" name="Frame4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45135" cy="175260"/>
                      <wp:effectExtent l="0" t="0" r="0" b="0"/>
                      <wp:wrapNone/>
                      <wp:docPr id="466" name="Frame466"/>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35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Thirty-Nine Weeks Ended </w:t>
            </w:r>
          </w:p>
        </w:tc>
      </w:tr>
      <w:tr>
        <w:trPr/>
        <w:tc>
          <w:tcPr>
            <w:tcW w:w="35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26" w:type="dxa"/>
            <w:tcBorders/>
            <w:vAlign w:val="center"/>
          </w:tcPr>
          <w:p>
            <w:pPr>
              <w:pStyle w:val="TableContents"/>
              <w:bidi w:val="0"/>
              <w:spacing w:before="0" w:after="0"/>
              <w:ind w:left="0" w:right="0" w:hanging="0"/>
              <w:jc w:val="center"/>
              <w:rPr/>
            </w:pPr>
            <w:r>
              <w:rPr/>
              <w:t>​</w:t>
            </w:r>
          </w:p>
        </w:tc>
        <w:tc>
          <w:tcPr>
            <w:tcW w:w="18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26" w:type="dxa"/>
            <w:tcBorders/>
            <w:vAlign w:val="center"/>
          </w:tcPr>
          <w:p>
            <w:pPr>
              <w:pStyle w:val="TableContents"/>
              <w:bidi w:val="0"/>
              <w:spacing w:before="0" w:after="0"/>
              <w:ind w:left="0" w:right="0" w:hanging="0"/>
              <w:jc w:val="center"/>
              <w:rPr/>
            </w:pPr>
            <w:r>
              <w:rPr/>
              <w:t>​</w:t>
            </w:r>
          </w:p>
        </w:tc>
        <w:tc>
          <w:tcPr>
            <w:tcW w:w="192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 (Decrease)</w:t>
            </w:r>
          </w:p>
        </w:tc>
      </w:tr>
      <w:tr>
        <w:trPr/>
        <w:tc>
          <w:tcPr>
            <w:tcW w:w="35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52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Statements of Income Data</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8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701" w:type="dxa"/>
            <w:tcBorders/>
            <w:shd w:fill="CCEEFF" w:val="clear"/>
            <w:vAlign w:val="center"/>
          </w:tcPr>
          <w:p>
            <w:pPr>
              <w:pStyle w:val="TableContents"/>
              <w:bidi w:val="0"/>
              <w:spacing w:before="0" w:after="0"/>
              <w:ind w:left="0" w:right="0" w:hanging="0"/>
              <w:jc w:val="center"/>
              <w:rPr/>
            </w:pPr>
            <w:r>
              <w:rPr/>
              <w:t>​</w:t>
            </w:r>
          </w:p>
        </w:tc>
      </w:tr>
      <w:tr>
        <w:trPr/>
        <w:tc>
          <w:tcPr>
            <w:tcW w:w="3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Company-operated restaurant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304,477</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303,585</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w:t>
            </w:r>
          </w:p>
        </w:tc>
        <w:tc>
          <w:tcPr>
            <w:tcW w:w="32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3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30,046</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28,862</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w:t>
            </w:r>
          </w:p>
        </w:tc>
        <w:tc>
          <w:tcPr>
            <w:tcW w:w="326" w:type="dxa"/>
            <w:tcBorders/>
            <w:shd w:fill="CCEEFF" w:val="clear"/>
            <w:vAlign w:val="center"/>
          </w:tcPr>
          <w:p>
            <w:pPr>
              <w:pStyle w:val="TableContents"/>
              <w:bidi w:val="0"/>
              <w:spacing w:before="0" w:after="0"/>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3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21,894</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21,590</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vAlign w:val="center"/>
          </w:tcPr>
          <w:p>
            <w:pPr>
              <w:pStyle w:val="TableContents"/>
              <w:bidi w:val="0"/>
              <w:spacing w:before="0" w:after="0"/>
              <w:ind w:left="0" w:right="0" w:hanging="0"/>
              <w:jc w:val="left"/>
              <w:rPr/>
            </w:pPr>
            <w:r>
              <w:rPr/>
              <w:t> </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52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356,417</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354,037</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2,380</w:t>
            </w:r>
          </w:p>
        </w:tc>
        <w:tc>
          <w:tcPr>
            <w:tcW w:w="326" w:type="dxa"/>
            <w:tcBorders/>
            <w:shd w:fill="CCEEFF" w:val="clear"/>
            <w:vAlign w:val="center"/>
          </w:tcPr>
          <w:p>
            <w:pPr>
              <w:pStyle w:val="TableContents"/>
              <w:bidi w:val="0"/>
              <w:spacing w:before="0" w:after="0"/>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0.7</w:t>
            </w:r>
          </w:p>
        </w:tc>
      </w:tr>
      <w:tr>
        <w:trPr/>
        <w:tc>
          <w:tcPr>
            <w:tcW w:w="3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right"/>
              <w:rPr/>
            </w:pPr>
            <w:r>
              <w:rPr/>
              <w:t>​</w:t>
            </w:r>
          </w:p>
        </w:tc>
      </w:tr>
      <w:tr>
        <w:trPr/>
        <w:tc>
          <w:tcPr>
            <w:tcW w:w="3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paper costs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82,928</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89,586</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(6,658)</w:t>
            </w:r>
          </w:p>
        </w:tc>
        <w:tc>
          <w:tcPr>
            <w:tcW w:w="326" w:type="dxa"/>
            <w:tcBorders/>
            <w:shd w:fill="CCEEFF" w:val="clear"/>
            <w:vAlign w:val="center"/>
          </w:tcPr>
          <w:p>
            <w:pPr>
              <w:pStyle w:val="TableContents"/>
              <w:bidi w:val="0"/>
              <w:spacing w:before="0" w:after="0"/>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3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and related expenses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96,910</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98,966</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(2,056)</w:t>
            </w:r>
          </w:p>
        </w:tc>
        <w:tc>
          <w:tcPr>
            <w:tcW w:w="32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and other operating expenses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77,751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76,597</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w:t>
            </w:r>
          </w:p>
        </w:tc>
        <w:tc>
          <w:tcPr>
            <w:tcW w:w="326" w:type="dxa"/>
            <w:tcBorders/>
            <w:shd w:fill="CCEEFF" w:val="clear"/>
            <w:vAlign w:val="center"/>
          </w:tcPr>
          <w:p>
            <w:pPr>
              <w:pStyle w:val="TableContents"/>
              <w:bidi w:val="0"/>
              <w:spacing w:before="0" w:after="0"/>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3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recovery of insurance proceeds, lost profits, net (1)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vAlign w:val="center"/>
          </w:tcPr>
          <w:p>
            <w:pPr>
              <w:pStyle w:val="TableContents"/>
              <w:bidi w:val="0"/>
              <w:spacing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352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 restaurant expenses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257,438</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265,149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(7,711)</w:t>
            </w:r>
          </w:p>
        </w:tc>
        <w:tc>
          <w:tcPr>
            <w:tcW w:w="326" w:type="dxa"/>
            <w:tcBorders/>
            <w:shd w:fill="CCEEFF" w:val="clear"/>
            <w:vAlign w:val="center"/>
          </w:tcPr>
          <w:p>
            <w:pPr>
              <w:pStyle w:val="TableContents"/>
              <w:bidi w:val="0"/>
              <w:spacing w:before="0" w:after="0"/>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w:t>
            </w:r>
          </w:p>
        </w:tc>
      </w:tr>
      <w:tr>
        <w:trPr/>
        <w:tc>
          <w:tcPr>
            <w:tcW w:w="3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31,451</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29,488</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w:t>
            </w:r>
          </w:p>
        </w:tc>
        <w:tc>
          <w:tcPr>
            <w:tcW w:w="32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3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28,107</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27,315</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w:t>
            </w:r>
          </w:p>
        </w:tc>
        <w:tc>
          <w:tcPr>
            <w:tcW w:w="326" w:type="dxa"/>
            <w:tcBorders/>
            <w:shd w:fill="CCEEFF" w:val="clear"/>
            <w:vAlign w:val="center"/>
          </w:tcPr>
          <w:p>
            <w:pPr>
              <w:pStyle w:val="TableContents"/>
              <w:bidi w:val="0"/>
              <w:spacing w:before="0" w:after="0"/>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11,277</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10,745</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2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3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disposal of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CCEEFF" w:val="clear"/>
            <w:vAlign w:val="center"/>
          </w:tcPr>
          <w:p>
            <w:pPr>
              <w:pStyle w:val="TableContents"/>
              <w:bidi w:val="0"/>
              <w:spacing w:before="0" w:after="0"/>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w:t>
            </w:r>
          </w:p>
        </w:tc>
      </w:tr>
      <w:tr>
        <w:trPr/>
        <w:tc>
          <w:tcPr>
            <w:tcW w:w="3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recovery of insurance proceeds, property, equipment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2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3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restaurants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(5,034)</w:t>
            </w:r>
          </w:p>
        </w:tc>
        <w:tc>
          <w:tcPr>
            <w:tcW w:w="326" w:type="dxa"/>
            <w:tcBorders/>
            <w:shd w:fill="CCEEFF" w:val="clear"/>
            <w:vAlign w:val="center"/>
          </w:tcPr>
          <w:p>
            <w:pPr>
              <w:pStyle w:val="TableContents"/>
              <w:bidi w:val="0"/>
              <w:spacing w:before="0" w:after="0"/>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3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326" w:type="dxa"/>
            <w:tcBorders/>
            <w:vAlign w:val="center"/>
          </w:tcPr>
          <w:p>
            <w:pPr>
              <w:pStyle w:val="TableContents"/>
              <w:bidi w:val="0"/>
              <w:spacing w:before="0" w:after="0"/>
              <w:ind w:left="0" w:right="0" w:hanging="0"/>
              <w:jc w:val="left"/>
              <w:rPr/>
            </w:pPr>
            <w:r>
              <w:rPr/>
              <w:t> </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r>
      <w:tr>
        <w:trPr/>
        <w:tc>
          <w:tcPr>
            <w:tcW w:w="352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324,086</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333,424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(9,338)</w:t>
            </w:r>
          </w:p>
        </w:tc>
        <w:tc>
          <w:tcPr>
            <w:tcW w:w="326" w:type="dxa"/>
            <w:tcBorders/>
            <w:shd w:fill="CCEEFF" w:val="clear"/>
            <w:vAlign w:val="center"/>
          </w:tcPr>
          <w:p>
            <w:pPr>
              <w:pStyle w:val="TableContents"/>
              <w:bidi w:val="0"/>
              <w:spacing w:before="0" w:after="0"/>
              <w:ind w:left="0" w:right="0" w:hanging="0"/>
              <w:jc w:val="lef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w:t>
            </w:r>
          </w:p>
        </w:tc>
      </w:tr>
      <w:tr>
        <w:trPr/>
        <w:tc>
          <w:tcPr>
            <w:tcW w:w="352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32,331</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20,613</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11,718</w:t>
            </w:r>
          </w:p>
        </w:tc>
        <w:tc>
          <w:tcPr>
            <w:tcW w:w="326"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56.8</w:t>
            </w:r>
          </w:p>
        </w:tc>
      </w:tr>
      <w:tr>
        <w:trPr/>
        <w:tc>
          <w:tcPr>
            <w:tcW w:w="3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 of 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3,362</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w:t>
            </w:r>
          </w:p>
        </w:tc>
        <w:tc>
          <w:tcPr>
            <w:tcW w:w="326" w:type="dxa"/>
            <w:tcBorders/>
            <w:shd w:fill="CCEEFF" w:val="clear"/>
            <w:vAlign w:val="center"/>
          </w:tcPr>
          <w:p>
            <w:pPr>
              <w:pStyle w:val="TableContents"/>
              <w:bidi w:val="0"/>
              <w:spacing w:before="0" w:after="0"/>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251.3</w:t>
            </w:r>
          </w:p>
        </w:tc>
      </w:tr>
      <w:tr>
        <w:trPr/>
        <w:tc>
          <w:tcPr>
            <w:tcW w:w="3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 agreement expense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26" w:type="dxa"/>
            <w:tcBorders/>
            <w:vAlign w:val="center"/>
          </w:tcPr>
          <w:p>
            <w:pPr>
              <w:pStyle w:val="TableContents"/>
              <w:bidi w:val="0"/>
              <w:spacing w:before="0" w:after="0"/>
              <w:ind w:left="0" w:right="0" w:hanging="0"/>
              <w:jc w:val="left"/>
              <w:rPr/>
            </w:pPr>
            <w:r>
              <w:rPr/>
              <w:t> </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w:t>
            </w:r>
          </w:p>
        </w:tc>
      </w:tr>
      <w:tr>
        <w:trPr/>
        <w:tc>
          <w:tcPr>
            <w:tcW w:w="352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28,864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20,001</w:t>
            </w:r>
          </w:p>
        </w:tc>
        <w:tc>
          <w:tcPr>
            <w:tcW w:w="326"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8,863</w:t>
            </w:r>
          </w:p>
        </w:tc>
        <w:tc>
          <w:tcPr>
            <w:tcW w:w="326" w:type="dxa"/>
            <w:tcBorders/>
            <w:shd w:fill="CCEEFF" w:val="clear"/>
            <w:vAlign w:val="center"/>
          </w:tcPr>
          <w:p>
            <w:pPr>
              <w:pStyle w:val="TableContents"/>
              <w:bidi w:val="0"/>
              <w:spacing w:before="0" w:after="0"/>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44.3</w:t>
            </w:r>
          </w:p>
        </w:tc>
      </w:tr>
      <w:tr>
        <w:trPr/>
        <w:tc>
          <w:tcPr>
            <w:tcW w:w="35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7,661</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5,736</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1,925</w:t>
            </w:r>
          </w:p>
        </w:tc>
        <w:tc>
          <w:tcPr>
            <w:tcW w:w="326" w:type="dxa"/>
            <w:tcBorders/>
            <w:vAlign w:val="center"/>
          </w:tcPr>
          <w:p>
            <w:pPr>
              <w:pStyle w:val="TableContents"/>
              <w:bidi w:val="0"/>
              <w:spacing w:before="0" w:after="0"/>
              <w:ind w:left="0" w:right="0" w:hanging="0"/>
              <w:jc w:val="left"/>
              <w:rPr/>
            </w:pPr>
            <w:r>
              <w:rPr/>
              <w:t> </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r>
      <w:tr>
        <w:trPr/>
        <w:tc>
          <w:tcPr>
            <w:tcW w:w="352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21,203</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14,265</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6,938</w:t>
            </w:r>
          </w:p>
        </w:tc>
        <w:tc>
          <w:tcPr>
            <w:tcW w:w="326" w:type="dxa"/>
            <w:tcBorders/>
            <w:shd w:fill="CCEEFF" w:val="clear"/>
            <w:vAlign w:val="center"/>
          </w:tcPr>
          <w:p>
            <w:pPr>
              <w:pStyle w:val="TableContents"/>
              <w:bidi w:val="0"/>
              <w:spacing w:before="0" w:after="0"/>
              <w:ind w:left="0" w:right="0" w:hanging="0"/>
              <w:jc w:val="left"/>
              <w:rPr/>
            </w:pPr>
            <w:r>
              <w:rPr/>
              <w:t> </w:t>
            </w:r>
          </w:p>
        </w:tc>
        <w:tc>
          <w:tcPr>
            <w:tcW w:w="7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48.6</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Percentages for line items relating to cost of operations and company restaurant expenses are calculated with company-operated restaurant revenue as the denominator. All other percentages use total revenue.</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Company-Operated Restaurant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September 27, 2023, company-operated restaurant revenue decreased $0.5 million, or 0.5%, from the comparable period in the prior year. The decrease in company-operated restaurant revenue was mainly due to a $1.6 million decrease in revenue primarily from </w:t>
      </w:r>
      <w:r>
        <w:rPr>
          <w:rFonts w:ascii="Times New Roman;Times;serif" w:hAnsi="Times New Roman;Times;serif"/>
          <w:sz w:val="20"/>
          <w:shd w:fill="FFFFFF" w:val="clear"/>
        </w:rPr>
        <w:t>the four company-operated restaurants sold by the Company to existing franchisees</w:t>
      </w:r>
      <w:r>
        <w:rPr>
          <w:rFonts w:ascii="Times New Roman;Times;serif" w:hAnsi="Times New Roman;Times;serif"/>
          <w:sz w:val="20"/>
        </w:rPr>
        <w:t xml:space="preserve"> during the prior quarters </w:t>
      </w:r>
      <w:r>
        <w:rPr>
          <w:rFonts w:ascii="Times New Roman;Times;serif" w:hAnsi="Times New Roman;Times;serif"/>
          <w:sz w:val="20"/>
          <w:shd w:fill="FFFFFF" w:val="clear"/>
        </w:rPr>
        <w:t>and a $0.2 million decrease in revenue recognized for our loyalty points program</w:t>
      </w:r>
      <w:r>
        <w:rPr>
          <w:rFonts w:ascii="Times New Roman;Times;serif" w:hAnsi="Times New Roman;Times;serif"/>
          <w:sz w:val="20"/>
        </w:rPr>
        <w:t>. This company-operated restaurant revenue decrease was partially offset by $1.0 million of additional sales from restaurants opened during or after the third quarter of 2022 as well as an increase in company-operated comparable restaurant revenue of $0.3 million, or 0.3%. The company-operated comparable restaurant sales increase consisted of a 1.3% increase in average check size due to increases in menu prices, partially offset by an approximately 0.9% decrease in transactions.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Year-to-date, company-operated restaurant revenue increased $0.9 million, or 0.3%, from the comparable period in the prior year. The increase in company-operated restaurant revenue was primarily due to $3.8 million of additional sales from restaurants opened during or after the first quarter of 2022. In addition,</w:t>
      </w:r>
      <w:r>
        <w:rPr>
          <w:rFonts w:ascii="Times New Roman;Times;serif" w:hAnsi="Times New Roman;Times;serif"/>
          <w:sz w:val="20"/>
        </w:rPr>
        <w:t> the increase in company-operated restaurant sales was due to an increase in company-operated comparable restaurant revenue of $1.4 million, or 0.5%. The company-operated comparable restaurant sales increase consisted of an approximately 3.2% increase in average check size due to increases in menu prices, partially offset by a 2.6% decrease in transactions.</w:t>
      </w:r>
      <w:r>
        <w:rPr>
          <w:rFonts w:ascii="Times New Roman;Times;serif" w:hAnsi="Times New Roman;Times;serif"/>
          <w:sz w:val="20"/>
          <w:shd w:fill="FFFFFF" w:val="clear"/>
        </w:rPr>
        <w:t xml:space="preserve"> </w:t>
      </w:r>
      <w:r>
        <w:rPr>
          <w:rFonts w:ascii="Times New Roman;Times;serif" w:hAnsi="Times New Roman;Times;serif"/>
          <w:sz w:val="20"/>
        </w:rPr>
        <w:t xml:space="preserve">This company-operated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restaurant revenue increase was offset by a $4.2 million decrease in revenue primarily from </w:t>
      </w:r>
      <w:r>
        <w:rPr>
          <w:rFonts w:ascii="Times New Roman;Times;serif" w:hAnsi="Times New Roman;Times;serif"/>
          <w:sz w:val="20"/>
          <w:shd w:fill="FFFFFF" w:val="clear"/>
        </w:rPr>
        <w:t>the four company-operated restaurants sold by the Company to existing franchisees</w:t>
      </w:r>
      <w:r>
        <w:rPr>
          <w:rFonts w:ascii="Times New Roman;Times;serif" w:hAnsi="Times New Roman;Times;serif"/>
          <w:sz w:val="20"/>
        </w:rPr>
        <w:t xml:space="preserve"> during the prior quarters.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Franchise Revenue</w:t>
      </w:r>
    </w:p>
    <w:p>
      <w:pPr>
        <w:pStyle w:val="TextBody"/>
        <w:bidi w:val="0"/>
        <w:spacing w:before="0" w:after="240"/>
        <w:ind w:left="0" w:right="0" w:hanging="0"/>
        <w:jc w:val="left"/>
        <w:rPr>
          <w:rFonts w:ascii="Times New Roman;Times;serif" w:hAnsi="Times New Roman;Times;serif"/>
          <w:sz w:val="20"/>
        </w:rPr>
      </w:pPr>
      <w:bookmarkStart w:id="1573" w:name="_Hlk148454028"/>
      <w:bookmarkEnd w:id="1573"/>
      <w:r>
        <w:rPr>
          <w:rFonts w:ascii="Times New Roman;Times;serif" w:hAnsi="Times New Roman;Times;serif"/>
          <w:sz w:val="20"/>
        </w:rPr>
        <w:t xml:space="preserve">For the quarter ended September 27, 2023, franchise revenue increased $0.7 million, or 7.5%, from the comparable period in the prior year. This increase was primarily due to </w:t>
      </w:r>
      <w:r>
        <w:rPr>
          <w:rFonts w:ascii="Times New Roman;Times;serif" w:hAnsi="Times New Roman;Times;serif"/>
          <w:sz w:val="20"/>
          <w:shd w:fill="FFFFFF" w:val="clear"/>
        </w:rPr>
        <w:t>a franchise comparable restaurant sales increase of 1.1%,</w:t>
      </w:r>
      <w:r>
        <w:rPr>
          <w:rFonts w:ascii="Times New Roman;Times;serif" w:hAnsi="Times New Roman;Times;serif"/>
          <w:sz w:val="20"/>
        </w:rPr>
        <w:t xml:space="preserve"> seven franchise-operated restaurant openings and four company-operated restaurants sold by the Company to existing franchisees in each case, during the prior quarters.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Year-to-date, franchise revenue increased $1.2 million, or 4.1%, from the comparable period in the prior year. This increase was primarily due to ten</w:t>
      </w:r>
      <w:r>
        <w:rPr>
          <w:rFonts w:ascii="Times New Roman;Times;serif" w:hAnsi="Times New Roman;Times;serif"/>
          <w:sz w:val="20"/>
        </w:rPr>
        <w:t xml:space="preserve"> franchise-operated restaurant openings and four company-operated restaurants sold by the Company to existing franchisees during the prior quarters.</w:t>
      </w:r>
      <w:r>
        <w:rPr>
          <w:rFonts w:ascii="Times New Roman;Times;serif" w:hAnsi="Times New Roman;Times;serif"/>
          <w:sz w:val="20"/>
          <w:shd w:fill="FFFFFF" w:val="clear"/>
        </w:rPr>
        <w:t xml:space="preserve"> This </w:t>
      </w:r>
      <w:r>
        <w:rPr>
          <w:rFonts w:ascii="Times New Roman;Times;serif" w:hAnsi="Times New Roman;Times;serif"/>
          <w:sz w:val="20"/>
        </w:rPr>
        <w:t>franchise revenue increase was partially offset by a franchise comparable restaurant sales decrease</w:t>
      </w:r>
      <w:r>
        <w:rPr>
          <w:rFonts w:ascii="Times New Roman;Times;serif" w:hAnsi="Times New Roman;Times;serif"/>
          <w:sz w:val="20"/>
          <w:shd w:fill="FFFFFF" w:val="clear"/>
        </w:rPr>
        <w:t xml:space="preserve"> of 1.4% and the closure of one franchise location during or subsequent to the first quarter of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Franchise Advertising Fee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September 27, 2023, franchise advertising fee revenue increased $0.3 million, or 3.9%, from the comparable period in the prior year. </w:t>
      </w:r>
      <w:r>
        <w:rPr>
          <w:rFonts w:ascii="Times New Roman;Times;serif" w:hAnsi="Times New Roman;Times;serif"/>
          <w:sz w:val="20"/>
          <w:shd w:fill="FFFFFF" w:val="clear"/>
        </w:rPr>
        <w:t xml:space="preserve">Year-to-date, franchise advertising fee revenue increased $0.3 million, or 1.4%, from the comparable period in the prior year. </w:t>
      </w:r>
      <w:r>
        <w:rPr>
          <w:rFonts w:ascii="Times New Roman;Times;serif" w:hAnsi="Times New Roman;Times;serif"/>
          <w:sz w:val="20"/>
        </w:rPr>
        <w:t>As advertising fee revenue is a percentage of franchisees’ revenue, both the quarter and year-to-date period fluctuations were due to the increases and decreases noted in franchise revenue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Food and Paper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quarter ended September 27, 2023, food and paper costs decreased $2.6 million, or 8.7%.</w:t>
      </w:r>
      <w:r>
        <w:rPr>
          <w:rFonts w:ascii="Times New Roman;Times;serif" w:hAnsi="Times New Roman;Times;serif"/>
          <w:sz w:val="20"/>
          <w:shd w:fill="FFFFFF" w:val="clear"/>
        </w:rPr>
        <w:t xml:space="preserve"> Year-to-date, food and paper costs decreased $6.7 million, or 7.4%, from the comparable period in the prior year. </w:t>
      </w:r>
      <w:r>
        <w:rPr>
          <w:rFonts w:ascii="Times New Roman;Times;serif" w:hAnsi="Times New Roman;Times;serif"/>
          <w:sz w:val="20"/>
        </w:rPr>
        <w:t xml:space="preserve">The decrease in food and paper costs for the quarter </w:t>
      </w:r>
      <w:r>
        <w:rPr>
          <w:rFonts w:ascii="Times New Roman;Times;serif" w:hAnsi="Times New Roman;Times;serif"/>
          <w:sz w:val="20"/>
          <w:shd w:fill="FFFFFF" w:val="clear"/>
        </w:rPr>
        <w:t>and year-to-date</w:t>
      </w:r>
      <w:r>
        <w:rPr>
          <w:rFonts w:ascii="Times New Roman;Times;serif" w:hAnsi="Times New Roman;Times;serif"/>
          <w:sz w:val="20"/>
        </w:rPr>
        <w:t xml:space="preserve"> resulted primarily due to lower transactions, partially offset by commodity inflation. For the quarter, food and paper costs as a percentage of company-operated restaurant revenue were 26.8%, down from 29.2% in the comparable period of the prior year.</w:t>
      </w:r>
      <w:r>
        <w:rPr>
          <w:rFonts w:ascii="Times New Roman;Times;serif" w:hAnsi="Times New Roman;Times;serif"/>
          <w:sz w:val="20"/>
          <w:shd w:fill="FFFFFF" w:val="clear"/>
        </w:rPr>
        <w:t xml:space="preserve"> Year-to-date, food and paper costs as a percentage of company-operated restaurant revenue were 27.2%, down from 29.5% in the comparable period of the prior year. The percentage decrease for both the quarter and year-to-date period was primarily due </w:t>
      </w:r>
      <w:r>
        <w:rPr>
          <w:rFonts w:ascii="Times New Roman;Times;serif" w:hAnsi="Times New Roman;Times;serif"/>
          <w:sz w:val="20"/>
        </w:rPr>
        <w:t>to an increase in pricing, partially offset by commodity inflation.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Labor and Related Expenses</w:t>
      </w:r>
    </w:p>
    <w:p>
      <w:pPr>
        <w:pStyle w:val="TextBody"/>
        <w:bidi w:val="0"/>
        <w:spacing w:before="0" w:after="240"/>
        <w:ind w:left="0" w:right="0" w:hanging="0"/>
        <w:jc w:val="left"/>
        <w:rPr>
          <w:rFonts w:ascii="Times New Roman;Times;serif" w:hAnsi="Times New Roman;Times;serif"/>
          <w:sz w:val="20"/>
        </w:rPr>
      </w:pPr>
      <w:bookmarkStart w:id="1574" w:name="_Hlk109375858"/>
      <w:bookmarkEnd w:id="1574"/>
      <w:r>
        <w:rPr>
          <w:rFonts w:ascii="Times New Roman;Times;serif" w:hAnsi="Times New Roman;Times;serif"/>
          <w:sz w:val="20"/>
        </w:rPr>
        <w:t>For the quarter ended September 27, 2023, labor and related expenses decreased $0.2 million, or 0.6%, from the comparable period in the prior year. The</w:t>
      </w:r>
      <w:r>
        <w:rPr>
          <w:rFonts w:ascii="Times New Roman;Times;serif" w:hAnsi="Times New Roman;Times;serif"/>
          <w:sz w:val="20"/>
          <w:shd w:fill="FFFFFF" w:val="clear"/>
        </w:rPr>
        <w:t xml:space="preserve"> decrease in labor and related expenses for the quarter was primarily due to </w:t>
      </w:r>
      <w:r>
        <w:rPr>
          <w:rFonts w:ascii="Times New Roman;Times;serif" w:hAnsi="Times New Roman;Times;serif"/>
          <w:sz w:val="20"/>
        </w:rPr>
        <w:t>a $0.8 million decrease related to the 0.9% decrease in quarter-over-quarter sales transactions and a $0.6 million decrease in overtime pay due to improvements in operational execution. The decrease in labor and related expenses for the quarter was partially offset by a $0.7 million increase primarily related to higher wage rates from minimum wage increases in California during fiscal 2023 and 2022 and other labor wage increases as a result of competitive pressure and a $0.6 million increase in worker’s compensation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Year-to-date, labor and related expenses decreased $2.1 million, or 2.1%, from the comparable period in the prior year. The decrease for the year-to-date period was due to </w:t>
      </w:r>
      <w:r>
        <w:rPr>
          <w:rFonts w:ascii="Times New Roman;Times;serif" w:hAnsi="Times New Roman;Times;serif"/>
          <w:sz w:val="20"/>
        </w:rPr>
        <w:t xml:space="preserve">a $2.9 million decrease related to the 2.6% decrease in year-over-year sales transactions, a $2.7 million decrease in overtime pay due to improvements in operational execution and a $1.5 million decrease related to COVID-19 sick pay. The decrease in labor and related expenses for the year was partially offset by a $3.1 million increase primarily related to higher wage rates from minimum wage increases in California during fiscal 2023 and 2022 and other labor wage increases as a result of competitive pressure and a $1.8 million increase in labor related costs related to improved management staffing.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September 27, 2023, labor and related expenses as a percentage of company-operated restaurant revenue were 32.2%, down from 32.3% in the comparable period in the prior year. </w:t>
      </w:r>
      <w:r>
        <w:rPr>
          <w:rFonts w:ascii="Times New Roman;Times;serif" w:hAnsi="Times New Roman;Times;serif"/>
          <w:sz w:val="20"/>
          <w:shd w:fill="FFFFFF" w:val="clear"/>
        </w:rPr>
        <w:t>The percentage</w:t>
      </w:r>
      <w:r>
        <w:rPr>
          <w:rFonts w:ascii="Times New Roman;Times;serif" w:hAnsi="Times New Roman;Times;serif"/>
          <w:sz w:val="20"/>
        </w:rPr>
        <w:t xml:space="preserve"> change for the quarter </w:t>
      </w:r>
      <w:r>
        <w:rPr>
          <w:rFonts w:ascii="Times New Roman;Times;serif" w:hAnsi="Times New Roman;Times;serif"/>
          <w:sz w:val="20"/>
          <w:shd w:fill="FFFFFF" w:val="clear"/>
        </w:rPr>
        <w:t>was impacted by the cost increases highlighted above, partially offset by an increase in pricing</w:t>
      </w:r>
      <w:r>
        <w:rPr>
          <w:rFonts w:ascii="Times New Roman;Times;serif" w:hAnsi="Times New Roman;Times;serif"/>
          <w:sz w:val="20"/>
        </w:rPr>
        <w:t xml:space="preserve">. </w:t>
      </w:r>
      <w:r>
        <w:rPr>
          <w:rFonts w:ascii="Times New Roman;Times;serif" w:hAnsi="Times New Roman;Times;serif"/>
          <w:sz w:val="20"/>
          <w:shd w:fill="FFFFFF" w:val="clear"/>
        </w:rPr>
        <w:t xml:space="preserve">Year-to-date labor and related expenses as a percentage of company-operated restaurant revenue were 31.8%, down from 32.6%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comparable period in the prior year primarily d</w:t>
      </w:r>
      <w:r>
        <w:rPr>
          <w:rFonts w:ascii="Times New Roman;Times;serif" w:hAnsi="Times New Roman;Times;serif"/>
          <w:sz w:val="20"/>
        </w:rPr>
        <w:t>ue to the increase in pricing, and overtime and sick pay decreases, partially offset by the cost increases highlighted above</w:t>
      </w:r>
      <w:r>
        <w:rPr>
          <w:rFonts w:ascii="Times New Roman;Times;serif" w:hAnsi="Times New Roman;Times;serif"/>
          <w:sz w:val="20"/>
          <w:shd w:fill="FFFFFF" w:val="clear"/>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Occupancy and Other Operating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September 27, 2023, occupancy and other operating expenses increased $0.4 million, or 1.4%, from the comparable period in the prior year. </w:t>
      </w:r>
      <w:r>
        <w:rPr>
          <w:rFonts w:ascii="Times New Roman;Times;serif" w:hAnsi="Times New Roman;Times;serif"/>
          <w:sz w:val="20"/>
          <w:shd w:fill="FFFFFF" w:val="clear"/>
        </w:rPr>
        <w:t>The increase was primarily due to a $0.3 million increase in occupancy costs as well as $0.1 million increase in higher utility costs.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Year-to-date, occupancy and other operating expenses increased $1.2 million, or 1.5%, from the comparable period in the prior year. The increase was primarily due to a $1.0 million increase in occupancy costs, a $0.5 million increase in other operating services and supplies and a $0.2 million increase in repairs and maintenance. The year-to-date increase in occupancy and other operating expenses was partially offset by a $0.5 million decrease in utilities.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September 27, 2023, occupancy and other operating expenses as a percentage of company-operated restaurant revenue </w:t>
      </w:r>
      <w:r>
        <w:rPr>
          <w:rFonts w:ascii="Times New Roman;Times;serif" w:hAnsi="Times New Roman;Times;serif"/>
          <w:sz w:val="20"/>
          <w:shd w:fill="FFFFFF" w:val="clear"/>
        </w:rPr>
        <w:t>were 26.6%, up from 26.1% in the comparable period</w:t>
      </w:r>
      <w:r>
        <w:rPr>
          <w:rFonts w:ascii="Times New Roman;Times;serif" w:hAnsi="Times New Roman;Times;serif"/>
          <w:sz w:val="20"/>
        </w:rPr>
        <w:t xml:space="preserve">. </w:t>
      </w:r>
      <w:r>
        <w:rPr>
          <w:rFonts w:ascii="Times New Roman;Times;serif" w:hAnsi="Times New Roman;Times;serif"/>
          <w:sz w:val="20"/>
          <w:shd w:fill="FFFFFF" w:val="clear"/>
        </w:rPr>
        <w:t>Year-to-date, occupancy and other operating expenses as a percentage of company-operated restaurant revenue were 25.5%, up from 25.2% in the comparable period of the prior year. Both the quarter and year-to-date period increases resulted from the cost increases highlighted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Gain on Recovery of Insurance Proceeds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September 2022, one of our restaurants incurred damage resulting from a fire. In 2022, we disposed of less than $0.1 million of assets related to the fire. The restaurant was reopened for business on October 27, 2022. In fiscal 2023, we incurred costs directly related to the fire of less than $0.1 million. We recognized gains of $0.2 million related to the reimbursement of property and equipment and expenses incurred and $0.2 million related to the reimbursement of lost profits. The gain on recovery of insurance proceeds and reimbursement of lost profits, net of the related costs is included in the accompanying condensed consolidated statements of income, for the thirty-nine weeks ended September 27, 2023, as a reduction of company restaurant expenses. We received from the insurance company cash of $0.4 million, net of the insurance deductible, during fiscal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hanging="0"/>
        <w:jc w:val="left"/>
        <w:rPr>
          <w:rFonts w:ascii="Times New Roman;Times;serif" w:hAnsi="Times New Roman;Times;serif"/>
          <w:sz w:val="20"/>
        </w:rPr>
      </w:pPr>
      <w:bookmarkStart w:id="1575" w:name="_Hlk148454221"/>
      <w:bookmarkStart w:id="1576" w:name="_Hlk133420809"/>
      <w:bookmarkEnd w:id="1575"/>
      <w:bookmarkEnd w:id="1576"/>
      <w:r>
        <w:rPr>
          <w:rFonts w:ascii="Times New Roman;Times;serif" w:hAnsi="Times New Roman;Times;serif"/>
          <w:sz w:val="20"/>
        </w:rPr>
        <w:t>For the quarter ended September 27, 2023, general and administrative expenses decreased $0.7 million, or 7.2%, from the comparable period in the prior year. The decrease for the quarter was primarily due to</w:t>
      </w:r>
      <w:r>
        <w:rPr>
          <w:rFonts w:ascii="Times New Roman;Times;serif" w:hAnsi="Times New Roman;Times;serif"/>
          <w:sz w:val="20"/>
          <w:shd w:fill="FFFFFF" w:val="clear"/>
        </w:rPr>
        <w:t xml:space="preserve"> a $0.9 million decrease in labor related costs, primarily related to a decrease in estimated management bonus expense and a $0.1 million decrease in stock compensation expense partially offset by a $0.3 million increase in other legal related costs pertaining to an adoption of </w:t>
      </w:r>
      <w:r>
        <w:rPr>
          <w:rFonts w:ascii="Times New Roman;Times;serif" w:hAnsi="Times New Roman;Times;serif"/>
          <w:sz w:val="20"/>
        </w:rPr>
        <w:t>a Shareholder Rights Agreement</w:t>
      </w:r>
      <w:r>
        <w:rPr>
          <w:rFonts w:ascii="Times New Roman;Times;serif" w:hAnsi="Times New Roman;Times;serif"/>
          <w:sz w:val="20"/>
          <w:shd w:fill="FFFFFF" w:val="clear"/>
        </w:rPr>
        <w:t xml:space="preserve"> (see Note 12, “Shareholder Rights Agreement” for further details on the </w:t>
      </w:r>
      <w:r>
        <w:rPr>
          <w:rFonts w:ascii="Times New Roman;Times;serif" w:hAnsi="Times New Roman;Times;serif"/>
          <w:sz w:val="20"/>
        </w:rPr>
        <w:t>Shareholder Rights Agreement</w:t>
      </w:r>
      <w:r>
        <w:rPr>
          <w:rFonts w:ascii="Times New Roman;Times;serif" w:hAnsi="Times New Roman;Times;serif"/>
          <w:sz w:val="20"/>
          <w:shd w:fill="FFFFFF" w:val="clea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Year-to-date, general and administrative expenses increased $2.0 million, or 6.7%, from the comparable period in the prior year. The increase for the year-to-date period was due primarily to a $0.5 million increase in labor related costs, primarily related to an increase in estimated management bonus expense, a $1.1 million increase in </w:t>
      </w:r>
      <w:r>
        <w:rPr>
          <w:rFonts w:ascii="Times New Roman;Times;serif" w:hAnsi="Times New Roman;Times;serif"/>
          <w:sz w:val="20"/>
        </w:rPr>
        <w:t xml:space="preserve">restructuring costs related to certain positions in the organization, a </w:t>
      </w:r>
      <w:r>
        <w:rPr>
          <w:rFonts w:ascii="Times New Roman;Times;serif" w:hAnsi="Times New Roman;Times;serif"/>
          <w:sz w:val="20"/>
          <w:shd w:fill="FFFFFF" w:val="clear"/>
        </w:rPr>
        <w:t xml:space="preserve">$0.3 million increase in special costs related to the share distribution on March 28, 2023 and a $0.3 million increase in other legal related costs pertaining to the adoption of </w:t>
      </w:r>
      <w:r>
        <w:rPr>
          <w:rFonts w:ascii="Times New Roman;Times;serif" w:hAnsi="Times New Roman;Times;serif"/>
          <w:sz w:val="20"/>
        </w:rPr>
        <w:t>the Shareholder Rights Agreement</w:t>
      </w:r>
      <w:r>
        <w:rPr>
          <w:rFonts w:ascii="Times New Roman;Times;serif" w:hAnsi="Times New Roman;Times;serif"/>
          <w:sz w:val="20"/>
          <w:shd w:fill="FFFFFF" w:val="clear"/>
        </w:rPr>
        <w:t xml:space="preserve"> (see Note 9, “Related Party Transactions” and Note 12, “Shareholder Rights Agreement” for further details on the share distribution and the </w:t>
      </w:r>
      <w:r>
        <w:rPr>
          <w:rFonts w:ascii="Times New Roman;Times;serif" w:hAnsi="Times New Roman;Times;serif"/>
          <w:sz w:val="20"/>
        </w:rPr>
        <w:t>Shareholder Rights Agreement, respectively</w:t>
      </w:r>
      <w:r>
        <w:rPr>
          <w:rFonts w:ascii="Times New Roman;Times;serif" w:hAnsi="Times New Roman;Times;serif"/>
          <w:sz w:val="20"/>
          <w:shd w:fill="FFFFFF" w:val="clear"/>
        </w:rPr>
        <w:t xml:space="preserve">). </w:t>
      </w:r>
      <w:r>
        <w:rPr>
          <w:rFonts w:ascii="Times New Roman;Times;serif" w:hAnsi="Times New Roman;Times;serif"/>
          <w:sz w:val="20"/>
        </w:rPr>
        <w:t xml:space="preserve">The increase in general and administrative expenses for the year was partially offset by a $0.2 million decrease in professional fees. </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September 27, 2023, general and administrative expenses as a percentage of total revenue were 7.6%, down from 8.2% in the comparable period of the prior year. </w:t>
      </w:r>
      <w:r>
        <w:rPr>
          <w:rFonts w:ascii="Times New Roman;Times;serif" w:hAnsi="Times New Roman;Times;serif"/>
          <w:sz w:val="20"/>
          <w:shd w:fill="FFFFFF" w:val="clear"/>
        </w:rPr>
        <w:t>The percentage decrease for the quarterly period is primarily due to the cost decreases noted above.</w:t>
      </w:r>
      <w:r>
        <w:rPr>
          <w:rFonts w:ascii="Times New Roman;Times;serif" w:hAnsi="Times New Roman;Times;serif"/>
          <w:sz w:val="20"/>
        </w:rPr>
        <w:t xml:space="preserve"> </w:t>
      </w:r>
      <w:r>
        <w:rPr>
          <w:rFonts w:ascii="Times New Roman;Times;serif" w:hAnsi="Times New Roman;Times;serif"/>
          <w:sz w:val="20"/>
          <w:shd w:fill="FFFFFF" w:val="clear"/>
        </w:rPr>
        <w:t>Year-to-date, general and administrative expenses as a percentage of total revenue were 8.8%, up from 8.3% in the comparable period of the prior year. The percentage increase for the year-to-date period is primarily due to the cost increases discussed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inherit" w:hAnsi="inherit"/>
          <w:b/>
          <w:i/>
          <w:sz w:val="20"/>
        </w:rPr>
      </w:pPr>
      <w:r>
        <w:rPr>
          <w:rFonts w:ascii="inherit" w:hAnsi="inherit"/>
          <w:b/>
          <w:i/>
          <w:sz w:val="20"/>
        </w:rPr>
        <w:t>Gain on Disposition of Restaurants</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thirteen and thirty-nine weeks ended September 27, 2023, we completed the sale of 17 and 18 restaurants, respectively, within California, Utah and Texas to existing franchisees. We determined that these restaurant dispositions represent multiple element arrangements, and as a result, the cash consideration received was allocated to the separate elements based on their relative standalone selling price. Cash proceeds included upfront consideration for the sale of the restaurants and franchise fees. The cash consideration per restaurant related to franchise fees is consistent with the amounts stated in the related franchise agreements, which are charged for separate standalone arrangements. We initially defer and subsequently recognize the franchise fees over the term of the franchise agreement. During the thirteen and thirty-nine weeks </w:t>
      </w:r>
      <w:r>
        <w:rPr>
          <w:rFonts w:ascii="inherit" w:hAnsi="inherit"/>
          <w:sz w:val="20"/>
        </w:rPr>
        <w:t>ended September</w:t>
      </w:r>
      <w:r>
        <w:rPr>
          <w:rFonts w:ascii="Times New Roman;Times;serif" w:hAnsi="Times New Roman;Times;serif"/>
          <w:sz w:val="20"/>
        </w:rPr>
        <w:t> </w:t>
      </w:r>
      <w:r>
        <w:rPr>
          <w:rFonts w:ascii="inherit" w:hAnsi="inherit"/>
          <w:sz w:val="20"/>
        </w:rPr>
        <w:t>27,</w:t>
      </w:r>
      <w:r>
        <w:rPr>
          <w:rFonts w:ascii="Times New Roman;Times;serif" w:hAnsi="Times New Roman;Times;serif"/>
          <w:sz w:val="20"/>
        </w:rPr>
        <w:t> </w:t>
      </w:r>
      <w:r>
        <w:rPr>
          <w:rFonts w:ascii="inherit" w:hAnsi="inherit"/>
          <w:sz w:val="20"/>
        </w:rPr>
        <w:t>2023, these sales resulted in cash proceeds of</w:t>
      </w:r>
      <w:r>
        <w:rPr>
          <w:rFonts w:ascii="Times New Roman;Times;serif" w:hAnsi="Times New Roman;Times;serif"/>
          <w:sz w:val="20"/>
        </w:rPr>
        <w:t> </w:t>
      </w:r>
      <w:r>
        <w:rPr>
          <w:rFonts w:ascii="inherit" w:hAnsi="inherit"/>
          <w:sz w:val="20"/>
        </w:rPr>
        <w:t>$7.5 million</w:t>
      </w:r>
      <w:r>
        <w:rPr>
          <w:rFonts w:ascii="Times New Roman;Times;serif" w:hAnsi="Times New Roman;Times;serif"/>
          <w:sz w:val="20"/>
        </w:rPr>
        <w:t> </w:t>
      </w:r>
      <w:r>
        <w:rPr>
          <w:rFonts w:ascii="inherit" w:hAnsi="inherit"/>
          <w:sz w:val="20"/>
        </w:rPr>
        <w:t>and $7.7 million, respectively, and a net gain on sale of restaurant of $4.9 million and $5.0 million, respectively</w:t>
      </w:r>
      <w:r>
        <w:rPr>
          <w:rFonts w:ascii="Times New Roman;Times;serif" w:hAnsi="Times New Roman;Times;serif"/>
          <w:sz w:val="20"/>
        </w:rPr>
        <w:t>. Since the date of their sale, these restaurants are now included in the total number of franchised El Pollo Loco restaurants.</w:t>
      </w:r>
    </w:p>
    <w:p>
      <w:pPr>
        <w:pStyle w:val="TextBody"/>
        <w:pBdr/>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and Closed-Store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both the thirteen and thirty-nine weeks ended September 27, 2023, we recorded non-cash impairment charges of </w:t>
      </w:r>
      <w:r>
        <w:rPr>
          <w:rFonts w:ascii="Times New Roman;Times;serif" w:hAnsi="Times New Roman;Times;serif"/>
          <w:sz w:val="20"/>
          <w:shd w:fill="FFFFFF" w:val="clear"/>
        </w:rPr>
        <w:t xml:space="preserve">$1.0 million, </w:t>
      </w:r>
      <w:r>
        <w:rPr>
          <w:rFonts w:ascii="Times New Roman;Times;serif" w:hAnsi="Times New Roman;Times;serif"/>
          <w:sz w:val="20"/>
        </w:rPr>
        <w:t xml:space="preserve">primarily related to the carrying value of the ROU assets of one restaurant in California and the carrying value of the </w:t>
      </w:r>
      <w:r>
        <w:rPr>
          <w:rFonts w:ascii="Times New Roman;Times;serif" w:hAnsi="Times New Roman;Times;serif"/>
          <w:sz w:val="20"/>
          <w:shd w:fill="FFFFFF" w:val="clear"/>
        </w:rPr>
        <w:t>long-lived assets of one restaurant in Nevada</w:t>
      </w:r>
      <w:r>
        <w:rPr>
          <w:rFonts w:ascii="Times New Roman;Times;serif" w:hAnsi="Times New Roman;Times;serif"/>
          <w:sz w:val="20"/>
        </w:rPr>
        <w:t xml:space="preserve">. During the thirteen and thirty-nine weeks ended September 28, 2022, we recorded non-cash impairment charges of </w:t>
      </w:r>
      <w:r>
        <w:rPr>
          <w:rFonts w:ascii="Times New Roman;Times;serif" w:hAnsi="Times New Roman;Times;serif"/>
          <w:sz w:val="20"/>
          <w:shd w:fill="FFFFFF" w:val="clear"/>
        </w:rPr>
        <w:t>$0.1 million and</w:t>
      </w:r>
      <w:r>
        <w:rPr>
          <w:rFonts w:ascii="Times New Roman;Times;serif" w:hAnsi="Times New Roman;Times;serif"/>
          <w:sz w:val="20"/>
        </w:rPr>
        <w:t xml:space="preserve"> $0.4 million,</w:t>
      </w:r>
      <w:r>
        <w:rPr>
          <w:rFonts w:ascii="Times New Roman;Times;serif" w:hAnsi="Times New Roman;Times;serif"/>
          <w:sz w:val="20"/>
          <w:shd w:fill="FFFFFF" w:val="clear"/>
        </w:rPr>
        <w:t xml:space="preserve"> respectively,</w:t>
      </w:r>
      <w:r>
        <w:rPr>
          <w:rFonts w:ascii="Times New Roman;Times;serif" w:hAnsi="Times New Roman;Times;serif"/>
          <w:sz w:val="20"/>
        </w:rPr>
        <w:t xml:space="preserve"> </w:t>
      </w:r>
      <w:r>
        <w:rPr>
          <w:rFonts w:ascii="Times New Roman;Times;serif" w:hAnsi="Times New Roman;Times;serif"/>
          <w:sz w:val="20"/>
          <w:shd w:fill="FFFFFF" w:val="clear"/>
        </w:rPr>
        <w:t>primarily related to the long-lived assets of one restaurant in California</w:t>
      </w:r>
      <w:r>
        <w:rPr>
          <w:rFonts w:ascii="Times New Roman;Times;serif" w:hAnsi="Times New Roman;Times;serif"/>
          <w:sz w:val="20"/>
        </w:rPr>
        <w:t>. Given the inherent uncertainty in projecting results for newer restaurants in newer markets we are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both the thirteen and thirty-nine weeks ended September 27, 2023, we recognized </w:t>
      </w:r>
      <w:r>
        <w:rPr>
          <w:rFonts w:ascii="Times New Roman;Times;serif" w:hAnsi="Times New Roman;Times;serif"/>
          <w:sz w:val="20"/>
          <w:shd w:fill="FFFFFF" w:val="clear"/>
        </w:rPr>
        <w:t>$0.1 million</w:t>
      </w:r>
      <w:r>
        <w:rPr>
          <w:rFonts w:ascii="Times New Roman;Times;serif" w:hAnsi="Times New Roman;Times;serif"/>
          <w:sz w:val="20"/>
        </w:rPr>
        <w:t xml:space="preserve"> of closed-store reserve expense related to the amortization of ROU assets, property taxes and CAM payments for our closed locations.</w:t>
      </w:r>
      <w:r>
        <w:rPr>
          <w:rFonts w:ascii="Times New Roman;Times;serif" w:hAnsi="Times New Roman;Times;serif"/>
          <w:sz w:val="20"/>
          <w:shd w:fill="FFFFFF" w:val="clear"/>
        </w:rPr>
        <w:t xml:space="preserve"> During the thirteen and thirty-nine weeks ended September 28, 2022, we recognized $0.1 million and $0.2 million, respectively, of closed-store reserve expense related to the amortization of ROU assets, property taxes and CAM payments for our closed locations.</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 Net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val="false"/>
          <w:i w:val="false"/>
          <w:caps w:val="false"/>
          <w:smallCaps w:val="false"/>
          <w:sz w:val="20"/>
        </w:rPr>
        <w:t>For the quarter ended September 27, 2023, interest expense, net, increased $1.3 million from t</w:t>
      </w:r>
      <w:r>
        <w:rPr>
          <w:rFonts w:ascii="Times New Roman;Times;serif" w:hAnsi="Times New Roman;Times;serif"/>
          <w:b w:val="false"/>
          <w:i w:val="false"/>
          <w:caps w:val="false"/>
          <w:smallCaps w:val="false"/>
          <w:sz w:val="20"/>
          <w:shd w:fill="FFFFFF" w:val="clear"/>
        </w:rPr>
        <w:t xml:space="preserve">he comparable period in the prior year. </w:t>
      </w:r>
      <w:r>
        <w:rPr>
          <w:rFonts w:ascii="Times New Roman;Times;serif" w:hAnsi="Times New Roman;Times;serif"/>
          <w:b w:val="false"/>
          <w:i w:val="false"/>
          <w:caps w:val="false"/>
          <w:smallCaps w:val="false"/>
          <w:sz w:val="20"/>
        </w:rPr>
        <w:t>For the year-to-date period, interest expense, net, increased $2.4 million from the comparable period in the prior year. Both the quarter and year-to-date period increase in interest expense was primarily related to the higher outstanding balances on our 2022 Revolver (as defined below) as well as the higher interest rates in the fiscal 2023 periods versus t</w:t>
      </w:r>
      <w:r>
        <w:rPr>
          <w:rFonts w:ascii="Times New Roman;Times;serif" w:hAnsi="Times New Roman;Times;serif"/>
          <w:b w:val="false"/>
          <w:i w:val="false"/>
          <w:caps w:val="false"/>
          <w:smallCaps w:val="false"/>
          <w:sz w:val="20"/>
          <w:shd w:fill="FFFFFF" w:val="clear"/>
        </w:rPr>
        <w:t>he comparable periods in the prior year</w:t>
      </w:r>
      <w:r>
        <w:rPr>
          <w:rFonts w:ascii="Times New Roman;Times;serif" w:hAnsi="Times New Roman;Times;serif"/>
          <w:b w:val="false"/>
          <w:i w:val="false"/>
          <w:caps w:val="false"/>
          <w:smallCaps w:val="false"/>
          <w:sz w:val="20"/>
        </w:rPr>
        <w:t>. This increase was partially offset by the unwinding of our interest rate swap and the corresponding payout that was recognized as part of interest income during the thirty-nine weeks ended September 27,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Receivable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July 30, 2014, we entered into the income tax receivable agreement (the “TRA”). The TRA calls for us to pay to our pre-IPO stockholders 85% of the savings in cash that we realize in our taxes as a result of utilizing our net operating losses (“NOLs”) and other tax attributes attributable to preceding periods. For both the thirteen and thirty-nine weeks ended September 27, 2023, we recorded income tax receivable agreement expense of </w:t>
      </w:r>
      <w:r>
        <w:rPr>
          <w:rFonts w:ascii="Times New Roman;Times;serif" w:hAnsi="Times New Roman;Times;serif"/>
          <w:sz w:val="20"/>
          <w:shd w:fill="FFFFFF" w:val="clear"/>
        </w:rPr>
        <w:t xml:space="preserve">$0.1 million and for </w:t>
      </w:r>
      <w:r>
        <w:rPr>
          <w:rFonts w:ascii="Times New Roman;Times;serif" w:hAnsi="Times New Roman;Times;serif"/>
          <w:sz w:val="20"/>
        </w:rPr>
        <w:t xml:space="preserve">the thirteen and thirty-nine weeks ended September 28, 2022 we recorded income tax receivable agreement income of less than </w:t>
      </w:r>
      <w:r>
        <w:rPr>
          <w:rFonts w:ascii="Times New Roman;Times;serif" w:hAnsi="Times New Roman;Times;serif"/>
          <w:sz w:val="20"/>
          <w:shd w:fill="FFFFFF" w:val="clear"/>
        </w:rPr>
        <w:t>$0.1 million and</w:t>
      </w:r>
      <w:r>
        <w:rPr>
          <w:rFonts w:ascii="Times New Roman;Times;serif" w:hAnsi="Times New Roman;Times;serif"/>
          <w:sz w:val="20"/>
        </w:rPr>
        <w:t xml:space="preserve"> $0.3 million,</w:t>
      </w:r>
      <w:r>
        <w:rPr>
          <w:rFonts w:ascii="Times New Roman;Times;serif" w:hAnsi="Times New Roman;Times;serif"/>
          <w:sz w:val="20"/>
          <w:shd w:fill="FFFFFF" w:val="clear"/>
        </w:rPr>
        <w:t xml:space="preserve"> respectively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bookmarkStart w:id="1577" w:name="_Hlk101901576"/>
      <w:bookmarkEnd w:id="1577"/>
      <w:r>
        <w:rPr>
          <w:rFonts w:ascii="Times New Roman;Times;serif" w:hAnsi="Times New Roman;Times;serif"/>
          <w:b/>
          <w:i/>
          <w:sz w:val="20"/>
        </w:rPr>
        <w:t>Provision for Income Taxes</w:t>
      </w:r>
    </w:p>
    <w:p>
      <w:pPr>
        <w:pStyle w:val="TextBody"/>
        <w:bidi w:val="0"/>
        <w:spacing w:before="0" w:after="0"/>
        <w:ind w:left="0" w:right="0" w:hanging="0"/>
        <w:jc w:val="left"/>
        <w:rPr>
          <w:rFonts w:ascii="Times New Roman;Times;serif" w:hAnsi="Times New Roman;Times;serif"/>
          <w:sz w:val="20"/>
        </w:rPr>
      </w:pPr>
      <w:bookmarkStart w:id="1578" w:name="_Hlk109397057"/>
      <w:bookmarkEnd w:id="1578"/>
      <w:r>
        <w:rPr>
          <w:rFonts w:ascii="Times New Roman;Times;serif" w:hAnsi="Times New Roman;Times;serif"/>
          <w:sz w:val="20"/>
        </w:rPr>
        <w:t xml:space="preserve">For the quarter ended September 27, 2023, we recorded an income tax provision of $3.0 million, reflecting an estimated effective tax rate of 24.4%. For the quarter ended September 28, 2022, we recorded an income tax provision of $1.8 million, reflecting an estimated effective tax rate of approximately 26.2%. </w:t>
      </w:r>
      <w:r>
        <w:rPr>
          <w:rFonts w:ascii="Times New Roman;Times;serif" w:hAnsi="Times New Roman;Times;serif"/>
          <w:sz w:val="20"/>
          <w:shd w:fill="FFFFFF" w:val="clear"/>
        </w:rPr>
        <w:t xml:space="preserve">For the year-to-date period ended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September 27, 2023, we recorded an income tax provision of $7.7 million, reflecting an estimated effective tax rate of approximately 26.5%. For the year-to-date period ended September 28, 2022, we recorded an income tax provision of $5.7 million, reflecting an estimated effective tax rate of approximately 28.7%.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difference between the 21.0% statutory rate and our effective tax rate of 26.5% for the </w:t>
      </w:r>
      <w:r>
        <w:rPr>
          <w:rFonts w:ascii="Times New Roman;Times;serif" w:hAnsi="Times New Roman;Times;serif"/>
          <w:sz w:val="20"/>
          <w:shd w:fill="FFFFFF" w:val="clear"/>
        </w:rPr>
        <w:t>year-to-date</w:t>
      </w:r>
      <w:r>
        <w:rPr>
          <w:rFonts w:ascii="Times New Roman;Times;serif" w:hAnsi="Times New Roman;Times;serif"/>
          <w:sz w:val="20"/>
        </w:rPr>
        <w:t xml:space="preserve"> period ended September 27, 2023 is primarily a result </w:t>
      </w:r>
      <w:r>
        <w:rPr>
          <w:rFonts w:ascii="Times New Roman;Times;serif" w:hAnsi="Times New Roman;Times;serif"/>
          <w:sz w:val="20"/>
          <w:shd w:fill="FFFFFF" w:val="clear"/>
        </w:rPr>
        <w:t>of state taxes</w:t>
      </w:r>
      <w:r>
        <w:rPr>
          <w:rFonts w:ascii="Times New Roman;Times;serif" w:hAnsi="Times New Roman;Times;serif"/>
          <w:sz w:val="20"/>
        </w:rPr>
        <w:t>, a non-deductible executive compensation, partially offset by a Work Opportunity Tax Credit benefit</w:t>
      </w:r>
      <w:r>
        <w:rPr>
          <w:rFonts w:ascii="Times New Roman;Times;serif" w:hAnsi="Times New Roman;Times;serif"/>
          <w:sz w:val="20"/>
          <w:shd w:fill="FFFFFF" w:val="clear"/>
        </w:rPr>
        <w:t>.</w:t>
      </w:r>
    </w:p>
    <w:p>
      <w:pPr>
        <w:pStyle w:val="TextBody"/>
        <w:bidi w:val="0"/>
        <w:spacing w:before="0" w:after="240"/>
        <w:ind w:left="0" w:right="0" w:hanging="0"/>
        <w:jc w:val="left"/>
        <w:rPr>
          <w:rFonts w:ascii="Times New Roman;Times;serif" w:hAnsi="Times New Roman;Times;serif"/>
          <w:b/>
          <w:sz w:val="20"/>
        </w:rPr>
      </w:pPr>
      <w:bookmarkStart w:id="1579" w:name="_2233d80c_a870_4ccc_88d8_4b4c583eafef"/>
      <w:bookmarkEnd w:id="1579"/>
      <w:r>
        <w:rPr>
          <w:rFonts w:ascii="Times New Roman;Times;serif" w:hAnsi="Times New Roman;Times;serif"/>
          <w:b/>
          <w:sz w:val="20"/>
        </w:rPr>
        <w:t>Key Performance Indicators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evaluate the performance of our business, we utilize a variety of financial and performance measures. These key measures include company-operated restaurant revenue, system-wide sales, comparable restaurant sales, restaurant contribution, restaurant contribution margin, new restaurant openings, EBITDA, and Adjusted EBITDA.</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System-Wide Sales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System-wide sales are neither required by, nor presented in accordance with GAAP. System-wide sales are the sum of company-operated restaurant revenue and sales from franchised restaurants. Our total revenue in our condensed consolidated statements of income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reconciles system-wide sales to company-operated restaurant revenue and total revenue:</w:t>
      </w:r>
    </w:p>
    <w:tbl>
      <w:tblPr>
        <w:tblW w:w="10205" w:type="dxa"/>
        <w:jc w:val="left"/>
        <w:tblInd w:w="0" w:type="dxa"/>
        <w:tblLayout w:type="fixed"/>
        <w:tblCellMar>
          <w:top w:w="0" w:type="dxa"/>
          <w:left w:w="0" w:type="dxa"/>
          <w:bottom w:w="0" w:type="dxa"/>
          <w:right w:w="0" w:type="dxa"/>
        </w:tblCellMar>
      </w:tblPr>
      <w:tblGrid>
        <w:gridCol w:w="2672"/>
        <w:gridCol w:w="326"/>
        <w:gridCol w:w="328"/>
        <w:gridCol w:w="1218"/>
        <w:gridCol w:w="326"/>
        <w:gridCol w:w="328"/>
        <w:gridCol w:w="1218"/>
        <w:gridCol w:w="326"/>
        <w:gridCol w:w="328"/>
        <w:gridCol w:w="1218"/>
        <w:gridCol w:w="326"/>
        <w:gridCol w:w="302"/>
        <w:gridCol w:w="1289"/>
      </w:tblGrid>
      <w:tr>
        <w:trPr/>
        <w:tc>
          <w:tcPr>
            <w:tcW w:w="2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696720" cy="175260"/>
                      <wp:effectExtent l="0" t="0" r="0" b="0"/>
                      <wp:wrapNone/>
                      <wp:docPr id="467" name="Frame467"/>
                      <a:graphic xmlns:a="http://schemas.openxmlformats.org/drawingml/2006/main">
                        <a:graphicData uri="http://schemas.microsoft.com/office/word/2010/wordprocessingShape">
                          <wps:wsp>
                            <wps:cNvSpPr txBox="1"/>
                            <wps:spPr>
                              <a:xfrm>
                                <a:off x="0" y="0"/>
                                <a:ext cx="1696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68" name="Frame4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8280" cy="175260"/>
                      <wp:effectExtent l="0" t="0" r="0" b="0"/>
                      <wp:wrapNone/>
                      <wp:docPr id="469" name="Frame469"/>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773430" cy="175260"/>
                      <wp:effectExtent l="0" t="0" r="0" b="0"/>
                      <wp:wrapNone/>
                      <wp:docPr id="470" name="Frame470"/>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71" name="Frame4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8280" cy="175260"/>
                      <wp:effectExtent l="0" t="0" r="0" b="0"/>
                      <wp:wrapNone/>
                      <wp:docPr id="472" name="Frame472"/>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773430" cy="175260"/>
                      <wp:effectExtent l="0" t="0" r="0" b="0"/>
                      <wp:wrapNone/>
                      <wp:docPr id="473" name="Frame473"/>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07010" cy="175260"/>
                      <wp:effectExtent l="0" t="0" r="0" b="0"/>
                      <wp:wrapNone/>
                      <wp:docPr id="474" name="Frame4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8280" cy="175260"/>
                      <wp:effectExtent l="0" t="0" r="0" b="0"/>
                      <wp:wrapNone/>
                      <wp:docPr id="475" name="Frame47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773430" cy="175260"/>
                      <wp:effectExtent l="0" t="0" r="0" b="0"/>
                      <wp:wrapNone/>
                      <wp:docPr id="476" name="Frame476"/>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77" name="Frame4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91770" cy="175260"/>
                      <wp:effectExtent l="0" t="0" r="0" b="0"/>
                      <wp:wrapNone/>
                      <wp:docPr id="478" name="Frame478"/>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818515" cy="175260"/>
                      <wp:effectExtent l="0" t="0" r="0" b="0"/>
                      <wp:wrapNone/>
                      <wp:docPr id="479" name="Frame479"/>
                      <a:graphic xmlns:a="http://schemas.openxmlformats.org/drawingml/2006/main">
                        <a:graphicData uri="http://schemas.microsoft.com/office/word/2010/wordprocessingShape">
                          <wps:wsp>
                            <wps:cNvSpPr txBox="1"/>
                            <wps:spPr>
                              <a:xfrm>
                                <a:off x="0" y="0"/>
                                <a:ext cx="818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09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1"/>
              <w:ind w:left="0" w:right="0" w:hanging="0"/>
              <w:jc w:val="left"/>
              <w:rPr/>
            </w:pPr>
            <w:r>
              <w:rPr/>
              <w:t>​</w:t>
            </w:r>
          </w:p>
        </w:tc>
        <w:tc>
          <w:tcPr>
            <w:tcW w:w="34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Thirty-Nine Weeks Ended </w:t>
            </w:r>
          </w:p>
        </w:tc>
      </w:tr>
      <w:tr>
        <w:trPr/>
        <w:tc>
          <w:tcPr>
            <w:tcW w:w="267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 amounts in thousands)</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26" w:type="dxa"/>
            <w:tcBorders/>
            <w:vAlign w:val="center"/>
          </w:tcPr>
          <w:p>
            <w:pPr>
              <w:pStyle w:val="TableContents"/>
              <w:bidi w:val="0"/>
              <w:spacing w:before="0" w:after="1"/>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r>
      <w:tr>
        <w:trPr/>
        <w:tc>
          <w:tcPr>
            <w:tcW w:w="267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102,703</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103,174</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304,477</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303,585</w:t>
            </w:r>
          </w:p>
        </w:tc>
      </w:tr>
      <w:tr>
        <w:trPr/>
        <w:tc>
          <w:tcPr>
            <w:tcW w:w="26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10,255</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9,543</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30,046</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2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28,862</w:t>
            </w:r>
          </w:p>
        </w:tc>
      </w:tr>
      <w:tr>
        <w:trPr/>
        <w:tc>
          <w:tcPr>
            <w:tcW w:w="26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7,441</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7,161</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21,894</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21,590</w:t>
            </w:r>
          </w:p>
        </w:tc>
      </w:tr>
      <w:tr>
        <w:trPr/>
        <w:tc>
          <w:tcPr>
            <w:tcW w:w="267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120,399</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119,878</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356,417</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2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354,037</w:t>
            </w:r>
          </w:p>
        </w:tc>
      </w:tr>
      <w:tr>
        <w:trPr/>
        <w:tc>
          <w:tcPr>
            <w:tcW w:w="26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(10,255)</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(9,543)</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(30,046)</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2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(28,862)</w:t>
            </w:r>
          </w:p>
        </w:tc>
      </w:tr>
      <w:tr>
        <w:trPr/>
        <w:tc>
          <w:tcPr>
            <w:tcW w:w="26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(7,441)</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(7,161)</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(21,894)</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12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(21,590)</w:t>
            </w:r>
          </w:p>
        </w:tc>
      </w:tr>
      <w:tr>
        <w:trPr/>
        <w:tc>
          <w:tcPr>
            <w:tcW w:w="26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from franchised restaurants</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166,052</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159,742</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488,117</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481,351</w:t>
            </w:r>
          </w:p>
        </w:tc>
      </w:tr>
      <w:tr>
        <w:trPr/>
        <w:tc>
          <w:tcPr>
            <w:tcW w:w="267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System-wide sales</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268,755</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262,916</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792,594</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9"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784,936</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Company-Operated Restaurant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Comparable Restaurant Sales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September 27, 2023 and September 28, 2022, there were 470 and 466 comparable restaurants, 181 and 184 company-operated restaurants and 289 and 282 franchised restaurants, respectively. Comparable restaurant sales indicate the performance of existing restaurants, since new restaurants are excluded. Because other companies may calculate this measure differently than we do, comparable restaurant sales as presented herein may not be comparable to similarly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titled measures reported by other companies. Management believes that comparable restaurant sales is a valuable metric for investors to evaluate the performance of our store base, excluding the impact of new stores and closed stores.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Comparable restaurant sales growth can be generated by an increase in the number of meals sold and/or by increases in the average check amount, resulting from a shift in menu mix and/or higher prices resulting from new products or price increases.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Restaurant Contribution and Restaurant Contribution Margin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therefore excludes franchise revenue, franchise advertising fee revenue and franchise expenses as well as certain other costs, such as general and administrative expenses, franchise expenses, depreciation and amortization, asset impairment and closed-store reserve, loss on disposal of assets and other costs that are considered corporate-level expenses and are not considered normal operating costs of our restaurants.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a supplemental measure of restaurant performance. Management believes that restaurant contribution and restaurant contribution margin are important tools for investors, because they are widely-used metrics within the restaurant industry to evaluate restaurant-level productivity, efficiency, and performance. Management further believes restaurant level operating is useful to investors to highlight trends in our core business that may not otherwise be apparent to investors when relying solely on GAAP financial measures.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reconciliation of restaurant contribution and restaurant contribution margin to company-operated restaurant revenue is provided below:</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71"/>
        <w:gridCol w:w="326"/>
        <w:gridCol w:w="328"/>
        <w:gridCol w:w="1218"/>
        <w:gridCol w:w="361"/>
        <w:gridCol w:w="328"/>
        <w:gridCol w:w="1218"/>
        <w:gridCol w:w="361"/>
        <w:gridCol w:w="109"/>
        <w:gridCol w:w="328"/>
        <w:gridCol w:w="1218"/>
        <w:gridCol w:w="361"/>
        <w:gridCol w:w="328"/>
        <w:gridCol w:w="1218"/>
        <w:gridCol w:w="361"/>
        <w:gridCol w:w="37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124585" cy="175260"/>
                      <wp:effectExtent l="0" t="0" r="0" b="0"/>
                      <wp:wrapNone/>
                      <wp:docPr id="480" name="Frame480"/>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81" name="Frame4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8280" cy="175260"/>
                      <wp:effectExtent l="0" t="0" r="0" b="0"/>
                      <wp:wrapNone/>
                      <wp:docPr id="482" name="Frame482"/>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773430" cy="175260"/>
                      <wp:effectExtent l="0" t="0" r="0" b="0"/>
                      <wp:wrapNone/>
                      <wp:docPr id="483" name="Frame483"/>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29235" cy="175260"/>
                      <wp:effectExtent l="0" t="0" r="0" b="0"/>
                      <wp:wrapNone/>
                      <wp:docPr id="484" name="Frame48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8280" cy="175260"/>
                      <wp:effectExtent l="0" t="0" r="0" b="0"/>
                      <wp:wrapNone/>
                      <wp:docPr id="485" name="Frame48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773430" cy="175260"/>
                      <wp:effectExtent l="0" t="0" r="0" b="0"/>
                      <wp:wrapNone/>
                      <wp:docPr id="486" name="Frame486"/>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29235" cy="175260"/>
                      <wp:effectExtent l="0" t="0" r="0" b="0"/>
                      <wp:wrapNone/>
                      <wp:docPr id="487" name="Frame48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9215" cy="175260"/>
                      <wp:effectExtent l="0" t="0" r="0" b="0"/>
                      <wp:wrapNone/>
                      <wp:docPr id="488" name="Frame4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8280" cy="175260"/>
                      <wp:effectExtent l="0" t="0" r="0" b="0"/>
                      <wp:wrapNone/>
                      <wp:docPr id="489" name="Frame489"/>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773430" cy="175260"/>
                      <wp:effectExtent l="0" t="0" r="0" b="0"/>
                      <wp:wrapNone/>
                      <wp:docPr id="490" name="Frame490"/>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29235" cy="175260"/>
                      <wp:effectExtent l="0" t="0" r="0" b="0"/>
                      <wp:wrapNone/>
                      <wp:docPr id="491" name="Frame49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8280" cy="175260"/>
                      <wp:effectExtent l="0" t="0" r="0" b="0"/>
                      <wp:wrapNone/>
                      <wp:docPr id="492" name="Frame492"/>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773430" cy="175260"/>
                      <wp:effectExtent l="0" t="0" r="0" b="0"/>
                      <wp:wrapNone/>
                      <wp:docPr id="493" name="Frame493"/>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29235" cy="175260"/>
                      <wp:effectExtent l="0" t="0" r="0" b="0"/>
                      <wp:wrapNone/>
                      <wp:docPr id="494" name="Frame49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35585" cy="175260"/>
                      <wp:effectExtent l="0" t="0" r="0" b="0"/>
                      <wp:wrapNone/>
                      <wp:docPr id="495" name="Frame49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4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Thirty-Nine Weeks Ended </w:t>
            </w:r>
          </w:p>
        </w:tc>
        <w:tc>
          <w:tcPr>
            <w:tcW w:w="361" w:type="dxa"/>
            <w:tcBorders/>
            <w:vAlign w:val="center"/>
          </w:tcPr>
          <w:p>
            <w:pPr>
              <w:pStyle w:val="TableContents"/>
              <w:bidi w:val="0"/>
              <w:spacing w:before="0" w:after="0"/>
              <w:ind w:left="0" w:right="0" w:hanging="0"/>
              <w:jc w:val="center"/>
              <w:rPr/>
            </w:pPr>
            <w:r>
              <w:rPr/>
              <w:t>​</w:t>
            </w:r>
          </w:p>
        </w:tc>
        <w:tc>
          <w:tcPr>
            <w:tcW w:w="371" w:type="dxa"/>
            <w:tcBorders/>
            <w:vAlign w:val="center"/>
          </w:tcPr>
          <w:p>
            <w:pPr>
              <w:pStyle w:val="TableContents"/>
              <w:bidi w:val="0"/>
              <w:spacing w:before="0" w:after="0"/>
              <w:ind w:left="0" w:right="0" w:hanging="0"/>
              <w:jc w:val="center"/>
              <w:rPr/>
            </w:pPr>
            <w:r>
              <w:rPr/>
              <w:t>    </w:t>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 amounts in thousands)</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61"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6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61"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61"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center"/>
              <w:rPr/>
            </w:pPr>
            <w:r>
              <w:rPr/>
              <w:t>    </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Restaurant contribution:</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13,692</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6,864</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32,331</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20,613</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(less):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9,144</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9,855</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31,451</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29,488</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9,583</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9,027</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28,107</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27,315</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3,946</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11,277</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10,745</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disposal of assets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recovery of insurance proceeds, property, equipment and expenses</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(10,255)</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(9,543)</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(30,046)</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(28,862)</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(7,441)</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(7,161)</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(21,894)</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(21,590)</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restaurants</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(4,923)</w:t>
            </w:r>
          </w:p>
        </w:tc>
        <w:tc>
          <w:tcPr>
            <w:tcW w:w="361"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(5,034)</w:t>
            </w:r>
          </w:p>
        </w:tc>
        <w:tc>
          <w:tcPr>
            <w:tcW w:w="361"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Restaurant contribution</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14,770</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12,812</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47,039</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38,436</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120,399</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119,878</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356,417</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354,037</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(10,255)</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(9,543)</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(30,046)</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(28,862)</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(7,441)</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(7,161)</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(21,894)</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(21,590)</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102,703</w:t>
            </w:r>
          </w:p>
        </w:tc>
        <w:tc>
          <w:tcPr>
            <w:tcW w:w="361"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103,174</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304,477</w:t>
            </w:r>
          </w:p>
        </w:tc>
        <w:tc>
          <w:tcPr>
            <w:tcW w:w="361"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303,585</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7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contribution margin (%)</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New Restaurant Openings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higher-than-normal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EBITDA and Adjusted EBITDA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EBITDA represents net income before interest expense, provision for income taxes, depreciation, and amortization. Adjusted EBITDA represents net income before interest expense, provision for income taxes, depreciation, amortization, and other items that we do not consider representative of normal operating expenses or our on-going operating performance, as identified in the reconciliation table below.</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NOLs)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reconciliations of our net income to our EBITDA and Adjusted EBITDA:</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46"/>
        <w:gridCol w:w="326"/>
        <w:gridCol w:w="367"/>
        <w:gridCol w:w="1179"/>
        <w:gridCol w:w="326"/>
        <w:gridCol w:w="367"/>
        <w:gridCol w:w="1179"/>
        <w:gridCol w:w="326"/>
        <w:gridCol w:w="367"/>
        <w:gridCol w:w="1179"/>
        <w:gridCol w:w="326"/>
        <w:gridCol w:w="367"/>
        <w:gridCol w:w="1179"/>
        <w:gridCol w:w="371"/>
      </w:tblGrid>
      <w:tr>
        <w:trPr/>
        <w:tc>
          <w:tcPr>
            <w:tcW w:w="2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489710" cy="175260"/>
                      <wp:effectExtent l="0" t="0" r="0" b="0"/>
                      <wp:wrapNone/>
                      <wp:docPr id="496" name="Frame496"/>
                      <a:graphic xmlns:a="http://schemas.openxmlformats.org/drawingml/2006/main">
                        <a:graphicData uri="http://schemas.microsoft.com/office/word/2010/wordprocessingShape">
                          <wps:wsp>
                            <wps:cNvSpPr txBox="1"/>
                            <wps:spPr>
                              <a:xfrm>
                                <a:off x="0" y="0"/>
                                <a:ext cx="148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7010" cy="175260"/>
                      <wp:effectExtent l="0" t="0" r="0" b="0"/>
                      <wp:wrapNone/>
                      <wp:docPr id="497" name="Frame4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33045" cy="175260"/>
                      <wp:effectExtent l="0" t="0" r="0" b="0"/>
                      <wp:wrapNone/>
                      <wp:docPr id="498" name="Frame498"/>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748665" cy="175260"/>
                      <wp:effectExtent l="0" t="0" r="0" b="0"/>
                      <wp:wrapNone/>
                      <wp:docPr id="499" name="Frame499"/>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7010" cy="175260"/>
                      <wp:effectExtent l="0" t="0" r="0" b="0"/>
                      <wp:wrapNone/>
                      <wp:docPr id="500" name="Frame5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33045" cy="175260"/>
                      <wp:effectExtent l="0" t="0" r="0" b="0"/>
                      <wp:wrapNone/>
                      <wp:docPr id="501" name="Frame501"/>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748665" cy="175260"/>
                      <wp:effectExtent l="0" t="0" r="0" b="0"/>
                      <wp:wrapNone/>
                      <wp:docPr id="502" name="Frame502"/>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07010" cy="175260"/>
                      <wp:effectExtent l="0" t="0" r="0" b="0"/>
                      <wp:wrapNone/>
                      <wp:docPr id="503" name="Frame5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33045" cy="175260"/>
                      <wp:effectExtent l="0" t="0" r="0" b="0"/>
                      <wp:wrapNone/>
                      <wp:docPr id="504" name="Frame504"/>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748665" cy="175260"/>
                      <wp:effectExtent l="0" t="0" r="0" b="0"/>
                      <wp:wrapNone/>
                      <wp:docPr id="505" name="Frame505"/>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07010" cy="175260"/>
                      <wp:effectExtent l="0" t="0" r="0" b="0"/>
                      <wp:wrapNone/>
                      <wp:docPr id="506" name="Frame5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33045" cy="175260"/>
                      <wp:effectExtent l="0" t="0" r="0" b="0"/>
                      <wp:wrapNone/>
                      <wp:docPr id="507" name="Frame507"/>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748665" cy="175260"/>
                      <wp:effectExtent l="0" t="0" r="0" b="0"/>
                      <wp:wrapNone/>
                      <wp:docPr id="508" name="Frame508"/>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35585" cy="175260"/>
                      <wp:effectExtent l="0" t="0" r="0" b="0"/>
                      <wp:wrapNone/>
                      <wp:docPr id="509" name="Frame50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4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1"/>
              <w:ind w:left="0" w:right="0" w:hanging="0"/>
              <w:jc w:val="center"/>
              <w:rPr/>
            </w:pPr>
            <w:r>
              <w:rPr/>
              <w:t>    </w:t>
            </w:r>
          </w:p>
        </w:tc>
        <w:tc>
          <w:tcPr>
            <w:tcW w:w="34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Thirty-Nine Weeks Ended </w:t>
            </w:r>
          </w:p>
        </w:tc>
        <w:tc>
          <w:tcPr>
            <w:tcW w:w="371" w:type="dxa"/>
            <w:tcBorders/>
            <w:vAlign w:val="center"/>
          </w:tcPr>
          <w:p>
            <w:pPr>
              <w:pStyle w:val="TableContents"/>
              <w:bidi w:val="0"/>
              <w:spacing w:before="0" w:after="1"/>
              <w:ind w:left="0" w:right="0" w:hanging="0"/>
              <w:jc w:val="center"/>
              <w:rPr/>
            </w:pPr>
            <w:r>
              <w:rPr/>
              <w:t>    </w:t>
            </w:r>
          </w:p>
        </w:tc>
      </w:tr>
      <w:tr>
        <w:trPr/>
        <w:tc>
          <w:tcPr>
            <w:tcW w:w="23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(Amounts in thousands)</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71" w:type="dxa"/>
            <w:tcBorders/>
            <w:vAlign w:val="center"/>
          </w:tcPr>
          <w:p>
            <w:pPr>
              <w:pStyle w:val="TableContents"/>
              <w:bidi w:val="0"/>
              <w:spacing w:before="0" w:after="1"/>
              <w:ind w:left="0" w:right="0" w:hanging="0"/>
              <w:jc w:val="center"/>
              <w:rPr/>
            </w:pPr>
            <w:r>
              <w:rPr/>
              <w:t>    </w:t>
            </w:r>
          </w:p>
        </w:tc>
      </w:tr>
      <w:tr>
        <w:trPr/>
        <w:tc>
          <w:tcPr>
            <w:tcW w:w="2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9,229</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5,009</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21,203</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14,265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Non-GAAP adjustments:</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2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2,975</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1,776</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7,661</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5,736</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 of interest income</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3,362</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957</w:t>
            </w:r>
          </w:p>
        </w:tc>
        <w:tc>
          <w:tcPr>
            <w:tcW w:w="371" w:type="dxa"/>
            <w:tcBorders/>
            <w:vAlign w:val="center"/>
          </w:tcPr>
          <w:p>
            <w:pPr>
              <w:pStyle w:val="TableContents"/>
              <w:bidi w:val="0"/>
              <w:spacing w:before="0" w:after="1"/>
              <w:ind w:left="0" w:right="0" w:hanging="0"/>
              <w:jc w:val="left"/>
              <w:rPr/>
            </w:pPr>
            <w:r>
              <w:rPr/>
              <w:t>​</w:t>
            </w:r>
          </w:p>
        </w:tc>
      </w:tr>
      <w:tr>
        <w:trPr/>
        <w:tc>
          <w:tcPr>
            <w:tcW w:w="2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3,946</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3,530</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11,277</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EBITDA</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17,532</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10,423</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43,503</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31,703</w:t>
            </w:r>
          </w:p>
        </w:tc>
        <w:tc>
          <w:tcPr>
            <w:tcW w:w="371" w:type="dxa"/>
            <w:tcBorders/>
            <w:vAlign w:val="center"/>
          </w:tcPr>
          <w:p>
            <w:pPr>
              <w:pStyle w:val="TableContents"/>
              <w:bidi w:val="0"/>
              <w:spacing w:before="0" w:after="1"/>
              <w:ind w:left="0" w:right="0" w:hanging="0"/>
              <w:jc w:val="left"/>
              <w:rPr/>
            </w:pPr>
            <w:r>
              <w:rPr/>
              <w:t>​</w:t>
            </w:r>
          </w:p>
        </w:tc>
      </w:tr>
      <w:tr>
        <w:trPr/>
        <w:tc>
          <w:tcPr>
            <w:tcW w:w="2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 (a)</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2,514</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2,806</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(gain) on disposal of assets (b)</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71" w:type="dxa"/>
            <w:tcBorders/>
            <w:vAlign w:val="center"/>
          </w:tcPr>
          <w:p>
            <w:pPr>
              <w:pStyle w:val="TableContents"/>
              <w:bidi w:val="0"/>
              <w:spacing w:before="0" w:after="1"/>
              <w:ind w:left="0" w:right="0" w:hanging="0"/>
              <w:jc w:val="left"/>
              <w:rPr/>
            </w:pPr>
            <w:r>
              <w:rPr/>
              <w:t>​</w:t>
            </w:r>
          </w:p>
        </w:tc>
      </w:tr>
      <w:tr>
        <w:trPr/>
        <w:tc>
          <w:tcPr>
            <w:tcW w:w="2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and closed-store reserves (c)</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1,123</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restaurants (d)</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(4,923)</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(5,034)</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2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receivable agreement expense (income) (e)</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class action legal expense (f)</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c>
          <w:tcPr>
            <w:tcW w:w="371" w:type="dxa"/>
            <w:tcBorders/>
            <w:vAlign w:val="center"/>
          </w:tcPr>
          <w:p>
            <w:pPr>
              <w:pStyle w:val="TableContents"/>
              <w:bidi w:val="0"/>
              <w:spacing w:before="0" w:after="1"/>
              <w:ind w:left="0" w:right="0" w:hanging="0"/>
              <w:jc w:val="left"/>
              <w:rPr/>
            </w:pPr>
            <w:r>
              <w:rPr/>
              <w:t>​</w:t>
            </w:r>
          </w:p>
        </w:tc>
      </w:tr>
      <w:tr>
        <w:trPr/>
        <w:tc>
          <w:tcPr>
            <w:tcW w:w="2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Special dividend (g)</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Legal settlements (h)</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w:t>
            </w:r>
          </w:p>
        </w:tc>
        <w:tc>
          <w:tcPr>
            <w:tcW w:w="371" w:type="dxa"/>
            <w:tcBorders/>
            <w:vAlign w:val="center"/>
          </w:tcPr>
          <w:p>
            <w:pPr>
              <w:pStyle w:val="TableContents"/>
              <w:bidi w:val="0"/>
              <w:spacing w:before="0" w:after="1"/>
              <w:ind w:left="0" w:right="0" w:hanging="0"/>
              <w:jc w:val="left"/>
              <w:rPr/>
            </w:pPr>
            <w:r>
              <w:rPr/>
              <w:t>​</w:t>
            </w:r>
          </w:p>
        </w:tc>
      </w:tr>
      <w:tr>
        <w:trPr/>
        <w:tc>
          <w:tcPr>
            <w:tcW w:w="2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Special legal expenses (i)</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Shareholder advisory fees (j)</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2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recovery of insurance proceeds (k)</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(l)</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1,055</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2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Pre-opening costs (m)</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14,997</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11,573</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43,788</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35,423</w:t>
            </w:r>
          </w:p>
        </w:tc>
        <w:tc>
          <w:tcPr>
            <w:tcW w:w="371" w:type="dxa"/>
            <w:tcBorders/>
            <w:vAlign w:val="center"/>
          </w:tcPr>
          <w:p>
            <w:pPr>
              <w:pStyle w:val="TableContents"/>
              <w:bidi w:val="0"/>
              <w:spacing w:before="0" w:after="1"/>
              <w:ind w:left="0" w:right="0" w:hanging="0"/>
              <w:jc w:val="left"/>
              <w:rPr/>
            </w:pPr>
            <w:r>
              <w:rPr/>
              <w:t>​</w:t>
            </w:r>
          </w:p>
        </w:tc>
      </w:tr>
    </w:tbl>
    <w:tbl>
      <w:tblPr>
        <w:tblW w:w="4232" w:type="dxa"/>
        <w:jc w:val="left"/>
        <w:tblInd w:w="0" w:type="dxa"/>
        <w:tblLayout w:type="fixed"/>
        <w:tblCellMar>
          <w:top w:w="0" w:type="dxa"/>
          <w:left w:w="0" w:type="dxa"/>
          <w:bottom w:w="0" w:type="dxa"/>
          <w:right w:w="0" w:type="dxa"/>
        </w:tblCellMar>
      </w:tblPr>
      <w:tblGrid>
        <w:gridCol w:w="331"/>
        <w:gridCol w:w="390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non-cash, stock-based compensation.</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(gain) on disposal of assets includes the loss (gain) on disposal of assets related to retirements and replacement or write-off of leasehold improvements or equipment.</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Includes costs related to impairment of long-lived and ROU assets and closing restaurants. During both the thirteen and thirty-nine weeks ended September 27, 2023, we recorded non-cash impairment charges of $1.0 million</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 xml:space="preserve">primarily related to the carrying value of the ROU assets of one restaurant in California and the carrying value of the long-lived assets of one restaurant in Nevada. During the thirteen and thirty-nine weeks ended September 28, 2022, we recorded non-cash impairment charges of $0.1 million </w:t>
            </w:r>
            <w:r>
              <w:rPr>
                <w:rFonts w:ascii="Times New Roman;Times;serif" w:hAnsi="Times New Roman;Times;serif"/>
                <w:b w:val="false"/>
                <w:i w:val="false"/>
                <w:caps w:val="false"/>
                <w:smallCaps w:val="false"/>
                <w:sz w:val="20"/>
                <w:shd w:fill="FFFFFF" w:val="clear"/>
              </w:rPr>
              <w:t>and $0.4 million, respecti</w:t>
            </w:r>
            <w:r>
              <w:rPr>
                <w:rFonts w:ascii="Times New Roman;Times;serif" w:hAnsi="Times New Roman;Times;serif"/>
                <w:b w:val="false"/>
                <w:i w:val="false"/>
                <w:caps w:val="false"/>
                <w:smallCaps w:val="false"/>
                <w:sz w:val="20"/>
              </w:rPr>
              <w:t xml:space="preserve">vely, primarily related to the long-lived assets of one restaurant in California. </w:t>
            </w:r>
          </w:p>
        </w:tc>
      </w:tr>
    </w:tbl>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During both the thirteen and thirty-nine weeks ended September 27, 2023, we recognized $0.1 million of closed-store reserve expense related to the amortization of ROU assets, property taxes and CAM payments for our closed locations. During the thirteen and thirty-nine weeks ended September 28, 2022, we recognized $0.1 million and $0.2 million, respectively, of closed-store reserve expense related to the amortization of ROU assets, property taxes and CAM payments for our closed locations.</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During the thirteen and thirty-nine weeks ended September 27, 2023, we completed the sale of 17 and 18 restaurants, respectively, within California, Utah and Texas to existing franchisees. During the thirteen and thirty-nine weeks </w:t>
            </w:r>
            <w:r>
              <w:rPr>
                <w:rFonts w:ascii="inherit" w:hAnsi="inherit"/>
                <w:b w:val="false"/>
                <w:i w:val="false"/>
                <w:caps w:val="false"/>
                <w:smallCaps w:val="false"/>
                <w:sz w:val="20"/>
                <w:shd w:fill="FFFFFF" w:val="clear"/>
              </w:rPr>
              <w:t>ended September</w:t>
            </w:r>
            <w:r>
              <w:rPr>
                <w:caps w:val="false"/>
                <w:smallCaps w:val="false"/>
                <w:shd w:fill="FFFFFF" w:val="clear"/>
              </w:rPr>
              <w:t> </w:t>
            </w:r>
            <w:r>
              <w:rPr>
                <w:rFonts w:ascii="inherit" w:hAnsi="inherit"/>
                <w:b w:val="false"/>
                <w:i w:val="false"/>
                <w:caps w:val="false"/>
                <w:smallCaps w:val="false"/>
                <w:sz w:val="20"/>
                <w:shd w:fill="FFFFFF" w:val="clear"/>
              </w:rPr>
              <w:t>27,</w:t>
            </w:r>
            <w:r>
              <w:rPr>
                <w:caps w:val="false"/>
                <w:smallCaps w:val="false"/>
                <w:shd w:fill="FFFFFF" w:val="clear"/>
              </w:rPr>
              <w:t> </w:t>
            </w:r>
            <w:r>
              <w:rPr>
                <w:rFonts w:ascii="inherit" w:hAnsi="inherit"/>
                <w:b w:val="false"/>
                <w:i w:val="false"/>
                <w:caps w:val="false"/>
                <w:smallCaps w:val="false"/>
                <w:sz w:val="20"/>
                <w:shd w:fill="FFFFFF" w:val="clear"/>
              </w:rPr>
              <w:t>2023, these sales resulted in cash proceeds of</w:t>
            </w:r>
            <w:r>
              <w:rPr>
                <w:caps w:val="false"/>
                <w:smallCaps w:val="false"/>
                <w:shd w:fill="FFFFFF" w:val="clear"/>
              </w:rPr>
              <w:t> </w:t>
            </w:r>
            <w:r>
              <w:rPr>
                <w:rFonts w:ascii="inherit" w:hAnsi="inherit"/>
                <w:b w:val="false"/>
                <w:i w:val="false"/>
                <w:caps w:val="false"/>
                <w:smallCaps w:val="false"/>
                <w:sz w:val="20"/>
                <w:shd w:fill="FFFFFF" w:val="clear"/>
              </w:rPr>
              <w:t>$7.5 million</w:t>
            </w:r>
            <w:r>
              <w:rPr>
                <w:caps w:val="false"/>
                <w:smallCaps w:val="false"/>
                <w:shd w:fill="FFFFFF" w:val="clear"/>
              </w:rPr>
              <w:t> </w:t>
            </w:r>
            <w:r>
              <w:rPr>
                <w:rFonts w:ascii="inherit" w:hAnsi="inherit"/>
                <w:b w:val="false"/>
                <w:i w:val="false"/>
                <w:caps w:val="false"/>
                <w:smallCaps w:val="false"/>
                <w:sz w:val="20"/>
                <w:shd w:fill="FFFFFF" w:val="clear"/>
              </w:rPr>
              <w:t>and $7.7 million, respectively, and a net gain on sale of restaurant of $4.9 million and $5.0 million, respectively.</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2014, we entered into the TRA. This agreement calls for us to pay to our pre-IPO stockholders 85% of the savings in cash that we realize in our taxes as a result of utilizing our NOLs and other tax attributes attributable to preceding periods. For the thirteen and thirty-nine weeks ended September 27, 2023 and September 28, 2022, income tax receivable agreement expense (income) consisted of the amortization of interest expense and changes in estimates for actual tax returns filed, related to our total expected TRA payments.</w:t>
            </w:r>
          </w:p>
        </w:tc>
      </w:tr>
    </w:tbl>
    <w:tbl>
      <w:tblPr>
        <w:tblW w:w="6602" w:type="dxa"/>
        <w:jc w:val="left"/>
        <w:tblInd w:w="0" w:type="dxa"/>
        <w:tblLayout w:type="fixed"/>
        <w:tblCellMar>
          <w:top w:w="0" w:type="dxa"/>
          <w:left w:w="0" w:type="dxa"/>
          <w:bottom w:w="0" w:type="dxa"/>
          <w:right w:w="0" w:type="dxa"/>
        </w:tblCellMar>
      </w:tblPr>
      <w:tblGrid>
        <w:gridCol w:w="301"/>
        <w:gridCol w:w="630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6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costs and recoveries related to the defense of securities lawsuits. </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costs related to a special dividend declaration. On October 11, 2022, the Board of Directors declared a special dividend of $1.50 per share on the common stock of the Company. The special dividend was paid on November 9, 2022, to stockholders of record, including holders of restricted stock, at the close of business on October 24, 2022.</w:t>
            </w:r>
          </w:p>
        </w:tc>
      </w:tr>
    </w:tbl>
    <w:tbl>
      <w:tblPr>
        <w:tblW w:w="6632" w:type="dxa"/>
        <w:jc w:val="left"/>
        <w:tblInd w:w="0" w:type="dxa"/>
        <w:tblLayout w:type="fixed"/>
        <w:tblCellMar>
          <w:top w:w="0" w:type="dxa"/>
          <w:left w:w="0" w:type="dxa"/>
          <w:bottom w:w="0" w:type="dxa"/>
          <w:right w:w="0" w:type="dxa"/>
        </w:tblCellMar>
      </w:tblPr>
      <w:tblGrid>
        <w:gridCol w:w="346"/>
        <w:gridCol w:w="628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6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Includes $0.5 million received from legal settlements, net of legal expenses.</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Consists of legal costs related to the share distribution that occurred on March 28, 2023. Refer to Note 9, “Related Party Transactions” for further details on the share distribution.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994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Consists of advisory fees pertaining to a Shareholder Rights Agreement adopted in connection with a shareholder’s accumulation of a significant amount of shares of our common stock. </w:t>
            </w:r>
            <w:r>
              <w:rPr>
                <w:rFonts w:ascii="Times New Roman;Times;serif" w:hAnsi="Times New Roman;Times;serif"/>
                <w:b w:val="false"/>
                <w:i w:val="false"/>
                <w:caps w:val="false"/>
                <w:smallCaps w:val="false"/>
                <w:sz w:val="20"/>
                <w:shd w:fill="FFFFFF" w:val="clear"/>
              </w:rPr>
              <w:t>Refer to Note 12, “Shareholder Rights Agreement” for further details on the Shareholder Rights Agreement.</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one of our restaurants incurred damage resulting from a fire. In 2022, we disposed of less than $0.1 million of assets related to the fire. The restaurant was reopened for business on October 27, 2022. In fiscal 2023, we incurred costs directly related to the fire of less than $0.1 million. We recognized gains of $0.2 million, related to the reimbursement of property and equipment and expenses incurred and $0.2 million related to the reimbursement of lost profits. The gain on recovery of insurance proceeds and reimbursement of lost profits, net of the related costs is included in the accompanying condensed consolidated statements of income, for fiscal 2023, as a reduction of company restaurant expenses. We received from the insurance company cash of $0.4 million, net of the insurance deductible, during fiscal 2023.</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9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2023 the Company made the decision to eliminate and restructure certain positions in the organization, which resulted in one-time costs of approximately $1.1 million. </w:t>
            </w:r>
          </w:p>
        </w:tc>
      </w:tr>
    </w:tbl>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t>
            </w:r>
          </w:p>
        </w:tc>
        <w:tc>
          <w:tcPr>
            <w:tcW w:w="98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tc>
      </w:tr>
    </w:tbl>
    <w:p>
      <w:pPr>
        <w:pStyle w:val="TextBody"/>
        <w:bidi w:val="0"/>
        <w:spacing w:before="0" w:after="240"/>
        <w:ind w:left="0" w:right="0" w:hanging="0"/>
        <w:jc w:val="left"/>
        <w:rPr>
          <w:rFonts w:ascii="Times New Roman;Times;serif" w:hAnsi="Times New Roman;Times;serif"/>
          <w:b/>
          <w:sz w:val="20"/>
        </w:rPr>
      </w:pPr>
      <w:bookmarkStart w:id="1580" w:name="_97e6a5fb_f0f7_4d3e_9cc9_0e324daeb838"/>
      <w:bookmarkEnd w:id="1580"/>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Our primary sources of liquidity and capital resources have been cash provided from operations, cash and cash equivalents, and our </w:t>
      </w:r>
      <w:r>
        <w:rPr>
          <w:rFonts w:ascii="Times New Roman;Times;serif" w:hAnsi="Times New Roman;Times;serif"/>
          <w:sz w:val="20"/>
        </w:rPr>
        <w:t>2022 Revolver (defined below)</w:t>
      </w:r>
      <w:r>
        <w:rPr>
          <w:rFonts w:ascii="Times New Roman;Times;serif" w:hAnsi="Times New Roman;Times;serif"/>
          <w:sz w:val="20"/>
          <w:shd w:fill="FFFFFF" w:val="clear"/>
        </w:rPr>
        <w:t xml:space="preserve">.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including planned capital expenditures, for at least the next 12 months from the issuance of the condensed consolidated financial statements.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summary cash flow information for the periods indicated (in thousands):</w:t>
      </w:r>
    </w:p>
    <w:p>
      <w:pPr>
        <w:pStyle w:val="TextBody"/>
        <w:bidi w:val="0"/>
        <w:spacing w:before="0" w:after="240"/>
        <w:ind w:left="0" w:right="0" w:hanging="0"/>
        <w:jc w:val="left"/>
        <w:rPr/>
      </w:pPr>
      <w:r>
        <w:rPr/>
        <w:t>​</w:t>
      </w:r>
    </w:p>
    <w:tbl>
      <w:tblPr>
        <w:tblW w:w="6711" w:type="dxa"/>
        <w:jc w:val="left"/>
        <w:tblInd w:w="0" w:type="dxa"/>
        <w:tblLayout w:type="fixed"/>
        <w:tblCellMar>
          <w:top w:w="0" w:type="dxa"/>
          <w:left w:w="0" w:type="dxa"/>
          <w:bottom w:w="0" w:type="dxa"/>
          <w:right w:w="0" w:type="dxa"/>
        </w:tblCellMar>
      </w:tblPr>
      <w:tblGrid>
        <w:gridCol w:w="2596"/>
        <w:gridCol w:w="326"/>
        <w:gridCol w:w="344"/>
        <w:gridCol w:w="1202"/>
        <w:gridCol w:w="326"/>
        <w:gridCol w:w="344"/>
        <w:gridCol w:w="1202"/>
        <w:gridCol w:w="37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648460" cy="175260"/>
                      <wp:effectExtent l="0" t="0" r="0" b="0"/>
                      <wp:wrapNone/>
                      <wp:docPr id="510" name="Frame51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511" name="Frame5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18440" cy="175260"/>
                      <wp:effectExtent l="0" t="0" r="0" b="0"/>
                      <wp:wrapNone/>
                      <wp:docPr id="512" name="Frame512"/>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763270" cy="175260"/>
                      <wp:effectExtent l="0" t="0" r="0" b="0"/>
                      <wp:wrapNone/>
                      <wp:docPr id="513" name="Frame513"/>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07010" cy="175260"/>
                      <wp:effectExtent l="0" t="0" r="0" b="0"/>
                      <wp:wrapNone/>
                      <wp:docPr id="514" name="Frame5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8440" cy="175260"/>
                      <wp:effectExtent l="0" t="0" r="0" b="0"/>
                      <wp:wrapNone/>
                      <wp:docPr id="515" name="Frame515"/>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763270" cy="175260"/>
                      <wp:effectExtent l="0" t="0" r="0" b="0"/>
                      <wp:wrapNone/>
                      <wp:docPr id="516" name="Frame516"/>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35585" cy="175260"/>
                      <wp:effectExtent l="0" t="0" r="0" b="0"/>
                      <wp:wrapNone/>
                      <wp:docPr id="517" name="Frame51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4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Thirty-Nine Weeks Ended </w:t>
            </w:r>
          </w:p>
        </w:tc>
        <w:tc>
          <w:tcPr>
            <w:tcW w:w="371" w:type="dxa"/>
            <w:tcBorders/>
            <w:vAlign w:val="center"/>
          </w:tcPr>
          <w:p>
            <w:pPr>
              <w:pStyle w:val="TableContents"/>
              <w:bidi w:val="0"/>
              <w:spacing w:before="0" w:after="0"/>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(Amounts in thousands)</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2023</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28, 2022</w:t>
            </w:r>
          </w:p>
        </w:tc>
        <w:tc>
          <w:tcPr>
            <w:tcW w:w="371" w:type="dxa"/>
            <w:tcBorders/>
            <w:vAlign w:val="center"/>
          </w:tcPr>
          <w:p>
            <w:pPr>
              <w:pStyle w:val="TableContents"/>
              <w:bidi w:val="0"/>
              <w:spacing w:before="0" w:after="0"/>
              <w:ind w:left="0" w:right="0" w:hanging="0"/>
              <w:jc w:val="center"/>
              <w:rPr/>
            </w:pPr>
            <w:r>
              <w:rPr/>
              <w:t>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32,509</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21,907</w:t>
            </w:r>
          </w:p>
        </w:tc>
        <w:tc>
          <w:tcPr>
            <w:tcW w:w="371"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(7,412)</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(31,775)</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(19,656)</w:t>
            </w:r>
          </w:p>
        </w:tc>
        <w:tc>
          <w:tcPr>
            <w:tcW w:w="371"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(6,678)</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(10,771)</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thirty-nine weeks ended September 27, 2023, net cash from operating activities increased by approximately $10.6 million from the comparable period of the prior year. This change was due</w:t>
      </w:r>
      <w:r>
        <w:rPr>
          <w:rFonts w:ascii="Times New Roman;Times;serif" w:hAnsi="Times New Roman;Times;serif"/>
          <w:sz w:val="20"/>
          <w:shd w:fill="FFFFFF" w:val="clear"/>
        </w:rPr>
        <w:t xml:space="preserve"> to favorable working capital fluctuations and higher profitability compared to the same period in the prior year.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hanging="0"/>
        <w:jc w:val="left"/>
        <w:rPr>
          <w:rFonts w:ascii="Times New Roman;Times;serif" w:hAnsi="Times New Roman;Times;serif"/>
          <w:b w:val="false"/>
          <w:sz w:val="20"/>
          <w:shd w:fill="FFFFFF" w:val="clear"/>
        </w:rPr>
      </w:pPr>
      <w:r>
        <w:rPr>
          <w:rFonts w:ascii="Times New Roman;Times;serif" w:hAnsi="Times New Roman;Times;serif"/>
          <w:b w:val="false"/>
          <w:sz w:val="20"/>
          <w:shd w:fill="FFFFFF" w:val="clear"/>
        </w:rPr>
        <w:t>For the thirty-nine weeks ended September 27, 2023, net cash used in investing activities decreased by $5.6 million from the comparable period of the prior year. This change was due to an increase in purchase of property and equipment mostly related to restaurant remodeling during the thirty-nine weeks ended September 27, 2023 when compared to the prior quarter. The overall decrease in use of investing activities was partially offset by the cash proceeds of $7.7 million received during the thirty-nine weeks ended September 27, 2023 related to the sale of nine company-operated restaurants within Texas to an existing franchisee, eight company-operated restaurants within California to existing franchisees and one company-operated restaurant in Utah to another existing franchisee.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thirty-nine weeks ended September 27, 2023, net cash used in financing activities increased by $12.1 million from the comparable period of the prior year. The increase was due primarily to repurchases of common stock of $46.6 million during the thirty-nine weeks ended September 27, 2023. This increase was partially offset by $14.0 million in net borrowings on the 2022 Revolver during the thirty-nine weeks ended September 27, 2023 compared to the net pay downs of $20.0 million on the 2022 Revolver during the thirty-nine weeks ended September 28, 2022. This change was further impacted by a $1.2 million cash inflow related to option exercises during the thirty-nine weeks ended September 27, 2023 compared to a $1.6 million cash inflow related to option exercises during thirty-nine weeks ended September 28,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Debt and Other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as a guarantor, is a party to a credit agreement (the “2022 Credit Agreement”) among EPL, as borrower, Intermediate, as a guarantor, Bank of America, N.A., as administrative agent, swingline lender, and letter of credit issuer, the lenders party thereto, and the other parties thereto, which provides for a $150.0 million five-year senior secured revolving credit facility (the “2022 Revolver”). The 2022 Revolver, which is available pursuant to the 2022 Credit Agreement, includes a sub limit of $15.0 million for letters of credit and a sub limit of $15.0 million for swingline loans. The 2022 Revolver and 2022 Credit Agreement will mature on July 27, 2027.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special dividend announced by the Company’s Board of Directors on October 11, 2022 was permitted under the terms of 2022 Revolver pursuant to both subclause (iii)(d) and (iii)(e) of the following sentence. Under the 2022 Revolver, Holdings is restricted from making certain payments such as cash dividends, except that it may, inter alia, (i) pay up to $1.0 million per year to repurchase or redeem qualified equity interests of Holdings held by our past or present officers, directors, or employees (or their estates)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w:t>
      </w:r>
      <w:r>
        <w:rPr>
          <w:rFonts w:ascii="Times New Roman;Times;serif" w:hAnsi="Times New Roman;Times;serif"/>
          <w:sz w:val="20"/>
          <w:shd w:fill="FFFFFF" w:val="clear"/>
        </w:rPr>
        <w:t>Term SOFR with a term of one-month SOFR</w:t>
      </w:r>
      <w:r>
        <w:rPr>
          <w:rFonts w:ascii="Times New Roman;Times;serif" w:hAnsi="Times New Roman;Times;serif"/>
          <w:sz w:val="20"/>
        </w:rPr>
        <w:t xml:space="preserve"> plus 1.00%. For </w:t>
      </w:r>
      <w:r>
        <w:rPr>
          <w:rFonts w:ascii="Times New Roman;Times;serif" w:hAnsi="Times New Roman;Times;serif"/>
          <w:sz w:val="20"/>
          <w:shd w:fill="FFFFFF" w:val="clear"/>
        </w:rPr>
        <w:t>Term SOFR</w:t>
      </w:r>
      <w:r>
        <w:rPr>
          <w:rFonts w:ascii="Times New Roman;Times;serif" w:hAnsi="Times New Roman;Times;serif"/>
          <w:sz w:val="20"/>
        </w:rPr>
        <w:t xml:space="preserve"> loans, the margin is in the range of 1.25% to 2.25%, and for base rate loans the margin is in a range of 0.25% to 1.25%. Borrowings under the 2022 Revolver may be repaid and reborrowed. The interest rate range was 6.74% to 6.93% </w:t>
      </w:r>
      <w:r>
        <w:rPr>
          <w:rFonts w:ascii="Times New Roman;Times;serif" w:hAnsi="Times New Roman;Times;serif"/>
          <w:sz w:val="20"/>
          <w:shd w:fill="FFFFFF" w:val="clear"/>
        </w:rPr>
        <w:t xml:space="preserve">and 5.69% to 8.50% </w:t>
      </w:r>
      <w:r>
        <w:rPr>
          <w:rFonts w:ascii="Times New Roman;Times;serif" w:hAnsi="Times New Roman;Times;serif"/>
          <w:sz w:val="20"/>
        </w:rPr>
        <w:t>for the thirteen and thirty-nine weeks ended September 27, 2023 under the 2022 Revolver</w:t>
      </w:r>
      <w:r>
        <w:rPr>
          <w:rFonts w:ascii="Times New Roman;Times;serif" w:hAnsi="Times New Roman;Times;serif"/>
          <w:sz w:val="20"/>
          <w:shd w:fill="FFFFFF" w:val="clear"/>
        </w:rPr>
        <w:t>, respectively,</w:t>
      </w:r>
      <w:r>
        <w:rPr>
          <w:rFonts w:ascii="Times New Roman;Times;serif" w:hAnsi="Times New Roman;Times;serif"/>
          <w:sz w:val="20"/>
        </w:rPr>
        <w:t xml:space="preserve"> and 2.87% to 6.00% </w:t>
      </w:r>
      <w:r>
        <w:rPr>
          <w:rFonts w:ascii="Times New Roman;Times;serif" w:hAnsi="Times New Roman;Times;serif"/>
          <w:sz w:val="20"/>
          <w:shd w:fill="FFFFFF" w:val="clear"/>
        </w:rPr>
        <w:t xml:space="preserve">and 1.35% to 6.00%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thirteen and thirty-nine weeks ended September 28, 2022</w:t>
      </w:r>
      <w:r>
        <w:rPr>
          <w:rFonts w:ascii="Times New Roman;Times;serif" w:hAnsi="Times New Roman;Times;serif"/>
          <w:sz w:val="20"/>
          <w:shd w:fill="FFFFFF" w:val="clear"/>
        </w:rPr>
        <w:t xml:space="preserve">, respectively, </w:t>
      </w:r>
      <w:r>
        <w:rPr>
          <w:rFonts w:ascii="Times New Roman;Times;serif" w:hAnsi="Times New Roman;Times;serif"/>
          <w:sz w:val="20"/>
        </w:rPr>
        <w:t>under the 2022 Revolver and 2018 Revolver.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2022 Credit Agreement contains certain financial covenants. We were in compliance with the financial covenants as of September 27, 2023.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September 27, 2023, we had $80.0 million in outstanding borrowings under the 2022 Revolver and $9.8 million of letters of credit that further reduce the amount available under the line of credit to $60.2 million in borrowing availability.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year ended December 28, 2022, we refinanced and terminated our credit agreement (the “2018 Credit Agreement”) among EPL, as borrower, the Company and Intermediate, as guarantors, Bank of America, N.A., as administrative agent, swingline lender, and letter of credit issuer, the lenders party thereto, and the other parties thereto, which provided for a $150.0 million five-year senior secured revolving credit facility (the “2018 Revolver”) and entered into the 2022 Credit Agreement. See Note 4, “Long-term debt” for additional information.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Material Cash Requirements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material cash requirements as of September 27, 2023 have not changed materially since those disclosed under “Material Cash Requirements” in Part II, Item 7 of our annual report on Form 10-K for the year ended December 28, 2022. Our </w:t>
      </w:r>
      <w:r>
        <w:rPr>
          <w:rFonts w:ascii="Times New Roman;Times;serif" w:hAnsi="Times New Roman;Times;serif"/>
          <w:sz w:val="20"/>
          <w:shd w:fill="FFFFFF" w:val="clear"/>
        </w:rPr>
        <w:t>material cash requirements </w:t>
      </w:r>
      <w:r>
        <w:rPr>
          <w:rFonts w:ascii="Times New Roman;Times;serif" w:hAnsi="Times New Roman;Times;serif"/>
          <w:sz w:val="20"/>
        </w:rPr>
        <w:t xml:space="preserve">relate mostly to future (i) debt payments, including expected interest expense, calculated based on current interest rates, (ii) restaurant operating lease payments, (iii) income tax receivable agreement payments, (iv) purchasing commitments for chicken, (v) restaurant finance lease payments, and (vi) </w:t>
      </w:r>
      <w:r>
        <w:rPr>
          <w:rFonts w:ascii="Times New Roman;Times;serif" w:hAnsi="Times New Roman;Times;serif"/>
          <w:sz w:val="20"/>
          <w:shd w:fill="FFFFFF" w:val="clear"/>
        </w:rPr>
        <w:t>capital expenditures</w:t>
      </w:r>
      <w:r>
        <w:rPr>
          <w:rFonts w:ascii="Times New Roman;Times;serif" w:hAnsi="Times New Roman;Times;serif"/>
          <w:sz w:val="20"/>
        </w:rPr>
        <w:t>.</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11, 2022, our Board of Directors approved the 2022 Stock Repurchase Agreement under which we were authorized to repurchase up to $20.0 million of shares of our common stock through March 28, 2024.</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Under the 2022 Stock Repurchase Plan, we were permitted to repurchase our common stock from time to time, in amounts and at prices that we deemed appropriate, subject to market conditions and other considerations. Pursuant to the 2022 Stock Repurchase Plan, we were authorized to repurchase shares of our common stock using open market purchases, including pursuant to Rule 10b5-1 trading plans, and/or through privately negotiated transactions. As of September 27, 2023, the program was completed.</w:t>
      </w:r>
    </w:p>
    <w:p>
      <w:pPr>
        <w:pStyle w:val="TextBody"/>
        <w:pBdr/>
        <w:bidi w:val="0"/>
        <w:spacing w:before="240" w:after="0"/>
        <w:ind w:left="0" w:right="0" w:hanging="0"/>
        <w:jc w:val="left"/>
        <w:rPr>
          <w:rFonts w:ascii="Times New Roman;Times;serif" w:hAnsi="Times New Roman;Times;serif"/>
          <w:b/>
          <w:i/>
          <w:sz w:val="20"/>
        </w:rPr>
      </w:pPr>
      <w:r>
        <w:rPr>
          <w:rFonts w:ascii="Times New Roman;Times;serif" w:hAnsi="Times New Roman;Times;serif"/>
          <w:b/>
          <w:i/>
          <w:sz w:val="20"/>
        </w:rPr>
        <w:t>Repurchase Agreement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7, 2023, we entered into a Stock Repurchase Agreement (the “Repurchase Agreement”) with FS Equity Partners V, L.P. and FS Affiliates V, L.P. (together, the “Sellers”), pursuant to which we agreed to purchase an aggregate of 2,500,000 shares of our common stock from the Sellers at a price of $10.63 per share for a total purchase price of $26.6 million. The repurchase was completed in August 2023.</w:t>
      </w:r>
    </w:p>
    <w:p>
      <w:pPr>
        <w:pStyle w:val="TextBody"/>
        <w:shd w:fill="FFFFFF" w:val="clear"/>
        <w:bidi w:val="0"/>
        <w:spacing w:before="0" w:after="0"/>
        <w:ind w:left="0" w:right="0" w:hanging="0"/>
        <w:jc w:val="left"/>
        <w:rPr/>
      </w:pPr>
      <w:r>
        <w:rPr/>
        <w:t>​</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Prior to the repurchase, Freeman Spogli &amp; Co. (“Freeman Spogli”), collectively with the Sellers and certain other funds managed by Freeman Spogli, was our largest stockholder. In addition, John Roth, a director of the Company until his resignation on August 16, 2023, is a general partner of Freeman Spogli and its chief executive officer.</w:t>
      </w:r>
    </w:p>
    <w:p>
      <w:pPr>
        <w:pStyle w:val="TextBody"/>
        <w:bidi w:val="0"/>
        <w:spacing w:before="0" w:after="240"/>
        <w:ind w:left="0" w:right="0" w:hanging="0"/>
        <w:jc w:val="left"/>
        <w:rPr>
          <w:rFonts w:ascii="Times New Roman;Times;serif" w:hAnsi="Times New Roman;Times;serif"/>
          <w:b/>
          <w:sz w:val="20"/>
        </w:rPr>
      </w:pPr>
      <w:bookmarkStart w:id="1581" w:name="Item3QuantitativeandQualitativeDisclosur"/>
      <w:bookmarkStart w:id="1582" w:name="_4b49dc2d_542e_4246_90d2_80c311241562"/>
      <w:bookmarkEnd w:id="1581"/>
      <w:bookmarkEnd w:id="1582"/>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July 27, 2022, we refinanced the 2018 Revolver and entered into the 2022 Credit Agreement, which provides for a $150 million five-year senior secured revolving facility. In connection with the refinancing, the 2018 Credit Agreement was terminated. </w:t>
      </w:r>
      <w:r>
        <w:rPr>
          <w:rFonts w:ascii="Times New Roman;Times;serif" w:hAnsi="Times New Roman;Times;serif"/>
          <w:sz w:val="20"/>
          <w:shd w:fill="FFFFFF" w:val="clear"/>
        </w:rPr>
        <w:t xml:space="preserve">We are exposed to market risk from changes in interest rates on our debt, which bears interest, at </w:t>
      </w:r>
      <w:r>
        <w:rPr>
          <w:rFonts w:ascii="Times New Roman;Times;serif" w:hAnsi="Times New Roman;Times;serif"/>
          <w:sz w:val="20"/>
        </w:rPr>
        <w:t>SOFR</w:t>
      </w:r>
      <w:r>
        <w:rPr>
          <w:rFonts w:ascii="Times New Roman;Times;serif" w:hAnsi="Times New Roman;Times;serif"/>
          <w:sz w:val="20"/>
          <w:shd w:fill="FFFFFF" w:val="clear"/>
        </w:rPr>
        <w:t xml:space="preserve"> plus a margin between 1.25% and 2.25%. As of September 27, 2023, we had outstanding borrowings of $80.0 million under our 2022 Revolver, $9.8 million of letters of credit in support of our insurance programs, and the applicable margin on outstanding borrowings under 2022 Revolver was 1.5%.</w:t>
      </w:r>
      <w:r>
        <w:rPr>
          <w:rFonts w:ascii="Times New Roman;Times;serif" w:hAnsi="Times New Roman;Times;serif"/>
          <w:sz w:val="20"/>
        </w:rPr>
        <w:t xml:space="preserve"> </w:t>
      </w:r>
      <w:r>
        <w:rPr>
          <w:rFonts w:ascii="Times New Roman;Times;serif" w:hAnsi="Times New Roman;Times;serif"/>
          <w:sz w:val="20"/>
          <w:shd w:fill="FFFFFF" w:val="clear"/>
        </w:rPr>
        <w:t xml:space="preserve">A 1.0% increase in the effective interest rate applied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to our 2022 Revolver borrowings would result in a pre-tax interest expense increase of $0.8 million on an annualized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thirteen and thirty-nine weeks ended September 27, 2023, we borrowed $23.0 million and $25.0 million, respectively, and paid down $3.0 million and $11.0 million, respectively, on our 2022 Revolver and the outstanding balance as of September 27, 2023 was $80.0 million. Borrowings under the 2022 Credit Agreement (other than any swingline loans) bear interest, at the borrowers’ option, at rates based upon either SOFR or a base rate, plus, for each rate, a margin determined in accordance with a lease-adjusted consolidated leverage ratio-based pricing grid. </w:t>
      </w:r>
      <w:r>
        <w:rPr>
          <w:rFonts w:ascii="Times New Roman;Times;serif" w:hAnsi="Times New Roman;Times;serif"/>
          <w:sz w:val="20"/>
          <w:shd w:fill="FFFFFF" w:val="clear"/>
        </w:rPr>
        <w:t>If future rates based upon SOFR are higher than SOFR rates as currently determined, we may experience potential increases in interest rates on our variable rate debt, which could adversely impact our interest expense, results of operations and cash flows.</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our entry into the 2022 Credit Agreement, we terminated the interest rate swap previously used to hedge interest rate risk. In settlement of this swap, we received approximately $0.6 million. The remaining amount in AOCI related to the hedging relationship was reclassified into earnings when the hedged forecasted transaction was reported in earnings.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Inflation has an impact on food, paper, construction, utility, labor and benefits, general and administrative, and other costs, all of which can materially impact our operations. In general, we have been able to substantially offset cost increases resulting from inflation by increasing menu prices, managing menu mix, improving productivity, or making other adjustments. We may not be able to offset cost increases in the future. In addition, we have a substantial number of hourly employees who are paid wage rates at or based on the applicable federal, state, or local minimum wage, and increases in the minimum wage will increase our labor costs.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Commodity Price Risk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83" w:name="Item4ControlsandProcedures_514743"/>
      <w:bookmarkStart w:id="1584" w:name="_e6e2cf92_3170_4cd2_a8d6_1e5e2ff2fb27"/>
      <w:bookmarkEnd w:id="1583"/>
      <w:bookmarkEnd w:id="1584"/>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maintain disclosure controls and procedures (as such term is defined in Rules 13a-15(e) of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concluded that our disclosure controls and procedures were effective, at the reasonable assurance level, as of September 27,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changes in our internal control over financial reporting occurred during the quarter ended September 27, 2023 that have materially affected, or are reasonably likely to materially affect, our internal control over financial reporting.</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85" w:name="PARTIIOTHERINFORMATION_750351"/>
      <w:bookmarkStart w:id="1586" w:name="_1999feb1_178c_40a6_bdbe_b750a526d320"/>
      <w:bookmarkEnd w:id="1585"/>
      <w:bookmarkEnd w:id="1586"/>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587" w:name="Item1LegalProceedings_952142"/>
      <w:bookmarkEnd w:id="1587"/>
      <w:r>
        <w:rPr>
          <w:rFonts w:ascii="Times New Roman;Times;serif" w:hAnsi="Times New Roman;Times;serif"/>
          <w:b/>
          <w:sz w:val="20"/>
        </w:rPr>
        <w:t>Item 1. Legal Proceedings.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involved in various claims such as wage and hour and other legal actions that arise in the ordinary course of business, but neither we nor our subsidiaries are party to any material legal proceedings. See Note 7, “Commitments and Contingencies—Legal Matters” in the “Notes to Condensed Consolidated Financial Statements” for additional information.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88" w:name="Item1ARiskFactors_611784"/>
      <w:bookmarkStart w:id="1589" w:name="_fd65fa69_dc7d_43a6_8e1b_dffb88fd41fa"/>
      <w:bookmarkEnd w:id="1588"/>
      <w:bookmarkEnd w:id="1589"/>
      <w:r>
        <w:rPr>
          <w:rFonts w:ascii="Times New Roman;Times;serif" w:hAnsi="Times New Roman;Times;serif"/>
          <w:b/>
          <w:sz w:val="20"/>
        </w:rPr>
        <w:t>Item 1A. Risk Factors.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val="false"/>
          <w:sz w:val="20"/>
        </w:rPr>
        <w:t xml:space="preserve">There have been no material changes from the risk factors previously disclosed in our annual report on Form 10-K for the year ended December 28, 2022 filed with the SEC on March 10, 2023, </w:t>
      </w:r>
      <w:r>
        <w:rPr>
          <w:rFonts w:ascii="Times New Roman;Times;serif" w:hAnsi="Times New Roman;Times;serif"/>
          <w:b w:val="false"/>
          <w:sz w:val="20"/>
          <w:shd w:fill="FFFFFF" w:val="clear"/>
        </w:rPr>
        <w:t>except for the revision of the first and second risk factors and the addition of the third risk factor that immediately follow</w:t>
      </w:r>
      <w:r>
        <w:rPr>
          <w:rFonts w:ascii="Times New Roman;Times;serif" w:hAnsi="Times New Roman;Times;serif"/>
          <w:b w:val="false"/>
          <w:sz w:val="20"/>
        </w:rPr>
        <w:t>.</w:t>
      </w:r>
    </w:p>
    <w:p>
      <w:pPr>
        <w:pStyle w:val="TextBody"/>
        <w:shd w:fill="FFFFFF" w:val="clear"/>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Matters relating to employment and labor law may adversely affect our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Various federal, state and local labor laws govern our relationships with our employees and affect operating costs. These laws include employee classifications as exempt or non-exempt, minimum wage requirements, unemployment tax rates, workers’ compensation rates, citizenship requirements, and other wage and benefit requirements for employees classified as non-exempt. Significant additional government regulations and new laws mandating increases in minimum wages or benefits such as health insurance could materially affect our business, financial condition, operating results, and cash flow. In particular, our labor and regulatory compliance costs are expected to be adversely impacted as a result of AB 1228, signed into law by Governor Newsom on September 28, 2023, which will repeal and replace the Fast Food Accountability and Standards Recovery Act (FAST Act) on January 1, 2024 if a referendum seeking repeal of the FAST Act is withdrawn prior to that date. The FAST Act was previously signed into law in September 2022 and would have, among other things, established a council to set minimum wage standards for industry workers in California. In connection with the adoption of AB 1228, the proponents of the referendum seeking repeal of the FAST Act indicated their agreement to withdraw the referendum. If AB 1228 becomes effective January 1, 2024, the minimum wage at fast food restaurants that are part of brands which have more than 60 establishments nationwide will rise to $20 an hour on April 1, 2024, and a Fast Food Council created by AB 1228 will have limited power to approve annual wage increases until 2029. Under the law, the Fast Food Council will also have the power to develop and propose minimum standards for fast food workers, including standards for working hours, working conditions, and health and safety. As a result of AB 1228, we expect our labor and regulatory compliance costs will increase beginning in fiscal 2024 and that our results of operations and profitability will be adversely affected if we are not able to implement other measures to counter these increased costs. Further, this law could prompt similar legislation in other states. In addition, the unionization of our employees and of the employees of our franchisees could materially affect our business, financial condition, operating results, and cash flow.</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claims against us or our franchisees based on, among other things, wage and hour violations, discrimination, harassment, or wrongful termination may also create not only legal and financial liability but negative publicity that could adversely affect us and divert our financial and management resources that could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materially and adversely affect our business, brand image, employee recruitment, financial condition, results of operations, or cash flows.</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Delaware law, our organizational documents, our shareholder rights agreement, and our existing and future debt agreements may impede or discourage a takeover, depriving our investors of the opportunity to receive a premium for their shares.</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by-laws may make it difficult for, or prevent, a third-party from acquiring control of us without the approval of our Board of Directors. Among other things, these provisions: provide for a classified board of directors with staggered three-year terms; do not permit cumulative voting in the election of directors, which would allow a minority of stockholders to elect director candidates; delegate the sole power to a majority of the board of directors to fix the number of directors; provide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power to our Board of Directors to fill any vacancy on our Board of Directors, whether such vacancy occurs as a result of an increase in the number of directors or otherwise; authorize the issuance of “blank check” preferred stock without any need for action by stockholders; eliminate the ability of stockholders to call special meetings of stockholders; establish advance notice requirements for nominations for election to our Board of Directors or for proposing matters that can be acted on by stockholders at stockholder meetings; and provide that, on or after the date that LLC ceases to beneficially own at least 40% of the total votes eligible to be cast in the election of directors, a 75% supermajority vote will be required to amend or repeal provisions relating to, among other things, the classification of the board of directors, the filling of vacancies on the board of directors, and the advance notice requirements for stockholder proposals and director nominations.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in certain circumstances, the shareholder rights plan adopted by our Board of Directors in August 2023 would cause dilution to a person or group that acquires a large block of our common stock and thereby make it more difficult for such person or group to acquire the Company. See “</w:t>
      </w:r>
      <w:r>
        <w:rPr>
          <w:rFonts w:ascii="Times New Roman;Times;serif" w:hAnsi="Times New Roman;Times;serif"/>
          <w:i/>
          <w:sz w:val="20"/>
        </w:rPr>
        <w:t>Shareholder activism could cause us to incur significant expense, disrupt our business, result in a proxy contest or litigation and impact our stock price</w:t>
      </w:r>
      <w:r>
        <w:rPr>
          <w:rFonts w:ascii="Times New Roman;Times;serif" w:hAnsi="Times New Roman;Times;serif"/>
          <w:sz w:val="20"/>
        </w:rPr>
        <w:t xml:space="preserve">” for additional information regarding our shareholder rights plan.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Furthermore, our secured revolving credit facility imposes, and we anticipate that documents governing our future indebtedness may impose, limitations on our ability to enter into change of control transactions. Under our secured revolving credit facility, the occurrence of a change of control transaction can constitute an event of default permitting acceleration of the debt, thereby impeding our ability to enter into change of control transactions.</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foregoing factors could impede a merger, takeover, or other business combination, or discourage a potential investor from making a tender offer for our common stock, which, under certain circumstances, could reduce the market value of our common stock.</w:t>
      </w:r>
    </w:p>
    <w:p>
      <w:pPr>
        <w:pStyle w:val="TextBody"/>
        <w:shd w:fill="FFFFFF" w:val="clea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provisions, either alone or in combination with each other, give our current directors and executive officers a substantial ability to influence the outcome of a proposed acquisition of the Company. These provisions would apply even if an acquisition or other significant corporate transaction was considered beneficial by some of our shareholders.  If a change in control or change in management is delayed or prevented by these provisions, the market price of our securities could decline.</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Shareholder activism could cause us to incur significant expense, disrupt our business, result in a proxy contest or litigation and impact our stock price.</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be subject to shareholder activism in the future, which could result in substantial costs and divert management’s and our Board’s attention and resources from our business. Such shareholder activism could give rise to perceived uncertainties as to our future, adversely affect our relationships with our employees, customers, or suppliers and make it more difficult to attract and retain qualified personnel. We may be required to incur significant fees and other expenses related to activist shareholder matters, including for third party advisors. We may be subjected to a proxy contest or to litigation by activist investors. Our stock price has been and could be subject to significant fluctuation or otherwise be adversely affected by the events, risks and uncertainties of any shareholder activism.</w:t>
      </w:r>
    </w:p>
    <w:p>
      <w:pPr>
        <w:pStyle w:val="TextBody"/>
        <w:shd w:fill="FFFFFF" w:val="clear"/>
        <w:bidi w:val="0"/>
        <w:spacing w:before="0" w:after="0"/>
        <w:ind w:left="0" w:right="0" w:hanging="0"/>
        <w:jc w:val="left"/>
        <w:rPr>
          <w:shd w:fill="00FF00" w:val="clear"/>
        </w:rPr>
      </w:pPr>
      <w:r>
        <w:rPr>
          <w:shd w:fill="00FF00" w:val="clea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in August 2023, our Board of Directors adopted a shareholder rights plan and declared a dividend of one preferred share purchase right (a “Right”) for each share of our common stock outstanding on August 18, 2023 to the stockholders of record on that date. In the event that a person or group of affiliated or associated persons has acquired beneficial ownership of 12.5% or more of our outstanding common stock, subject to certain exceptions, each Right would entitle its holder (other than such person or members of such group) to purchase additional shares of our common stock at a substantial discount to the public market price. In addition, at any time after a person or group of affiliated or associated persons has acquired beneficial ownership of 12.5% or more of our outstanding common stock (and prior to the acquisition by any person or group of a majority of the outstanding shares of our common stock), the Board of Directors may exchange one share of our common stock for each outstanding Right (other than Rights owned by such person or group, which would have become void). The shareholder rights plan would cause dilution to a person or group that acquires a large block of our common stock on terms that are not approved by our Board of Directors and thereby make it more difficult for such person or group to acquire the Company.</w:t>
      </w:r>
    </w:p>
    <w:p>
      <w:pPr>
        <w:pStyle w:val="TextBody"/>
        <w:shd w:fill="FFFFFF" w:val="clear"/>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bookmarkStart w:id="1590" w:name="Item2UnregisteredSalesofEquitySecurities"/>
      <w:bookmarkStart w:id="1591" w:name="_89f69389_da37_4beb_82a1_c9eafaa42ef2"/>
      <w:bookmarkEnd w:id="1590"/>
      <w:bookmarkEnd w:id="1591"/>
      <w:r>
        <w:rPr>
          <w:rFonts w:ascii="Times New Roman;Times;serif" w:hAnsi="Times New Roman;Times;serif"/>
          <w:b/>
          <w:sz w:val="20"/>
        </w:rPr>
        <w:t>Item 2. Unregistered Sales of Equity Securities, Use of Proceeds, and Issuer Purchases of Equity Securities.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October 11, 2022, the Company’s Board of Directors approved a share repurchase program (the “2022 Stock Repurchase Plan”) under which the Company was authorized to repurchase up to $20.0 million of shares of our common stock through March 28, 2024. The 2022 Stock Repurchase Plan commenced on January 9, 2023, and was completed on July 12, 2023.</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the 2022 Stock Repurchase Plan, the Company was permitted to repurchase its common stock from time to time, in amounts and at prices that the Company deemed appropriate, subject to market conditions and other considerations. Pursuant to the 2022 Stock Repurchase Plan, the Company was authorized to effect repurchases using open market purchases, including pursuant to Rule 10b5-1 trading plans, and/or through privately negotiated transactions.</w:t>
      </w:r>
    </w:p>
    <w:p>
      <w:pPr>
        <w:pStyle w:val="TextBody"/>
        <w:pBdr/>
        <w:shd w:fill="FFFFFF" w:val="clear"/>
        <w:bidi w:val="0"/>
        <w:spacing w:before="0" w:after="0"/>
        <w:ind w:left="0" w:right="0" w:hanging="0"/>
        <w:jc w:val="left"/>
        <w:rPr>
          <w:rFonts w:ascii="Times New Roman;Times;serif" w:hAnsi="Times New Roman;Times;serif"/>
          <w:sz w:val="20"/>
        </w:rPr>
      </w:pPr>
      <w:bookmarkStart w:id="1592" w:name="_Hlk148453148"/>
      <w:bookmarkEnd w:id="1592"/>
      <w:r>
        <w:rPr>
          <w:rFonts w:ascii="Times New Roman;Times;serif" w:hAnsi="Times New Roman;Times;serif"/>
          <w:sz w:val="20"/>
        </w:rPr>
        <w:t>On August 7, 2023, the Company entered into a Stock Repurchase Agreement (the “Repurchase Agreement”) with FS Equity Partners V, L.P. and FS Affiliates V, L.P. (together, the “Sellers”), pursuant to which the Company agreed to purchase an aggregate of 2,500,000 shares of the Company’s common stock from the Sellers at a price of $10.63 per share, representing the closing price of such shares as listed on Nasdaq on August 7, 2023, for a total purchase price of $26.6 million. The repurchase was completed in August 2023.</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Prior to the repurchase, Freeman Spogli &amp; Co. (“Freeman Spogli”), collectively with the Sellers and certain other funds managed by Freeman Spogli, were the Company’s largest stockholder. In addition, John Roth, a director of the Company until his resignation on August 16, 2023, is a general partner of Freeman Spogli and its chief executive officer.</w:t>
      </w:r>
    </w:p>
    <w:p>
      <w:pPr>
        <w:pStyle w:val="TextBody"/>
        <w:bidi w:val="0"/>
        <w:spacing w:before="0" w:after="240"/>
        <w:ind w:left="0" w:right="0" w:hanging="0"/>
        <w:jc w:val="left"/>
        <w:rPr>
          <w:rFonts w:ascii="Times New Roman;Times;serif" w:hAnsi="Times New Roman;Times;serif"/>
          <w:sz w:val="20"/>
        </w:rPr>
      </w:pPr>
      <w:r>
        <w:rPr>
          <w:rFonts w:ascii="inherit" w:hAnsi="inherit"/>
          <w:sz w:val="20"/>
        </w:rPr>
        <w:t>T</w:t>
      </w:r>
      <w:r>
        <w:rPr>
          <w:rFonts w:ascii="Times New Roman;Times;serif" w:hAnsi="Times New Roman;Times;serif"/>
          <w:sz w:val="20"/>
        </w:rPr>
        <w:t>he following table summarizes the Company’s purchases of common stock, including under the 2022 Stock Repurchase Plan and the Repurchase Agreement, in the quarterly period ended September 27, 2023 (in thousands, except number of shares and per share amounts):</w:t>
      </w:r>
    </w:p>
    <w:tbl>
      <w:tblPr>
        <w:tblW w:w="10205" w:type="dxa"/>
        <w:jc w:val="left"/>
        <w:tblInd w:w="0" w:type="dxa"/>
        <w:tblLayout w:type="fixed"/>
        <w:tblCellMar>
          <w:top w:w="0" w:type="dxa"/>
          <w:left w:w="0" w:type="dxa"/>
          <w:bottom w:w="0" w:type="dxa"/>
          <w:right w:w="0" w:type="dxa"/>
        </w:tblCellMar>
      </w:tblPr>
      <w:tblGrid>
        <w:gridCol w:w="1427"/>
        <w:gridCol w:w="326"/>
        <w:gridCol w:w="1385"/>
        <w:gridCol w:w="326"/>
        <w:gridCol w:w="1171"/>
        <w:gridCol w:w="326"/>
        <w:gridCol w:w="2242"/>
        <w:gridCol w:w="326"/>
        <w:gridCol w:w="2482"/>
        <w:gridCol w:w="194"/>
      </w:tblGrid>
      <w:tr>
        <w:trPr/>
        <w:tc>
          <w:tcPr>
            <w:tcW w:w="1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906145" cy="175260"/>
                      <wp:effectExtent l="0" t="0" r="0" b="0"/>
                      <wp:wrapNone/>
                      <wp:docPr id="518" name="Frame518"/>
                      <a:graphic xmlns:a="http://schemas.openxmlformats.org/drawingml/2006/main">
                        <a:graphicData uri="http://schemas.microsoft.com/office/word/2010/wordprocessingShape">
                          <wps:wsp>
                            <wps:cNvSpPr txBox="1"/>
                            <wps:spPr>
                              <a:xfrm>
                                <a:off x="0" y="0"/>
                                <a:ext cx="906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7010" cy="175260"/>
                      <wp:effectExtent l="0" t="0" r="0" b="0"/>
                      <wp:wrapNone/>
                      <wp:docPr id="519" name="Frame5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879475" cy="175260"/>
                      <wp:effectExtent l="0" t="0" r="0" b="0"/>
                      <wp:wrapNone/>
                      <wp:docPr id="520" name="Frame520"/>
                      <a:graphic xmlns:a="http://schemas.openxmlformats.org/drawingml/2006/main">
                        <a:graphicData uri="http://schemas.microsoft.com/office/word/2010/wordprocessingShape">
                          <wps:wsp>
                            <wps:cNvSpPr txBox="1"/>
                            <wps:spPr>
                              <a:xfrm>
                                <a:off x="0" y="0"/>
                                <a:ext cx="879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07010" cy="175260"/>
                      <wp:effectExtent l="0" t="0" r="0" b="0"/>
                      <wp:wrapNone/>
                      <wp:docPr id="521" name="Frame5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743585" cy="175260"/>
                      <wp:effectExtent l="0" t="0" r="0" b="0"/>
                      <wp:wrapNone/>
                      <wp:docPr id="522" name="Frame52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07010" cy="175260"/>
                      <wp:effectExtent l="0" t="0" r="0" b="0"/>
                      <wp:wrapNone/>
                      <wp:docPr id="523" name="Frame5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423670" cy="175260"/>
                      <wp:effectExtent l="0" t="0" r="0" b="0"/>
                      <wp:wrapNone/>
                      <wp:docPr id="524" name="Frame524"/>
                      <a:graphic xmlns:a="http://schemas.openxmlformats.org/drawingml/2006/main">
                        <a:graphicData uri="http://schemas.microsoft.com/office/word/2010/wordprocessingShape">
                          <wps:wsp>
                            <wps:cNvSpPr txBox="1"/>
                            <wps:spPr>
                              <a:xfrm>
                                <a:off x="0" y="0"/>
                                <a:ext cx="142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260"/>
                      <wp:effectExtent l="0" t="0" r="0" b="0"/>
                      <wp:wrapNone/>
                      <wp:docPr id="525" name="Frame5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576070" cy="175260"/>
                      <wp:effectExtent l="0" t="0" r="0" b="0"/>
                      <wp:wrapNone/>
                      <wp:docPr id="526" name="Frame526"/>
                      <a:graphic xmlns:a="http://schemas.openxmlformats.org/drawingml/2006/main">
                        <a:graphicData uri="http://schemas.microsoft.com/office/word/2010/wordprocessingShape">
                          <wps:wsp>
                            <wps:cNvSpPr txBox="1"/>
                            <wps:spPr>
                              <a:xfrm>
                                <a:off x="0" y="0"/>
                                <a:ext cx="1576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23190" cy="175260"/>
                      <wp:effectExtent l="0" t="0" r="0" b="0"/>
                      <wp:wrapNone/>
                      <wp:docPr id="527" name="Frame527"/>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68" w:type="dxa"/>
            <w:gridSpan w:val="2"/>
            <w:tcBorders/>
            <w:vAlign w:val="center"/>
          </w:tcPr>
          <w:p>
            <w:pPr>
              <w:pStyle w:val="TableContents"/>
              <w:bidi w:val="0"/>
              <w:spacing w:before="0" w:after="0"/>
              <w:ind w:left="0" w:right="0" w:hanging="0"/>
              <w:jc w:val="center"/>
              <w:rPr/>
            </w:pPr>
            <w:r>
              <w:rPr/>
              <w:t>​</w:t>
            </w:r>
          </w:p>
        </w:tc>
        <w:tc>
          <w:tcPr>
            <w:tcW w:w="2482"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center"/>
              <w:rPr/>
            </w:pPr>
            <w:r>
              <w:rPr/>
              <w:t>​</w:t>
            </w:r>
          </w:p>
        </w:tc>
      </w:tr>
      <w:tr>
        <w:trPr/>
        <w:tc>
          <w:tcPr>
            <w:tcW w:w="14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Price Paid Per Share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2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 as Part of Publicly Announced Plans or Programs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4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Approximate Dollar Value of Shares That May Be Purchased Under the Plans or Programs</w:t>
            </w:r>
          </w:p>
        </w:tc>
        <w:tc>
          <w:tcPr>
            <w:tcW w:w="194" w:type="dxa"/>
            <w:tcBorders/>
            <w:vAlign w:val="center"/>
          </w:tcPr>
          <w:p>
            <w:pPr>
              <w:pStyle w:val="TableContents"/>
              <w:bidi w:val="0"/>
              <w:spacing w:before="0" w:after="0"/>
              <w:ind w:left="0" w:right="0" w:hanging="0"/>
              <w:jc w:val="center"/>
              <w:rPr/>
            </w:pPr>
            <w:r>
              <w:rPr/>
              <w:t>​</w:t>
            </w:r>
          </w:p>
        </w:tc>
      </w:tr>
      <w:tr>
        <w:trPr/>
        <w:tc>
          <w:tcPr>
            <w:tcW w:w="1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29, 2023 to July 26, 2023</w:t>
            </w:r>
          </w:p>
        </w:tc>
        <w:tc>
          <w:tcPr>
            <w:tcW w:w="326"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206,214</w:t>
            </w:r>
          </w:p>
        </w:tc>
        <w:tc>
          <w:tcPr>
            <w:tcW w:w="3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c>
          <w:tcPr>
            <w:tcW w:w="326" w:type="dxa"/>
            <w:tcBorders/>
            <w:shd w:fill="CCEEFF" w:val="clear"/>
            <w:vAlign w:val="center"/>
          </w:tcPr>
          <w:p>
            <w:pPr>
              <w:pStyle w:val="TableContents"/>
              <w:bidi w:val="0"/>
              <w:spacing w:before="0" w:after="0"/>
              <w:ind w:left="0" w:right="0" w:hanging="0"/>
              <w:jc w:val="right"/>
              <w:rPr/>
            </w:pPr>
            <w:r>
              <w:rPr/>
              <w:t>​</w:t>
            </w:r>
          </w:p>
        </w:tc>
        <w:tc>
          <w:tcPr>
            <w:tcW w:w="22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206,214</w:t>
            </w:r>
          </w:p>
        </w:tc>
        <w:tc>
          <w:tcPr>
            <w:tcW w:w="3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4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94" w:type="dxa"/>
            <w:tcBorders/>
            <w:shd w:fill="CCEEFF" w:val="clear"/>
            <w:vAlign w:val="center"/>
          </w:tcPr>
          <w:p>
            <w:pPr>
              <w:pStyle w:val="TableContents"/>
              <w:bidi w:val="0"/>
              <w:spacing w:before="0" w:after="0"/>
              <w:ind w:left="0" w:right="0" w:hanging="0"/>
              <w:jc w:val="left"/>
              <w:rPr/>
            </w:pPr>
            <w:r>
              <w:rPr/>
              <w:t> </w:t>
            </w:r>
          </w:p>
        </w:tc>
      </w:tr>
      <w:tr>
        <w:trPr/>
        <w:tc>
          <w:tcPr>
            <w:tcW w:w="1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27, 2023 to August 23, 2023</w:t>
            </w:r>
          </w:p>
        </w:tc>
        <w:tc>
          <w:tcPr>
            <w:tcW w:w="326" w:type="dxa"/>
            <w:tcBorders/>
            <w:vAlign w:val="center"/>
          </w:tcPr>
          <w:p>
            <w:pPr>
              <w:pStyle w:val="TableContents"/>
              <w:bidi w:val="0"/>
              <w:spacing w:before="0" w:after="0"/>
              <w:ind w:left="0" w:right="0" w:hanging="0"/>
              <w:jc w:val="left"/>
              <w:rPr/>
            </w:pPr>
            <w:r>
              <w:rPr/>
              <w:t> </w:t>
            </w:r>
          </w:p>
        </w:tc>
        <w:tc>
          <w:tcPr>
            <w:tcW w:w="13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2,504,639</w:t>
            </w:r>
          </w:p>
        </w:tc>
        <w:tc>
          <w:tcPr>
            <w:tcW w:w="3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w:t>
            </w:r>
          </w:p>
        </w:tc>
        <w:tc>
          <w:tcPr>
            <w:tcW w:w="326" w:type="dxa"/>
            <w:tcBorders/>
            <w:vAlign w:val="center"/>
          </w:tcPr>
          <w:p>
            <w:pPr>
              <w:pStyle w:val="TableContents"/>
              <w:bidi w:val="0"/>
              <w:spacing w:before="0" w:after="0"/>
              <w:ind w:left="0" w:right="0" w:hanging="0"/>
              <w:jc w:val="right"/>
              <w:rPr/>
            </w:pPr>
            <w:r>
              <w:rPr/>
              <w:t>​</w:t>
            </w:r>
          </w:p>
        </w:tc>
        <w:tc>
          <w:tcPr>
            <w:tcW w:w="22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94" w:type="dxa"/>
            <w:tcBorders/>
            <w:vAlign w:val="center"/>
          </w:tcPr>
          <w:p>
            <w:pPr>
              <w:pStyle w:val="TableContents"/>
              <w:bidi w:val="0"/>
              <w:spacing w:before="0" w:after="0"/>
              <w:ind w:left="0" w:right="0" w:hanging="0"/>
              <w:jc w:val="left"/>
              <w:rPr/>
            </w:pPr>
            <w:r>
              <w:rPr/>
              <w:t> </w:t>
            </w:r>
          </w:p>
        </w:tc>
      </w:tr>
      <w:tr>
        <w:trPr/>
        <w:tc>
          <w:tcPr>
            <w:tcW w:w="1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23, 2023 to September 27, 2023</w:t>
            </w:r>
          </w:p>
        </w:tc>
        <w:tc>
          <w:tcPr>
            <w:tcW w:w="326" w:type="dxa"/>
            <w:tcBorders/>
            <w:shd w:fill="CCEEFF" w:val="clear"/>
            <w:vAlign w:val="center"/>
          </w:tcPr>
          <w:p>
            <w:pPr>
              <w:pStyle w:val="TableContents"/>
              <w:bidi w:val="0"/>
              <w:spacing w:before="0" w:after="0"/>
              <w:ind w:left="0" w:right="0" w:hanging="0"/>
              <w:jc w:val="left"/>
              <w:rPr/>
            </w:pPr>
            <w:r>
              <w:rPr/>
              <w:t> </w:t>
            </w:r>
          </w:p>
        </w:tc>
        <w:tc>
          <w:tcPr>
            <w:tcW w:w="1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4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94" w:type="dxa"/>
            <w:tcBorders/>
            <w:shd w:fill="CCEEFF" w:val="clear"/>
            <w:vAlign w:val="center"/>
          </w:tcPr>
          <w:p>
            <w:pPr>
              <w:pStyle w:val="TableContents"/>
              <w:bidi w:val="0"/>
              <w:spacing w:before="0" w:after="0"/>
              <w:ind w:left="0" w:right="0" w:hanging="0"/>
              <w:jc w:val="left"/>
              <w:rPr/>
            </w:pPr>
            <w:r>
              <w:rPr/>
              <w:t> </w:t>
            </w:r>
          </w:p>
        </w:tc>
      </w:tr>
      <w:tr>
        <w:trPr/>
        <w:tc>
          <w:tcPr>
            <w:tcW w:w="1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3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2,710,853</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206,214</w:t>
            </w:r>
          </w:p>
        </w:tc>
        <w:tc>
          <w:tcPr>
            <w:tcW w:w="326" w:type="dxa"/>
            <w:tcBorders/>
            <w:vAlign w:val="center"/>
          </w:tcPr>
          <w:p>
            <w:pPr>
              <w:pStyle w:val="TableContents"/>
              <w:bidi w:val="0"/>
              <w:spacing w:before="0" w:after="0"/>
              <w:ind w:left="0" w:right="0" w:hanging="0"/>
              <w:jc w:val="right"/>
              <w:rPr/>
            </w:pPr>
            <w:r>
              <w:rPr/>
              <w:t>​</w:t>
            </w:r>
          </w:p>
        </w:tc>
        <w:tc>
          <w:tcPr>
            <w:tcW w:w="2482"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r>
    </w:tbl>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tbl>
      <w:tblPr>
        <w:tblW w:w="10205" w:type="dxa"/>
        <w:jc w:val="left"/>
        <w:tblInd w:w="0" w:type="dxa"/>
        <w:shd w:fill="FFFFFF" w:val="clear"/>
        <w:tblLayout w:type="fixed"/>
        <w:tblCellMar>
          <w:top w:w="0" w:type="dxa"/>
          <w:left w:w="0" w:type="dxa"/>
          <w:bottom w:w="0" w:type="dxa"/>
          <w:right w:w="0" w:type="dxa"/>
        </w:tblCellMar>
      </w:tblPr>
      <w:tblGrid>
        <w:gridCol w:w="302"/>
        <w:gridCol w:w="9903"/>
      </w:tblGrid>
      <w:tr>
        <w:trPr/>
        <w:tc>
          <w:tcPr>
            <w:tcW w:w="3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206,214 shares purchased by the Company pursuant to the 2022 Stock Repurchase Plan (which was completed on July 12, 2023), 2,500,000 shares purchased by the Company in August 2023 pursuant to the Repurchase Agreement, and 4,639 shares acquired by the Company to satisfy employee tax withholding obligations in connection with the vesting of previously issued restricted stock.</w:t>
            </w:r>
          </w:p>
        </w:tc>
      </w:tr>
    </w:tbl>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93" w:name="Item3DefaultsofSeniorSecurities_13390"/>
      <w:bookmarkStart w:id="1594" w:name="_dd1631b6_34b9_4374_910e_20e6546f09e6"/>
      <w:bookmarkEnd w:id="1593"/>
      <w:bookmarkEnd w:id="1594"/>
      <w:r>
        <w:rPr>
          <w:rFonts w:ascii="Times New Roman;Times;serif" w:hAnsi="Times New Roman;Times;serif"/>
          <w:b/>
          <w:sz w:val="20"/>
        </w:rPr>
        <w:t>Item 3. Defaults Upon Senior Securities.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95" w:name="Item4MineSafetyDisclosures_432267"/>
      <w:bookmarkStart w:id="1596" w:name="_66ec2d73_804f_4387_a636_62f8fd7acd9c"/>
      <w:bookmarkEnd w:id="1595"/>
      <w:bookmarkEnd w:id="1596"/>
      <w:r>
        <w:rPr>
          <w:rFonts w:ascii="Times New Roman;Times;serif" w:hAnsi="Times New Roman;Times;serif"/>
          <w:b/>
          <w:sz w:val="20"/>
        </w:rPr>
        <w:t>Item 4. Mine Safety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97" w:name="Item5OtherInformation_929848"/>
      <w:bookmarkStart w:id="1598" w:name="_0d1fe278_34ac_4d8b_a954_62e881365bab"/>
      <w:bookmarkEnd w:id="1597"/>
      <w:bookmarkEnd w:id="1598"/>
      <w:r>
        <w:rPr>
          <w:rFonts w:ascii="Times New Roman;Times;serif" w:hAnsi="Times New Roman;Times;serif"/>
          <w:b/>
          <w:sz w:val="20"/>
        </w:rPr>
        <w:t>Item 5. Other Information.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99" w:name="Item6Exhibits_636888"/>
      <w:bookmarkStart w:id="1600" w:name="_ee3e8699_3a33_48d4_b517_13ef9c298582"/>
      <w:bookmarkEnd w:id="1599"/>
      <w:bookmarkEnd w:id="1600"/>
      <w:r>
        <w:rPr>
          <w:rFonts w:ascii="Times New Roman;Times;serif" w:hAnsi="Times New Roman;Times;serif"/>
          <w:b/>
          <w:sz w:val="20"/>
        </w:rPr>
        <w:t>Item 6. Exhibits.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46"/>
        <w:gridCol w:w="5232"/>
        <w:gridCol w:w="856"/>
        <w:gridCol w:w="490"/>
        <w:gridCol w:w="709"/>
        <w:gridCol w:w="616"/>
        <w:gridCol w:w="632"/>
        <w:gridCol w:w="924"/>
      </w:tblGrid>
      <w:tr>
        <w:trPr/>
        <w:tc>
          <w:tcPr>
            <w:tcW w:w="7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Number</w:t>
            </w:r>
          </w:p>
        </w:tc>
        <w:tc>
          <w:tcPr>
            <w:tcW w:w="523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Description</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Filed Herewith</w:t>
            </w:r>
          </w:p>
        </w:tc>
        <w:tc>
          <w:tcPr>
            <w:tcW w:w="49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w:t>
            </w:r>
          </w:p>
        </w:tc>
        <w:tc>
          <w:tcPr>
            <w:tcW w:w="709"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Period Ended</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Exhibit</w:t>
            </w:r>
          </w:p>
        </w:tc>
        <w:tc>
          <w:tcPr>
            <w:tcW w:w="63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Filing Date</w:t>
            </w:r>
          </w:p>
        </w:tc>
        <w:tc>
          <w:tcPr>
            <w:tcW w:w="924"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 File Number</w:t>
            </w:r>
          </w:p>
        </w:tc>
      </w:tr>
      <w:tr>
        <w:trPr/>
        <w:tc>
          <w:tcPr>
            <w:tcW w:w="746" w:type="dxa"/>
            <w:tcBorders/>
            <w:vAlign w:val="center"/>
          </w:tcPr>
          <w:p>
            <w:pPr>
              <w:pStyle w:val="TableContents"/>
              <w:bidi w:val="0"/>
              <w:spacing w:before="0" w:after="0"/>
              <w:ind w:left="0" w:right="0" w:hanging="0"/>
              <w:jc w:val="left"/>
              <w:rPr/>
            </w:pPr>
            <w:r>
              <w:rPr/>
              <w:t>​</w:t>
            </w:r>
          </w:p>
        </w:tc>
        <w:tc>
          <w:tcPr>
            <w:tcW w:w="5232"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r>
      <w:tr>
        <w:trPr/>
        <w:tc>
          <w:tcPr>
            <w:tcW w:w="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5232"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El Pollo Loco Holdings, Inc.</w:t>
              </w:r>
            </w:hyperlink>
          </w:p>
        </w:tc>
        <w:tc>
          <w:tcPr>
            <w:tcW w:w="85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70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6/25/2014</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6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9/5/2014</w:t>
            </w:r>
          </w:p>
        </w:tc>
        <w:tc>
          <w:tcPr>
            <w:tcW w:w="9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001-36556</w:t>
            </w:r>
          </w:p>
        </w:tc>
      </w:tr>
      <w:tr>
        <w:trPr/>
        <w:tc>
          <w:tcPr>
            <w:tcW w:w="746" w:type="dxa"/>
            <w:tcBorders/>
            <w:vAlign w:val="center"/>
          </w:tcPr>
          <w:p>
            <w:pPr>
              <w:pStyle w:val="TableContents"/>
              <w:bidi w:val="0"/>
              <w:spacing w:before="0" w:after="0"/>
              <w:ind w:left="0" w:right="0" w:hanging="0"/>
              <w:jc w:val="left"/>
              <w:rPr/>
            </w:pPr>
            <w:r>
              <w:rPr/>
              <w:t>​</w:t>
            </w:r>
          </w:p>
        </w:tc>
        <w:tc>
          <w:tcPr>
            <w:tcW w:w="5232"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632" w:type="dxa"/>
            <w:tcBorders/>
            <w:vAlign w:val="center"/>
          </w:tcPr>
          <w:p>
            <w:pPr>
              <w:pStyle w:val="TableContents"/>
              <w:bidi w:val="0"/>
              <w:spacing w:before="0" w:after="0"/>
              <w:ind w:left="0" w:right="0" w:hanging="0"/>
              <w:jc w:val="center"/>
              <w:rPr/>
            </w:pPr>
            <w:r>
              <w:rPr/>
              <w:t>​</w:t>
            </w:r>
          </w:p>
        </w:tc>
        <w:tc>
          <w:tcPr>
            <w:tcW w:w="924" w:type="dxa"/>
            <w:tcBorders/>
            <w:vAlign w:val="center"/>
          </w:tcPr>
          <w:p>
            <w:pPr>
              <w:pStyle w:val="TableContents"/>
              <w:bidi w:val="0"/>
              <w:spacing w:before="0" w:after="0"/>
              <w:ind w:left="0" w:right="0" w:hanging="0"/>
              <w:jc w:val="center"/>
              <w:rPr/>
            </w:pPr>
            <w:r>
              <w:rPr/>
              <w:t>​</w:t>
            </w:r>
          </w:p>
        </w:tc>
      </w:tr>
      <w:tr>
        <w:trPr/>
        <w:tc>
          <w:tcPr>
            <w:tcW w:w="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5232"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Designations of Series A Preferred Stock of El Pollo Loco Holdings, Inc., as filed with the Secretary of State of the State of Delaware on August 9, 2023</w:t>
              </w:r>
            </w:hyperlink>
          </w:p>
        </w:tc>
        <w:tc>
          <w:tcPr>
            <w:tcW w:w="85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6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8/9/2023</w:t>
            </w:r>
          </w:p>
        </w:tc>
        <w:tc>
          <w:tcPr>
            <w:tcW w:w="9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001-36556</w:t>
            </w:r>
          </w:p>
        </w:tc>
      </w:tr>
      <w:tr>
        <w:trPr/>
        <w:tc>
          <w:tcPr>
            <w:tcW w:w="746" w:type="dxa"/>
            <w:tcBorders/>
            <w:vAlign w:val="center"/>
          </w:tcPr>
          <w:p>
            <w:pPr>
              <w:pStyle w:val="TableContents"/>
              <w:bidi w:val="0"/>
              <w:spacing w:before="0" w:after="0"/>
              <w:ind w:left="0" w:right="0" w:hanging="0"/>
              <w:jc w:val="left"/>
              <w:rPr/>
            </w:pPr>
            <w:r>
              <w:rPr/>
              <w:t>​</w:t>
            </w:r>
          </w:p>
        </w:tc>
        <w:tc>
          <w:tcPr>
            <w:tcW w:w="5232"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632" w:type="dxa"/>
            <w:tcBorders/>
            <w:vAlign w:val="center"/>
          </w:tcPr>
          <w:p>
            <w:pPr>
              <w:pStyle w:val="TableContents"/>
              <w:bidi w:val="0"/>
              <w:spacing w:before="0" w:after="0"/>
              <w:ind w:left="0" w:right="0" w:hanging="0"/>
              <w:jc w:val="center"/>
              <w:rPr/>
            </w:pPr>
            <w:r>
              <w:rPr/>
              <w:t>​</w:t>
            </w:r>
          </w:p>
        </w:tc>
        <w:tc>
          <w:tcPr>
            <w:tcW w:w="924" w:type="dxa"/>
            <w:tcBorders/>
            <w:vAlign w:val="center"/>
          </w:tcPr>
          <w:p>
            <w:pPr>
              <w:pStyle w:val="TableContents"/>
              <w:bidi w:val="0"/>
              <w:spacing w:before="0" w:after="0"/>
              <w:ind w:left="0" w:right="0" w:hanging="0"/>
              <w:jc w:val="center"/>
              <w:rPr/>
            </w:pPr>
            <w:r>
              <w:rPr/>
              <w:t>​</w:t>
            </w:r>
          </w:p>
        </w:tc>
      </w:tr>
      <w:tr>
        <w:trPr/>
        <w:tc>
          <w:tcPr>
            <w:tcW w:w="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5232"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By-Laws of El Pollo Loco Holdings, Inc.</w:t>
              </w:r>
            </w:hyperlink>
          </w:p>
        </w:tc>
        <w:tc>
          <w:tcPr>
            <w:tcW w:w="85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70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6/25/2014</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6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9/5/2014</w:t>
            </w:r>
          </w:p>
        </w:tc>
        <w:tc>
          <w:tcPr>
            <w:tcW w:w="9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001-36556</w:t>
            </w:r>
          </w:p>
        </w:tc>
      </w:tr>
      <w:tr>
        <w:trPr/>
        <w:tc>
          <w:tcPr>
            <w:tcW w:w="746" w:type="dxa"/>
            <w:tcBorders/>
            <w:vAlign w:val="center"/>
          </w:tcPr>
          <w:p>
            <w:pPr>
              <w:pStyle w:val="TableContents"/>
              <w:bidi w:val="0"/>
              <w:spacing w:before="0" w:after="0"/>
              <w:ind w:left="0" w:right="0" w:hanging="0"/>
              <w:jc w:val="left"/>
              <w:rPr/>
            </w:pPr>
            <w:r>
              <w:rPr/>
              <w:t>​</w:t>
            </w:r>
          </w:p>
        </w:tc>
        <w:tc>
          <w:tcPr>
            <w:tcW w:w="5232"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632" w:type="dxa"/>
            <w:tcBorders/>
            <w:vAlign w:val="center"/>
          </w:tcPr>
          <w:p>
            <w:pPr>
              <w:pStyle w:val="TableContents"/>
              <w:bidi w:val="0"/>
              <w:spacing w:before="0" w:after="0"/>
              <w:ind w:left="0" w:right="0" w:hanging="0"/>
              <w:jc w:val="center"/>
              <w:rPr/>
            </w:pPr>
            <w:r>
              <w:rPr/>
              <w:t>​</w:t>
            </w:r>
          </w:p>
        </w:tc>
        <w:tc>
          <w:tcPr>
            <w:tcW w:w="924" w:type="dxa"/>
            <w:tcBorders/>
            <w:vAlign w:val="center"/>
          </w:tcPr>
          <w:p>
            <w:pPr>
              <w:pStyle w:val="TableContents"/>
              <w:bidi w:val="0"/>
              <w:spacing w:before="0" w:after="0"/>
              <w:ind w:left="0" w:right="0" w:hanging="0"/>
              <w:jc w:val="center"/>
              <w:rPr/>
            </w:pPr>
            <w:r>
              <w:rPr/>
              <w:t>​</w:t>
            </w:r>
          </w:p>
        </w:tc>
      </w:tr>
      <w:tr>
        <w:trPr/>
        <w:tc>
          <w:tcPr>
            <w:tcW w:w="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5232"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Rights Agreement, dated as of August 8, 2023, between El Pollo Loco Holdings, Inc. and Equiniti Trust Company, LLC, as rights agent</w:t>
              </w:r>
            </w:hyperlink>
          </w:p>
        </w:tc>
        <w:tc>
          <w:tcPr>
            <w:tcW w:w="85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6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8/9/2023</w:t>
            </w:r>
          </w:p>
        </w:tc>
        <w:tc>
          <w:tcPr>
            <w:tcW w:w="9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001-36556</w:t>
            </w:r>
          </w:p>
        </w:tc>
      </w:tr>
      <w:tr>
        <w:trPr/>
        <w:tc>
          <w:tcPr>
            <w:tcW w:w="746" w:type="dxa"/>
            <w:tcBorders/>
            <w:vAlign w:val="center"/>
          </w:tcPr>
          <w:p>
            <w:pPr>
              <w:pStyle w:val="TableContents"/>
              <w:bidi w:val="0"/>
              <w:spacing w:before="0" w:after="0"/>
              <w:ind w:left="0" w:right="0" w:hanging="0"/>
              <w:jc w:val="left"/>
              <w:rPr/>
            </w:pPr>
            <w:r>
              <w:rPr/>
              <w:t>​</w:t>
            </w:r>
          </w:p>
        </w:tc>
        <w:tc>
          <w:tcPr>
            <w:tcW w:w="5232"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632" w:type="dxa"/>
            <w:tcBorders/>
            <w:vAlign w:val="center"/>
          </w:tcPr>
          <w:p>
            <w:pPr>
              <w:pStyle w:val="TableContents"/>
              <w:bidi w:val="0"/>
              <w:spacing w:before="0" w:after="0"/>
              <w:ind w:left="0" w:right="0" w:hanging="0"/>
              <w:jc w:val="center"/>
              <w:rPr/>
            </w:pPr>
            <w:r>
              <w:rPr/>
              <w:t>​</w:t>
            </w:r>
          </w:p>
        </w:tc>
        <w:tc>
          <w:tcPr>
            <w:tcW w:w="924" w:type="dxa"/>
            <w:tcBorders/>
            <w:vAlign w:val="center"/>
          </w:tcPr>
          <w:p>
            <w:pPr>
              <w:pStyle w:val="TableContents"/>
              <w:bidi w:val="0"/>
              <w:spacing w:before="0" w:after="0"/>
              <w:ind w:left="0" w:right="0" w:hanging="0"/>
              <w:jc w:val="center"/>
              <w:rPr/>
            </w:pPr>
            <w:r>
              <w:rPr/>
              <w:t>​</w:t>
            </w:r>
          </w:p>
        </w:tc>
      </w:tr>
      <w:tr>
        <w:trPr/>
        <w:tc>
          <w:tcPr>
            <w:tcW w:w="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5232"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shd w:fill="FFFFFF" w:val="clear"/>
                </w:rPr>
                <w:t>Stock Repurchase Agreement, dated August 7, 2023, between El Pollo Loco Holdings, Inc., FS Equity Partners V, L.P. and FS Affiliates V, L.P.</w:t>
              </w:r>
            </w:hyperlink>
          </w:p>
        </w:tc>
        <w:tc>
          <w:tcPr>
            <w:tcW w:w="85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6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8/8/2023</w:t>
            </w:r>
          </w:p>
        </w:tc>
        <w:tc>
          <w:tcPr>
            <w:tcW w:w="9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001-36556</w:t>
            </w:r>
          </w:p>
        </w:tc>
      </w:tr>
      <w:tr>
        <w:trPr/>
        <w:tc>
          <w:tcPr>
            <w:tcW w:w="746" w:type="dxa"/>
            <w:tcBorders/>
            <w:vAlign w:val="center"/>
          </w:tcPr>
          <w:p>
            <w:pPr>
              <w:pStyle w:val="TableContents"/>
              <w:bidi w:val="0"/>
              <w:spacing w:before="0" w:after="0"/>
              <w:ind w:left="0" w:right="0" w:hanging="0"/>
              <w:jc w:val="left"/>
              <w:rPr/>
            </w:pPr>
            <w:r>
              <w:rPr/>
              <w:t>​</w:t>
            </w:r>
          </w:p>
        </w:tc>
        <w:tc>
          <w:tcPr>
            <w:tcW w:w="5232"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632" w:type="dxa"/>
            <w:tcBorders/>
            <w:vAlign w:val="center"/>
          </w:tcPr>
          <w:p>
            <w:pPr>
              <w:pStyle w:val="TableContents"/>
              <w:bidi w:val="0"/>
              <w:spacing w:before="0" w:after="0"/>
              <w:ind w:left="0" w:right="0" w:hanging="0"/>
              <w:jc w:val="center"/>
              <w:rPr/>
            </w:pPr>
            <w:r>
              <w:rPr/>
              <w:t>​</w:t>
            </w:r>
          </w:p>
        </w:tc>
        <w:tc>
          <w:tcPr>
            <w:tcW w:w="924" w:type="dxa"/>
            <w:tcBorders/>
            <w:vAlign w:val="center"/>
          </w:tcPr>
          <w:p>
            <w:pPr>
              <w:pStyle w:val="TableContents"/>
              <w:bidi w:val="0"/>
              <w:spacing w:before="0" w:after="0"/>
              <w:ind w:left="0" w:right="0" w:hanging="0"/>
              <w:jc w:val="center"/>
              <w:rPr/>
            </w:pPr>
            <w:r>
              <w:rPr/>
              <w:t>​</w:t>
            </w:r>
          </w:p>
        </w:tc>
      </w:tr>
      <w:tr>
        <w:trPr/>
        <w:tc>
          <w:tcPr>
            <w:tcW w:w="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5232" w:type="dxa"/>
            <w:tcBorders/>
            <w:vAlign w:val="center"/>
          </w:tcPr>
          <w:p>
            <w:pPr>
              <w:pStyle w:val="TableContents"/>
              <w:bidi w:val="0"/>
              <w:spacing w:before="0" w:after="0"/>
              <w:ind w:left="0" w:right="0" w:hanging="0"/>
              <w:jc w:val="left"/>
              <w:rPr/>
            </w:pPr>
            <w:hyperlink w:anchor="loco-20230927xex31d1.htm">
              <w:r>
                <w:rPr>
                  <w:rStyle w:val="InternetLink"/>
                  <w:rFonts w:ascii="Times New Roman;Times;serif" w:hAnsi="Times New Roman;Times;serif"/>
                  <w:b w:val="false"/>
                  <w:i w:val="false"/>
                  <w:caps w:val="false"/>
                  <w:smallCaps w:val="false"/>
                  <w:sz w:val="20"/>
                </w:rPr>
                <w:t>Certification of Chief Executive Officer under section 302 of the Sarbanes–Oxley Act of 2002</w:t>
              </w:r>
            </w:hyperlink>
          </w:p>
        </w:tc>
        <w:tc>
          <w:tcPr>
            <w:tcW w:w="8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490"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r>
      <w:tr>
        <w:trPr/>
        <w:tc>
          <w:tcPr>
            <w:tcW w:w="746" w:type="dxa"/>
            <w:tcBorders/>
            <w:vAlign w:val="center"/>
          </w:tcPr>
          <w:p>
            <w:pPr>
              <w:pStyle w:val="TableContents"/>
              <w:bidi w:val="0"/>
              <w:spacing w:before="0" w:after="0"/>
              <w:ind w:left="0" w:right="0" w:hanging="0"/>
              <w:jc w:val="left"/>
              <w:rPr/>
            </w:pPr>
            <w:r>
              <w:rPr/>
              <w:t>​</w:t>
            </w:r>
          </w:p>
        </w:tc>
        <w:tc>
          <w:tcPr>
            <w:tcW w:w="5232"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r>
      <w:tr>
        <w:trPr/>
        <w:tc>
          <w:tcPr>
            <w:tcW w:w="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5232" w:type="dxa"/>
            <w:tcBorders/>
            <w:vAlign w:val="center"/>
          </w:tcPr>
          <w:p>
            <w:pPr>
              <w:pStyle w:val="TableContents"/>
              <w:bidi w:val="0"/>
              <w:spacing w:before="0" w:after="0"/>
              <w:ind w:left="0" w:right="0" w:hanging="0"/>
              <w:jc w:val="left"/>
              <w:rPr/>
            </w:pPr>
            <w:hyperlink w:anchor="loco-20230927xex31d2.htm">
              <w:r>
                <w:rPr>
                  <w:rStyle w:val="InternetLink"/>
                  <w:rFonts w:ascii="Times New Roman;Times;serif" w:hAnsi="Times New Roman;Times;serif"/>
                  <w:b w:val="false"/>
                  <w:i w:val="false"/>
                  <w:caps w:val="false"/>
                  <w:smallCaps w:val="false"/>
                  <w:sz w:val="20"/>
                </w:rPr>
                <w:t>Certification of Chief Financial Officer under section 302 of the Sarbanes–Oxley Act of 2002</w:t>
              </w:r>
            </w:hyperlink>
          </w:p>
        </w:tc>
        <w:tc>
          <w:tcPr>
            <w:tcW w:w="8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490"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r>
      <w:tr>
        <w:trPr/>
        <w:tc>
          <w:tcPr>
            <w:tcW w:w="746" w:type="dxa"/>
            <w:tcBorders/>
            <w:vAlign w:val="center"/>
          </w:tcPr>
          <w:p>
            <w:pPr>
              <w:pStyle w:val="TableContents"/>
              <w:bidi w:val="0"/>
              <w:spacing w:before="0" w:after="0"/>
              <w:ind w:left="0" w:right="0" w:hanging="0"/>
              <w:jc w:val="left"/>
              <w:rPr/>
            </w:pPr>
            <w:r>
              <w:rPr/>
              <w:t>​</w:t>
            </w:r>
          </w:p>
        </w:tc>
        <w:tc>
          <w:tcPr>
            <w:tcW w:w="5232"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r>
      <w:tr>
        <w:trPr/>
        <w:tc>
          <w:tcPr>
            <w:tcW w:w="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5232" w:type="dxa"/>
            <w:tcBorders/>
            <w:vAlign w:val="center"/>
          </w:tcPr>
          <w:p>
            <w:pPr>
              <w:pStyle w:val="TableContents"/>
              <w:bidi w:val="0"/>
              <w:spacing w:before="0" w:after="0"/>
              <w:ind w:left="0" w:right="0" w:hanging="0"/>
              <w:jc w:val="left"/>
              <w:rPr/>
            </w:pPr>
            <w:hyperlink w:anchor="loco-20230927xex32d1.htm">
              <w:r>
                <w:rPr>
                  <w:rStyle w:val="InternetLink"/>
                  <w:rFonts w:ascii="Times New Roman;Times;serif" w:hAnsi="Times New Roman;Times;serif"/>
                  <w:b w:val="false"/>
                  <w:i w:val="false"/>
                  <w:caps w:val="false"/>
                  <w:smallCaps w:val="false"/>
                  <w:sz w:val="20"/>
                </w:rPr>
                <w:t>Certification of Chief Executive Officer and Chief Financial Officer under 18 U.S.C. section 1350, adopted by section 906 of the Sarbanes–Oxley Act of 2002</w:t>
              </w:r>
            </w:hyperlink>
          </w:p>
        </w:tc>
        <w:tc>
          <w:tcPr>
            <w:tcW w:w="8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90"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r>
      <w:tr>
        <w:trPr/>
        <w:tc>
          <w:tcPr>
            <w:tcW w:w="746" w:type="dxa"/>
            <w:tcBorders/>
            <w:vAlign w:val="center"/>
          </w:tcPr>
          <w:p>
            <w:pPr>
              <w:pStyle w:val="TableContents"/>
              <w:bidi w:val="0"/>
              <w:spacing w:before="0" w:after="0"/>
              <w:ind w:left="0" w:right="0" w:hanging="0"/>
              <w:jc w:val="left"/>
              <w:rPr/>
            </w:pPr>
            <w:r>
              <w:rPr/>
              <w:t>​</w:t>
            </w:r>
          </w:p>
        </w:tc>
        <w:tc>
          <w:tcPr>
            <w:tcW w:w="5232"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r>
      <w:tr>
        <w:trPr/>
        <w:tc>
          <w:tcPr>
            <w:tcW w:w="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5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Inline XBRL Instance Document - </w:t>
            </w:r>
            <w:r>
              <w:rPr>
                <w:rFonts w:ascii="Times New Roman;Times;serif" w:hAnsi="Times New Roman;Times;serif"/>
                <w:sz w:val="20"/>
                <w:shd w:fill="FFFFFF" w:val="clear"/>
              </w:rPr>
              <w:t>the instance document does not appear in the Interactive Data File because its XBRL tags are embedded within the Inline XBRL document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490"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r>
      <w:tr>
        <w:trPr/>
        <w:tc>
          <w:tcPr>
            <w:tcW w:w="746" w:type="dxa"/>
            <w:tcBorders/>
            <w:vAlign w:val="center"/>
          </w:tcPr>
          <w:p>
            <w:pPr>
              <w:pStyle w:val="TableContents"/>
              <w:bidi w:val="0"/>
              <w:spacing w:before="0" w:after="0"/>
              <w:ind w:left="0" w:right="0" w:hanging="0"/>
              <w:jc w:val="left"/>
              <w:rPr/>
            </w:pPr>
            <w:r>
              <w:rPr/>
              <w:t>​</w:t>
            </w:r>
          </w:p>
        </w:tc>
        <w:tc>
          <w:tcPr>
            <w:tcW w:w="5232"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r>
      <w:tr>
        <w:trPr/>
        <w:tc>
          <w:tcPr>
            <w:tcW w:w="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5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490"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r>
      <w:tr>
        <w:trPr/>
        <w:tc>
          <w:tcPr>
            <w:tcW w:w="746" w:type="dxa"/>
            <w:tcBorders/>
            <w:vAlign w:val="center"/>
          </w:tcPr>
          <w:p>
            <w:pPr>
              <w:pStyle w:val="TableContents"/>
              <w:bidi w:val="0"/>
              <w:spacing w:before="0" w:after="0"/>
              <w:ind w:left="0" w:right="0" w:hanging="0"/>
              <w:jc w:val="left"/>
              <w:rPr/>
            </w:pPr>
            <w:r>
              <w:rPr/>
              <w:t>​</w:t>
            </w:r>
          </w:p>
        </w:tc>
        <w:tc>
          <w:tcPr>
            <w:tcW w:w="5232"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r>
      <w:tr>
        <w:trPr/>
        <w:tc>
          <w:tcPr>
            <w:tcW w:w="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5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490"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r>
      <w:tr>
        <w:trPr/>
        <w:tc>
          <w:tcPr>
            <w:tcW w:w="746" w:type="dxa"/>
            <w:tcBorders/>
            <w:vAlign w:val="center"/>
          </w:tcPr>
          <w:p>
            <w:pPr>
              <w:pStyle w:val="TableContents"/>
              <w:bidi w:val="0"/>
              <w:spacing w:before="0" w:after="0"/>
              <w:ind w:left="0" w:right="0" w:hanging="0"/>
              <w:jc w:val="left"/>
              <w:rPr/>
            </w:pPr>
            <w:r>
              <w:rPr/>
              <w:t>​</w:t>
            </w:r>
          </w:p>
        </w:tc>
        <w:tc>
          <w:tcPr>
            <w:tcW w:w="5232"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r>
      <w:tr>
        <w:trPr/>
        <w:tc>
          <w:tcPr>
            <w:tcW w:w="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5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490"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r>
      <w:tr>
        <w:trPr/>
        <w:tc>
          <w:tcPr>
            <w:tcW w:w="746" w:type="dxa"/>
            <w:tcBorders/>
            <w:vAlign w:val="center"/>
          </w:tcPr>
          <w:p>
            <w:pPr>
              <w:pStyle w:val="TableContents"/>
              <w:bidi w:val="0"/>
              <w:spacing w:before="0" w:after="0"/>
              <w:ind w:left="0" w:right="0" w:hanging="0"/>
              <w:jc w:val="left"/>
              <w:rPr/>
            </w:pPr>
            <w:r>
              <w:rPr/>
              <w:t>​</w:t>
            </w:r>
          </w:p>
        </w:tc>
        <w:tc>
          <w:tcPr>
            <w:tcW w:w="5232"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05"/>
        <w:gridCol w:w="8668"/>
        <w:gridCol w:w="241"/>
        <w:gridCol w:w="109"/>
        <w:gridCol w:w="109"/>
        <w:gridCol w:w="109"/>
        <w:gridCol w:w="109"/>
        <w:gridCol w:w="155"/>
      </w:tblGrid>
      <w:tr>
        <w:trPr/>
        <w:tc>
          <w:tcPr>
            <w:tcW w:w="7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86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c>
          <w:tcPr>
            <w:tcW w:w="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05" w:type="dxa"/>
            <w:tcBorders/>
            <w:vAlign w:val="center"/>
          </w:tcPr>
          <w:p>
            <w:pPr>
              <w:pStyle w:val="TableContents"/>
              <w:bidi w:val="0"/>
              <w:spacing w:before="0" w:after="0"/>
              <w:ind w:left="0" w:right="0" w:hanging="0"/>
              <w:jc w:val="left"/>
              <w:rPr/>
            </w:pPr>
            <w:r>
              <w:rPr/>
              <w:t>​</w:t>
            </w:r>
          </w:p>
        </w:tc>
        <w:tc>
          <w:tcPr>
            <w:tcW w:w="8668"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86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c>
          <w:tcPr>
            <w:tcW w:w="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05" w:type="dxa"/>
            <w:tcBorders/>
            <w:vAlign w:val="center"/>
          </w:tcPr>
          <w:p>
            <w:pPr>
              <w:pStyle w:val="TableContents"/>
              <w:bidi w:val="0"/>
              <w:spacing w:before="0" w:after="0"/>
              <w:ind w:left="0" w:right="0" w:hanging="0"/>
              <w:jc w:val="left"/>
              <w:rPr/>
            </w:pPr>
            <w:r>
              <w:rPr/>
              <w:t>​</w:t>
            </w:r>
          </w:p>
        </w:tc>
        <w:tc>
          <w:tcPr>
            <w:tcW w:w="8668"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8668"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 the cover page interactive data file does not appear in the Interactive Data File because its XBRL tags are embedded within the Inline XBRL Document</w:t>
            </w:r>
          </w:p>
        </w:tc>
        <w:tc>
          <w:tcPr>
            <w:tcW w:w="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01" w:name="SIGNATURES_726842"/>
      <w:bookmarkStart w:id="1602" w:name="_210b2154_542b_40e7_b17b_fcdc037b5b64"/>
      <w:bookmarkEnd w:id="1601"/>
      <w:bookmarkEnd w:id="1602"/>
      <w:r>
        <w:rPr>
          <w:rFonts w:ascii="Times New Roman;Times;serif" w:hAnsi="Times New Roman;Times;serif"/>
          <w:b/>
          <w:sz w:val="20"/>
        </w:rPr>
        <w:t>SIGNATURES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center"/>
        <w:rPr/>
      </w:pPr>
      <w:r>
        <w:rPr/>
        <w:t>​</w:t>
      </w:r>
    </w:p>
    <w:tbl>
      <w:tblPr>
        <w:tblW w:w="5578" w:type="dxa"/>
        <w:jc w:val="left"/>
        <w:tblInd w:w="0" w:type="dxa"/>
        <w:tblLayout w:type="fixed"/>
        <w:tblCellMar>
          <w:top w:w="0" w:type="dxa"/>
          <w:left w:w="0" w:type="dxa"/>
          <w:bottom w:w="0" w:type="dxa"/>
          <w:right w:w="0" w:type="dxa"/>
        </w:tblCellMar>
      </w:tblPr>
      <w:tblGrid>
        <w:gridCol w:w="2101"/>
        <w:gridCol w:w="266"/>
        <w:gridCol w:w="3211"/>
      </w:tblGrid>
      <w:tr>
        <w:trPr/>
        <w:tc>
          <w:tcPr>
            <w:tcW w:w="2101"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   </w:t>
            </w:r>
          </w:p>
        </w:tc>
        <w:tc>
          <w:tcPr>
            <w:tcW w:w="3211" w:type="dxa"/>
            <w:tcBorders>
              <w:bottom w:val="single" w:sz="8"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El Pollo Loco Holdings, Inc.</w:t>
            </w:r>
          </w:p>
        </w:tc>
      </w:tr>
      <w:tr>
        <w:trPr/>
        <w:tc>
          <w:tcPr>
            <w:tcW w:w="2101"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3211" w:type="dxa"/>
            <w:tcBorders>
              <w:top w:val="single" w:sz="8" w:space="0" w:color="000000"/>
            </w:tcBorders>
            <w:tcMar>
              <w:top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2101"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3211" w:type="dxa"/>
            <w:tcBorders/>
            <w:vAlign w:val="center"/>
          </w:tcPr>
          <w:p>
            <w:pPr>
              <w:pStyle w:val="TableContents"/>
              <w:bidi w:val="0"/>
              <w:spacing w:before="0" w:after="40"/>
              <w:ind w:left="0" w:right="0" w:hanging="0"/>
              <w:jc w:val="left"/>
              <w:rPr/>
            </w:pPr>
            <w:r>
              <w:rPr/>
              <w:t>​</w:t>
            </w:r>
          </w:p>
        </w:tc>
      </w:tr>
      <w:tr>
        <w:trPr/>
        <w:tc>
          <w:tcPr>
            <w:tcW w:w="210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Date: November 3, 2023</w:t>
            </w:r>
          </w:p>
        </w:tc>
        <w:tc>
          <w:tcPr>
            <w:tcW w:w="266" w:type="dxa"/>
            <w:tcBorders/>
            <w:vAlign w:val="center"/>
          </w:tcPr>
          <w:p>
            <w:pPr>
              <w:pStyle w:val="TableContents"/>
              <w:bidi w:val="0"/>
              <w:spacing w:before="0" w:after="40"/>
              <w:ind w:left="0" w:right="0" w:hanging="0"/>
              <w:jc w:val="left"/>
              <w:rPr/>
            </w:pPr>
            <w:r>
              <w:rPr/>
              <w:t>​</w:t>
            </w:r>
          </w:p>
        </w:tc>
        <w:tc>
          <w:tcPr>
            <w:tcW w:w="3211" w:type="dxa"/>
            <w:tcBorders>
              <w:bottom w:val="single" w:sz="8"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 Laurance Roberts</w:t>
            </w:r>
          </w:p>
        </w:tc>
      </w:tr>
      <w:tr>
        <w:trPr/>
        <w:tc>
          <w:tcPr>
            <w:tcW w:w="2101"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3211" w:type="dxa"/>
            <w:tcBorders>
              <w:top w:val="single" w:sz="8" w:space="0" w:color="000000"/>
            </w:tcBorders>
            <w:tcMar>
              <w:top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Laurance Roberts</w:t>
            </w:r>
          </w:p>
        </w:tc>
      </w:tr>
      <w:tr>
        <w:trPr/>
        <w:tc>
          <w:tcPr>
            <w:tcW w:w="2101"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321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101"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3211" w:type="dxa"/>
            <w:tcBorders/>
            <w:vAlign w:val="center"/>
          </w:tcPr>
          <w:p>
            <w:pPr>
              <w:pStyle w:val="TableContents"/>
              <w:bidi w:val="0"/>
              <w:spacing w:before="0" w:after="4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(duly authorized officer)</w:t>
            </w:r>
          </w:p>
          <w:p>
            <w:pPr>
              <w:pStyle w:val="TableContents"/>
              <w:bidi w:val="0"/>
              <w:spacing w:before="0" w:after="40"/>
              <w:ind w:left="0" w:right="0" w:hanging="0"/>
              <w:jc w:val="left"/>
              <w:rPr/>
            </w:pPr>
            <w:r>
              <w:rPr/>
              <w:t>​</w:t>
            </w:r>
          </w:p>
        </w:tc>
      </w:tr>
      <w:tr>
        <w:trPr/>
        <w:tc>
          <w:tcPr>
            <w:tcW w:w="210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Date: November 3, 2023</w:t>
            </w:r>
          </w:p>
        </w:tc>
        <w:tc>
          <w:tcPr>
            <w:tcW w:w="266" w:type="dxa"/>
            <w:tcBorders/>
            <w:vAlign w:val="center"/>
          </w:tcPr>
          <w:p>
            <w:pPr>
              <w:pStyle w:val="TableContents"/>
              <w:bidi w:val="0"/>
              <w:spacing w:before="0" w:after="40"/>
              <w:ind w:left="0" w:right="0" w:hanging="0"/>
              <w:jc w:val="left"/>
              <w:rPr/>
            </w:pPr>
            <w:r>
              <w:rPr/>
              <w:t>​</w:t>
            </w:r>
          </w:p>
        </w:tc>
        <w:tc>
          <w:tcPr>
            <w:tcW w:w="3211" w:type="dxa"/>
            <w:tcBorders>
              <w:bottom w:val="single" w:sz="8"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 Ira Fils</w:t>
            </w:r>
          </w:p>
        </w:tc>
      </w:tr>
      <w:tr>
        <w:trPr/>
        <w:tc>
          <w:tcPr>
            <w:tcW w:w="2101"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3211" w:type="dxa"/>
            <w:tcBorders>
              <w:top w:val="single" w:sz="8" w:space="0" w:color="000000"/>
            </w:tcBorders>
            <w:tcMar>
              <w:top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Ira Fils</w:t>
            </w:r>
          </w:p>
        </w:tc>
      </w:tr>
      <w:tr>
        <w:trPr/>
        <w:tc>
          <w:tcPr>
            <w:tcW w:w="2101"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321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101"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3211" w:type="dxa"/>
            <w:tcBorders/>
            <w:vAlign w:val="center"/>
          </w:tcPr>
          <w:p>
            <w:pPr>
              <w:pStyle w:val="TableContents"/>
              <w:bidi w:val="0"/>
              <w:spacing w:before="0" w:after="4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lineRule="auto" w:line="343" w:before="0" w:after="0"/>
        <w:ind w:left="0" w:right="0" w:hanging="0"/>
        <w:jc w:val="left"/>
        <w:rPr/>
      </w:pPr>
      <w:bookmarkStart w:id="1603" w:name="loco-20230927xex31d1.htm"/>
      <w:bookmarkStart w:id="1604" w:name="ksloco20230927xex31d1"/>
      <w:bookmarkEnd w:id="1603"/>
      <w:bookmarkEnd w:id="1604"/>
      <w:r>
        <w:rPr/>
        <w:t>​</w:t>
      </w:r>
      <w:r>
        <w:br w:type="page"/>
      </w:r>
    </w:p>
    <w:p>
      <w:pPr>
        <w:pStyle w:val="TextBody"/>
        <w:bidi w:val="0"/>
        <w:spacing w:lineRule="auto" w:line="343" w:before="0" w:after="0"/>
        <w:ind w:left="0" w:right="0" w:hanging="0"/>
        <w:jc w:val="right"/>
        <w:rPr>
          <w:rFonts w:ascii="Times New Roman;Times;serif" w:hAnsi="Times New Roman;Times;serif"/>
          <w:b/>
          <w:sz w:val="20"/>
        </w:rPr>
      </w:pPr>
      <w:r>
        <w:rPr>
          <w:rFonts w:ascii="Times New Roman;Times;serif" w:hAnsi="Times New Roman;Times;serif"/>
          <w:b/>
          <w:sz w:val="20"/>
        </w:rPr>
        <w:t>Exhibit 31.1</w:t>
      </w:r>
      <w:bookmarkStart w:id="1605" w:name="New_Section_1"/>
      <w:bookmarkEnd w:id="1605"/>
    </w:p>
    <w:p>
      <w:pPr>
        <w:pStyle w:val="TextBody"/>
        <w:bidi w:val="0"/>
        <w:spacing w:lineRule="auto" w:line="343" w:before="240" w:after="0"/>
        <w:ind w:left="0" w:right="0" w:hanging="0"/>
        <w:jc w:val="center"/>
        <w:rPr>
          <w:rFonts w:ascii="Times New Roman;Times;serif" w:hAnsi="Times New Roman;Times;serif"/>
          <w:sz w:val="20"/>
        </w:rPr>
      </w:pPr>
      <w:r>
        <w:rPr>
          <w:rFonts w:ascii="Times New Roman;Times;serif" w:hAnsi="Times New Roman;Times;serif"/>
          <w:sz w:val="20"/>
        </w:rPr>
        <w:t>CERTIFICATIONS</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I, Laurance Roberts, certify that:</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El Pollo Loco Holdings, Inc.;</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Date: November 3, 2023</w:t>
      </w:r>
    </w:p>
    <w:p>
      <w:pPr>
        <w:pStyle w:val="TextBody"/>
        <w:bidi w:val="0"/>
        <w:spacing w:before="0" w:after="0"/>
        <w:ind w:left="0" w:right="0" w:hanging="0"/>
        <w:jc w:val="left"/>
        <w:rPr/>
      </w:pPr>
      <w:r>
        <w:rPr/>
        <w:t>​</w:t>
      </w:r>
    </w:p>
    <w:tbl>
      <w:tblPr>
        <w:tblW w:w="3226" w:type="dxa"/>
        <w:jc w:val="center"/>
        <w:tblInd w:w="0" w:type="dxa"/>
        <w:tblLayout w:type="fixed"/>
        <w:tblCellMar>
          <w:top w:w="0" w:type="dxa"/>
          <w:left w:w="0" w:type="dxa"/>
          <w:bottom w:w="28" w:type="dxa"/>
          <w:right w:w="0" w:type="dxa"/>
        </w:tblCellMar>
      </w:tblPr>
      <w:tblGrid>
        <w:gridCol w:w="3226"/>
      </w:tblGrid>
      <w:tr>
        <w:trPr/>
        <w:tc>
          <w:tcPr>
            <w:tcW w:w="3226" w:type="dxa"/>
            <w:tcBorders>
              <w:bottom w:val="single" w:sz="8"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049145" cy="172085"/>
                      <wp:effectExtent l="0" t="0" r="0" b="0"/>
                      <wp:wrapNone/>
                      <wp:docPr id="528" name="Frame528"/>
                      <a:graphic xmlns:a="http://schemas.openxmlformats.org/drawingml/2006/main">
                        <a:graphicData uri="http://schemas.microsoft.com/office/word/2010/wordprocessingShape">
                          <wps:wsp>
                            <wps:cNvSpPr txBox="1"/>
                            <wps:spPr>
                              <a:xfrm>
                                <a:off x="0" y="0"/>
                                <a:ext cx="2049145" cy="172085"/>
                              </a:xfrm>
                              <a:prstGeom prst="rect"/>
                              <a:solidFill>
                                <a:srgbClr val="FFFFFF"/>
                              </a:solidFill>
                            </wps:spPr>
                            <wps:txbx>
                              <w:txbxContent>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/s/ Laurance Roberts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5pt;height:13.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/s/ Laurance Roberts</w:t>
                            </w:r>
                          </w:p>
                        </w:txbxContent>
                      </v:textbox>
                      <w10:wrap type="none"/>
                    </v:rect>
                  </w:pict>
                </mc:Fallback>
              </mc:AlternateContent>
            </w:r>
          </w:p>
        </w:tc>
      </w:tr>
      <w:tr>
        <w:trPr/>
        <w:tc>
          <w:tcPr>
            <w:tcW w:w="3226" w:type="dxa"/>
            <w:tcBorders>
              <w:top w:val="single" w:sz="8" w:space="0" w:color="000000"/>
            </w:tcBorders>
            <w:tcMar>
              <w:top w:w="28" w:type="dxa"/>
              <w:bottom w:w="0" w:type="dxa"/>
            </w:tcMar>
            <w:vAlign w:val="center"/>
          </w:tcPr>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Laurance Roberts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1606" w:name="loco-20230927xex31d2.htm"/>
      <w:bookmarkStart w:id="1607" w:name="ksloco20230927xex31d2"/>
      <w:bookmarkEnd w:id="1606"/>
      <w:bookmarkEnd w:id="1607"/>
      <w:r>
        <w:rPr/>
        <w:t>​</w:t>
      </w:r>
      <w:r>
        <w:br w:type="page"/>
      </w:r>
    </w:p>
    <w:p>
      <w:pPr>
        <w:pStyle w:val="TextBody"/>
        <w:bidi w:val="0"/>
        <w:spacing w:lineRule="auto" w:line="343" w:before="0" w:after="0"/>
        <w:ind w:left="0" w:right="0" w:hanging="0"/>
        <w:jc w:val="right"/>
        <w:rPr>
          <w:rFonts w:ascii="Times New Roman;Times;serif" w:hAnsi="Times New Roman;Times;serif"/>
          <w:sz w:val="20"/>
        </w:rPr>
      </w:pPr>
      <w:r>
        <w:rPr>
          <w:rFonts w:ascii="Times New Roman;Times;serif" w:hAnsi="Times New Roman;Times;serif"/>
          <w:b/>
          <w:sz w:val="20"/>
        </w:rPr>
        <w:t>Exhibit 31.</w:t>
      </w:r>
      <w:bookmarkStart w:id="1608" w:name="New_Section_11"/>
      <w:bookmarkEnd w:id="1608"/>
      <w:r>
        <w:rPr>
          <w:rFonts w:ascii="Times New Roman;Times;serif" w:hAnsi="Times New Roman;Times;serif"/>
          <w:b/>
          <w:sz w:val="20"/>
        </w:rPr>
        <w:t>2</w:t>
      </w:r>
    </w:p>
    <w:p>
      <w:pPr>
        <w:pStyle w:val="TextBody"/>
        <w:bidi w:val="0"/>
        <w:spacing w:lineRule="auto" w:line="343" w:before="240" w:after="0"/>
        <w:ind w:left="0" w:right="0" w:hanging="0"/>
        <w:jc w:val="center"/>
        <w:rPr>
          <w:rFonts w:ascii="Times New Roman;Times;serif" w:hAnsi="Times New Roman;Times;serif"/>
          <w:sz w:val="20"/>
        </w:rPr>
      </w:pPr>
      <w:r>
        <w:rPr>
          <w:rFonts w:ascii="Times New Roman;Times;serif" w:hAnsi="Times New Roman;Times;serif"/>
          <w:sz w:val="20"/>
        </w:rPr>
        <w:t>CERTIFICATIONS</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I, Ira Fils, certify that:</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El Pollo Loco Holdings, Inc.;</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Date: November 3, 2023</w:t>
      </w:r>
    </w:p>
    <w:p>
      <w:pPr>
        <w:pStyle w:val="TextBody"/>
        <w:bidi w:val="0"/>
        <w:spacing w:before="0" w:after="0"/>
        <w:ind w:left="0" w:right="0" w:hanging="0"/>
        <w:jc w:val="left"/>
        <w:rPr/>
      </w:pPr>
      <w:r>
        <w:rPr/>
        <w:t>​</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8"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07315" cy="848995"/>
                      <wp:effectExtent l="0" t="0" r="0" b="0"/>
                      <wp:wrapNone/>
                      <wp:docPr id="529" name="Frame529"/>
                      <a:graphic xmlns:a="http://schemas.openxmlformats.org/drawingml/2006/main">
                        <a:graphicData uri="http://schemas.microsoft.com/office/word/2010/wordprocessingShape">
                          <wps:wsp>
                            <wps:cNvSpPr txBox="1"/>
                            <wps:spPr>
                              <a:xfrm>
                                <a:off x="0" y="0"/>
                                <a:ext cx="107315" cy="848995"/>
                              </a:xfrm>
                              <a:prstGeom prst="rect"/>
                              <a:solidFill>
                                <a:srgbClr val="FFFFFF"/>
                              </a:solidFill>
                            </wps:spPr>
                            <wps:txb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Ira Fils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Ira Fils</w:t>
                            </w:r>
                          </w:p>
                        </w:txbxContent>
                      </v:textbox>
                      <w10:wrap type="none"/>
                    </v:rect>
                  </w:pict>
                </mc:Fallback>
              </mc:AlternateContent>
            </w:r>
          </w:p>
        </w:tc>
      </w:tr>
      <w:tr>
        <w:trPr/>
        <w:tc>
          <w:tcPr>
            <w:tcW w:w="169" w:type="dxa"/>
            <w:tcBorders>
              <w:top w:val="single" w:sz="8" w:space="0" w:color="000000"/>
            </w:tcBorders>
            <w:tcMar>
              <w:top w:w="28" w:type="dxa"/>
              <w:bottom w:w="0"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07315" cy="591820"/>
                      <wp:effectExtent l="0" t="0" r="0" b="0"/>
                      <wp:wrapNone/>
                      <wp:docPr id="530" name="Frame530"/>
                      <a:graphic xmlns:a="http://schemas.openxmlformats.org/drawingml/2006/main">
                        <a:graphicData uri="http://schemas.microsoft.com/office/word/2010/wordprocessingShape">
                          <wps:wsp>
                            <wps:cNvSpPr txBox="1"/>
                            <wps:spPr>
                              <a:xfrm>
                                <a:off x="0" y="0"/>
                                <a:ext cx="107315" cy="591820"/>
                              </a:xfrm>
                              <a:prstGeom prst="rect"/>
                              <a:solidFill>
                                <a:srgbClr val="FFFFFF"/>
                              </a:solidFill>
                            </wps:spPr>
                            <wps:txb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Ira Fils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46.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Ira Fils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1609" w:name="loco-20230927xex32d1.htm"/>
      <w:bookmarkStart w:id="1610" w:name="ksloco20230927xex32d1"/>
      <w:bookmarkEnd w:id="1609"/>
      <w:bookmarkEnd w:id="1610"/>
      <w:r>
        <w:rPr/>
        <w:t>​</w:t>
      </w:r>
      <w:r>
        <w:br w:type="page"/>
      </w:r>
    </w:p>
    <w:p>
      <w:pPr>
        <w:pStyle w:val="TextBody"/>
        <w:bidi w:val="0"/>
        <w:spacing w:lineRule="auto" w:line="343"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bookmarkStart w:id="1611" w:name="New_Section_12"/>
      <w:bookmarkEnd w:id="1611"/>
    </w:p>
    <w:p>
      <w:pPr>
        <w:pStyle w:val="TextBody"/>
        <w:bidi w:val="0"/>
        <w:spacing w:lineRule="auto" w:line="343" w:before="240" w:after="0"/>
        <w:ind w:left="0" w:right="0" w:hanging="0"/>
        <w:jc w:val="center"/>
        <w:rPr>
          <w:rFonts w:ascii="Times New Roman;Times;serif" w:hAnsi="Times New Roman;Times;serif"/>
          <w:sz w:val="20"/>
        </w:rPr>
      </w:pPr>
      <w:r>
        <w:rPr>
          <w:rFonts w:ascii="Times New Roman;Times;serif" w:hAnsi="Times New Roman;Times;serif"/>
          <w:sz w:val="20"/>
        </w:rPr>
        <w:t>CERTIFICATION</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Date: November 3, 2023</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07315" cy="175260"/>
                      <wp:effectExtent l="0" t="0" r="0" b="0"/>
                      <wp:wrapNone/>
                      <wp:docPr id="531" name="Frame531"/>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0"/>
        <w:ind w:left="0" w:right="0" w:hanging="0"/>
        <w:jc w:val="left"/>
        <w:rPr/>
      </w:pPr>
      <w:r>
        <w:rPr/>
        <w:t>​</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07315" cy="401320"/>
                      <wp:effectExtent l="0" t="0" r="0" b="0"/>
                      <wp:wrapNone/>
                      <wp:docPr id="532" name="Frame532"/>
                      <a:graphic xmlns:a="http://schemas.openxmlformats.org/drawingml/2006/main">
                        <a:graphicData uri="http://schemas.microsoft.com/office/word/2010/wordprocessingShape">
                          <wps:wsp>
                            <wps:cNvSpPr txBox="1"/>
                            <wps:spPr>
                              <a:xfrm>
                                <a:off x="0" y="0"/>
                                <a:ext cx="107315" cy="401320"/>
                              </a:xfrm>
                              <a:prstGeom prst="rect"/>
                              <a:solidFill>
                                <a:srgbClr val="FFFFFF"/>
                              </a:solidFill>
                            </wps:spPr>
                            <wps:txbx>
                              <w:txbxContent>
                                <w:p>
                                  <w:pPr>
                                    <w:pStyle w:val="TableContents"/>
                                    <w:bidi w:val="0"/>
                                    <w:spacing w:before="40" w:after="4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31.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4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r>
      <w:tr>
        <w:trPr/>
        <w:tc>
          <w:tcPr>
            <w:tcW w:w="16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07315" cy="2078990"/>
                      <wp:effectExtent l="0" t="0" r="0" b="0"/>
                      <wp:wrapNone/>
                      <wp:docPr id="533" name="Frame533"/>
                      <a:graphic xmlns:a="http://schemas.openxmlformats.org/drawingml/2006/main">
                        <a:graphicData uri="http://schemas.microsoft.com/office/word/2010/wordprocessingShape">
                          <wps:wsp>
                            <wps:cNvSpPr txBox="1"/>
                            <wps:spPr>
                              <a:xfrm>
                                <a:off x="0" y="0"/>
                                <a:ext cx="107315" cy="2078990"/>
                              </a:xfrm>
                              <a:prstGeom prst="rect"/>
                              <a:solidFill>
                                <a:srgbClr val="FFFFFF"/>
                              </a:solidFill>
                            </wps:spPr>
                            <wps:txb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Laurance Roberts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63.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Laurance Roberts</w:t>
                            </w:r>
                          </w:p>
                        </w:txbxContent>
                      </v:textbox>
                      <w10:wrap type="none"/>
                    </v:rect>
                  </w:pict>
                </mc:Fallback>
              </mc:AlternateContent>
            </w:r>
          </w:p>
        </w:tc>
      </w:tr>
      <w:tr>
        <w:trPr/>
        <w:tc>
          <w:tcPr>
            <w:tcW w:w="169"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07315" cy="5159375"/>
                      <wp:effectExtent l="0" t="0" r="0" b="0"/>
                      <wp:wrapNone/>
                      <wp:docPr id="534" name="Frame534"/>
                      <a:graphic xmlns:a="http://schemas.openxmlformats.org/drawingml/2006/main">
                        <a:graphicData uri="http://schemas.microsoft.com/office/word/2010/wordprocessingShape">
                          <wps:wsp>
                            <wps:cNvSpPr txBox="1"/>
                            <wps:spPr>
                              <a:xfrm>
                                <a:off x="0" y="0"/>
                                <a:ext cx="107315" cy="5159375"/>
                              </a:xfrm>
                              <a:prstGeom prst="rect"/>
                              <a:solidFill>
                                <a:srgbClr val="FFFFFF"/>
                              </a:solidFill>
                            </wps:spPr>
                            <wps:txb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Laurance Roberts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406.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Laurance Roberts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xbxContent>
                      </v:textbox>
                      <w10:wrap type="none"/>
                    </v:rect>
                  </w:pict>
                </mc:Fallback>
              </mc:AlternateContent>
            </w:r>
          </w:p>
        </w:tc>
      </w:tr>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07315" cy="401320"/>
                      <wp:effectExtent l="0" t="0" r="0" b="0"/>
                      <wp:wrapNone/>
                      <wp:docPr id="535" name="Frame535"/>
                      <a:graphic xmlns:a="http://schemas.openxmlformats.org/drawingml/2006/main">
                        <a:graphicData uri="http://schemas.microsoft.com/office/word/2010/wordprocessingShape">
                          <wps:wsp>
                            <wps:cNvSpPr txBox="1"/>
                            <wps:spPr>
                              <a:xfrm>
                                <a:off x="0" y="0"/>
                                <a:ext cx="107315" cy="401320"/>
                              </a:xfrm>
                              <a:prstGeom prst="rect"/>
                              <a:solidFill>
                                <a:srgbClr val="FFFFFF"/>
                              </a:solidFill>
                            </wps:spPr>
                            <wps:txbx>
                              <w:txbxContent>
                                <w:p>
                                  <w:pPr>
                                    <w:pStyle w:val="TableContents"/>
                                    <w:bidi w:val="0"/>
                                    <w:spacing w:before="40" w:after="4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31.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4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r>
      <w:tr>
        <w:trPr/>
        <w:tc>
          <w:tcPr>
            <w:tcW w:w="16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07315" cy="905510"/>
                      <wp:effectExtent l="0" t="0" r="0" b="0"/>
                      <wp:wrapNone/>
                      <wp:docPr id="536" name="Frame536"/>
                      <a:graphic xmlns:a="http://schemas.openxmlformats.org/drawingml/2006/main">
                        <a:graphicData uri="http://schemas.microsoft.com/office/word/2010/wordprocessingShape">
                          <wps:wsp>
                            <wps:cNvSpPr txBox="1"/>
                            <wps:spPr>
                              <a:xfrm>
                                <a:off x="0" y="0"/>
                                <a:ext cx="107315" cy="905510"/>
                              </a:xfrm>
                              <a:prstGeom prst="rect"/>
                              <a:solidFill>
                                <a:srgbClr val="FFFFFF"/>
                              </a:solidFill>
                            </wps:spPr>
                            <wps:txb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Ira Fils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71.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Ira Fils</w:t>
                            </w:r>
                          </w:p>
                        </w:txbxContent>
                      </v:textbox>
                      <w10:wrap type="none"/>
                    </v:rect>
                  </w:pict>
                </mc:Fallback>
              </mc:AlternateContent>
            </w:r>
          </w:p>
        </w:tc>
      </w:tr>
      <w:tr>
        <w:trPr/>
        <w:tc>
          <w:tcPr>
            <w:tcW w:w="16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07315" cy="2519045"/>
                      <wp:effectExtent l="0" t="0" r="0" b="0"/>
                      <wp:wrapNone/>
                      <wp:docPr id="537" name="Frame537"/>
                      <a:graphic xmlns:a="http://schemas.openxmlformats.org/drawingml/2006/main">
                        <a:graphicData uri="http://schemas.microsoft.com/office/word/2010/wordprocessingShape">
                          <wps:wsp>
                            <wps:cNvSpPr txBox="1"/>
                            <wps:spPr>
                              <a:xfrm>
                                <a:off x="0" y="0"/>
                                <a:ext cx="107315" cy="2519045"/>
                              </a:xfrm>
                              <a:prstGeom prst="rect"/>
                              <a:solidFill>
                                <a:srgbClr val="FFFFFF"/>
                              </a:solidFill>
                            </wps:spPr>
                            <wps:txb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Ira Fils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Financial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98.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Ira Fils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Financial Officer</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inheri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6366/000119312514332367/d779664dex31.htm" TargetMode="External"/><Relationship Id="rId3" Type="http://schemas.openxmlformats.org/officeDocument/2006/relationships/hyperlink" Target="https://www.sec.gov/Archives/edgar/data/1606366/000138713123009442/ex3-1.htm" TargetMode="External"/><Relationship Id="rId4" Type="http://schemas.openxmlformats.org/officeDocument/2006/relationships/hyperlink" Target="https://www.sec.gov/Archives/edgar/data/1606366/000119312514332367/d779664dex32.htm" TargetMode="External"/><Relationship Id="rId5" Type="http://schemas.openxmlformats.org/officeDocument/2006/relationships/hyperlink" Target="https://www.sec.gov/Archives/edgar/data/1606366/000138713123009442/ex4-1.htm" TargetMode="External"/><Relationship Id="rId6" Type="http://schemas.openxmlformats.org/officeDocument/2006/relationships/hyperlink" Target="https://www.sec.gov/Archives/edgar/data/1606366/000160636623000036/loco-20230807xex99d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28508</Words>
  <Characters>158165</Characters>
  <CharactersWithSpaces>188983</CharactersWithSpaces>
  <Paragraphs>7967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