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250825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2" w:lineRule="exact"/>
        <w:rPr>
          <w:sz w:val="24"/>
          <w:szCs w:val="24"/>
          <w:color w:val="auto"/>
        </w:rPr>
      </w:pPr>
    </w:p>
    <w:p>
      <w:pPr>
        <w:ind w:left="720" w:right="2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27, 2019</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720" w:right="20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243205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EL POLLO LOCO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6760" w:type="dxa"/>
            <w:vAlign w:val="bottom"/>
          </w:tcPr>
          <w:p>
            <w:pPr>
              <w:jc w:val="center"/>
              <w:ind w:right="25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20-3563182</w:t>
            </w:r>
          </w:p>
        </w:tc>
      </w:tr>
      <w:tr>
        <w:trPr>
          <w:trHeight w:val="220"/>
        </w:trPr>
        <w:tc>
          <w:tcPr>
            <w:tcW w:w="6760" w:type="dxa"/>
            <w:vAlign w:val="bottom"/>
          </w:tcPr>
          <w:p>
            <w:pPr>
              <w:jc w:val="center"/>
              <w:ind w:right="25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0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88"/>
        </w:trPr>
        <w:tc>
          <w:tcPr>
            <w:tcW w:w="6760" w:type="dxa"/>
            <w:vAlign w:val="bottom"/>
          </w:tcPr>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3535 Harbor Blvd., Suite 100, Costa Mesa, California</w:t>
            </w:r>
          </w:p>
        </w:tc>
        <w:tc>
          <w:tcPr>
            <w:tcW w:w="2300" w:type="dxa"/>
            <w:vAlign w:val="bottom"/>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92626</w:t>
            </w:r>
          </w:p>
        </w:tc>
      </w:tr>
      <w:tr>
        <w:trPr>
          <w:trHeight w:val="220"/>
        </w:trPr>
        <w:tc>
          <w:tcPr>
            <w:tcW w:w="6760" w:type="dxa"/>
            <w:vAlign w:val="bottom"/>
          </w:tcPr>
          <w:p>
            <w:pPr>
              <w:jc w:val="center"/>
              <w:ind w:right="25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6760" w:type="dxa"/>
            <w:vAlign w:val="bottom"/>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(714) 599-5000</w:t>
            </w:r>
          </w:p>
        </w:tc>
        <w:tc>
          <w:tcPr>
            <w:tcW w:w="2300" w:type="dxa"/>
            <w:vAlign w:val="bottom"/>
          </w:tcPr>
          <w:p>
            <w:pPr>
              <w:spacing w:after="0"/>
              <w:rPr>
                <w:sz w:val="24"/>
                <w:szCs w:val="24"/>
                <w:color w:val="auto"/>
              </w:rPr>
            </w:pPr>
          </w:p>
        </w:tc>
      </w:tr>
      <w:tr>
        <w:trPr>
          <w:trHeight w:val="190"/>
        </w:trPr>
        <w:tc>
          <w:tcPr>
            <w:tcW w:w="6760" w:type="dxa"/>
            <w:vAlign w:val="bottom"/>
          </w:tcPr>
          <w:p>
            <w:pPr>
              <w:jc w:val="center"/>
              <w:ind w:left="3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00" w:type="dxa"/>
            <w:vAlign w:val="bottom"/>
          </w:tcPr>
          <w:p>
            <w:pPr>
              <w:spacing w:after="0"/>
              <w:rPr>
                <w:sz w:val="16"/>
                <w:szCs w:val="16"/>
                <w:color w:val="auto"/>
              </w:rPr>
            </w:pPr>
          </w:p>
        </w:tc>
      </w:tr>
    </w:tbl>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1"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LOCO</w:t>
            </w:r>
          </w:p>
        </w:tc>
        <w:tc>
          <w:tcPr>
            <w:tcW w:w="4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222885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260" w:firstLine="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1" w:lineRule="exact"/>
        <w:rPr>
          <w:sz w:val="24"/>
          <w:szCs w:val="24"/>
          <w:color w:val="auto"/>
        </w:rPr>
      </w:pPr>
    </w:p>
    <w:p>
      <w:pPr>
        <w:jc w:val="both"/>
        <w:ind w:right="60" w:firstLine="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1" w:lineRule="exact"/>
        <w:rPr>
          <w:sz w:val="24"/>
          <w:szCs w:val="24"/>
          <w:color w:val="auto"/>
        </w:rPr>
      </w:pPr>
    </w:p>
    <w:p>
      <w:pPr>
        <w:jc w:val="both"/>
        <w:ind w:right="60" w:firstLine="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40"/>
          </w:cols>
          <w:pgMar w:left="240" w:top="1038" w:right="219" w:bottom="1042" w:gutter="0" w:footer="0" w:header="0"/>
        </w:sectPr>
      </w:pPr>
    </w:p>
    <w:bookmarkStart w:id="1" w:name="page2"/>
    <w:bookmarkEnd w:id="1"/>
    <w:p>
      <w:pPr>
        <w:ind w:firstLine="500"/>
        <w:spacing w:after="0" w:line="28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ind w:left="500" w:right="12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As of April 26, 2019, there were 38,433,201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796"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900" w:type="dxa"/>
            <w:vAlign w:val="bottom"/>
            <w:gridSpan w:val="15"/>
          </w:tcPr>
          <w:p>
            <w:pPr>
              <w:spacing w:after="0"/>
              <w:rPr>
                <w:sz w:val="13"/>
                <w:szCs w:val="13"/>
                <w:color w:val="auto"/>
              </w:rPr>
            </w:pPr>
          </w:p>
        </w:tc>
        <w:tc>
          <w:tcPr>
            <w:tcW w:w="23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98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I—FINANCIAL INFORMATION</w:t>
              </w:r>
            </w:hyperlink>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Item 1. Financial Statements.</w:t>
              </w:r>
            </w:hyperlink>
          </w:p>
        </w:tc>
        <w:tc>
          <w:tcPr>
            <w:tcW w:w="860" w:type="dxa"/>
            <w:vAlign w:val="bottom"/>
            <w:tcBorders>
              <w:top w:val="single" w:sz="8" w:color="0000EE"/>
            </w:tcBorders>
            <w:gridSpan w:val="3"/>
          </w:tcPr>
          <w:p>
            <w:pPr>
              <w:spacing w:after="0"/>
              <w:rPr>
                <w:sz w:val="21"/>
                <w:szCs w:val="21"/>
                <w:color w:val="auto"/>
              </w:rPr>
            </w:pPr>
          </w:p>
        </w:tc>
        <w:tc>
          <w:tcPr>
            <w:tcW w:w="6020" w:type="dxa"/>
            <w:vAlign w:val="bottom"/>
            <w:gridSpan w:val="8"/>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898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(Unaudited)</w:t>
              </w:r>
            </w:hyperlink>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Income (Unaudited)</w:t>
              </w:r>
            </w:hyperlink>
          </w:p>
        </w:tc>
        <w:tc>
          <w:tcPr>
            <w:tcW w:w="4660" w:type="dxa"/>
            <w:vAlign w:val="bottom"/>
            <w:gridSpan w:val="6"/>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898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Stockholders' Equity (Unaudited)</w:t>
              </w:r>
            </w:hyperlink>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50"/>
        </w:trPr>
        <w:tc>
          <w:tcPr>
            <w:tcW w:w="61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(Unaudited)</w:t>
              </w:r>
            </w:hyperlink>
          </w:p>
        </w:tc>
        <w:tc>
          <w:tcPr>
            <w:tcW w:w="2860" w:type="dxa"/>
            <w:vAlign w:val="bottom"/>
            <w:gridSpan w:val="2"/>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 (Unaudited)</w:t>
              </w:r>
            </w:hyperlink>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60" w:type="dxa"/>
            <w:vAlign w:val="bottom"/>
            <w:gridSpan w:val="16"/>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Item 3. Quantitative and Qualitative Disclosures About Market Risk.</w:t>
              </w:r>
            </w:hyperlink>
          </w:p>
        </w:tc>
        <w:tc>
          <w:tcPr>
            <w:tcW w:w="2120" w:type="dxa"/>
            <w:vAlign w:val="bottom"/>
            <w:gridSpan w:val="2"/>
          </w:tcPr>
          <w:p>
            <w:pPr>
              <w:spacing w:after="0"/>
              <w:rPr>
                <w:sz w:val="21"/>
                <w:szCs w:val="21"/>
                <w:color w:val="auto"/>
              </w:rPr>
            </w:pPr>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tcBorders>
              <w:left w:val="single" w:sz="8" w:color="0000EE"/>
            </w:tcBorders>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4. Controls and Procedures.</w:t>
              </w:r>
            </w:hyperlink>
          </w:p>
        </w:tc>
        <w:tc>
          <w:tcPr>
            <w:tcW w:w="2580" w:type="dxa"/>
            <w:vAlign w:val="bottom"/>
            <w:gridSpan w:val="7"/>
          </w:tcPr>
          <w:p>
            <w:pPr>
              <w:spacing w:after="0"/>
              <w:rPr>
                <w:sz w:val="21"/>
                <w:szCs w:val="21"/>
                <w:color w:val="auto"/>
              </w:rPr>
            </w:pPr>
          </w:p>
        </w:tc>
        <w:tc>
          <w:tcPr>
            <w:tcW w:w="4040" w:type="dxa"/>
            <w:vAlign w:val="bottom"/>
            <w:gridSpan w:val="3"/>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PART II—OTHER INFORMATION</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1. Legal Proceedings.</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1A. Risk Factors.</w:t>
              </w:r>
            </w:hyperlink>
          </w:p>
        </w:tc>
        <w:tc>
          <w:tcPr>
            <w:tcW w:w="260" w:type="dxa"/>
            <w:vAlign w:val="bottom"/>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2. Unregistered Sales of Equity Securities and Use of Proceeds.</w:t>
              </w:r>
            </w:hyperlink>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 Defaults of Senior Securities.</w:t>
              </w:r>
            </w:hyperlink>
          </w:p>
        </w:tc>
        <w:tc>
          <w:tcPr>
            <w:tcW w:w="4040" w:type="dxa"/>
            <w:vAlign w:val="bottom"/>
            <w:gridSpan w:val="3"/>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4. Mine Safety Disclosures.</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5. Other Information.</w:t>
              </w:r>
            </w:hyperlink>
          </w:p>
        </w:tc>
        <w:tc>
          <w:tcPr>
            <w:tcW w:w="6620" w:type="dxa"/>
            <w:vAlign w:val="bottom"/>
            <w:gridSpan w:val="10"/>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Item 6. Exhibits.</w:t>
              </w:r>
            </w:hyperlink>
          </w:p>
        </w:tc>
        <w:tc>
          <w:tcPr>
            <w:tcW w:w="700" w:type="dxa"/>
            <w:vAlign w:val="bottom"/>
            <w:gridSpan w:val="2"/>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Signatures</w:t>
              </w:r>
            </w:hyperlink>
          </w:p>
        </w:tc>
        <w:tc>
          <w:tcPr>
            <w:tcW w:w="440" w:type="dxa"/>
            <w:vAlign w:val="bottom"/>
            <w:gridSpan w:val="2"/>
          </w:tcPr>
          <w:p>
            <w:pPr>
              <w:spacing w:after="0"/>
              <w:rPr>
                <w:sz w:val="21"/>
                <w:szCs w:val="21"/>
                <w:color w:val="auto"/>
              </w:rPr>
            </w:pPr>
          </w:p>
        </w:tc>
        <w:tc>
          <w:tcPr>
            <w:tcW w:w="7780" w:type="dxa"/>
            <w:vAlign w:val="bottom"/>
            <w:gridSpan w:val="14"/>
          </w:tcPr>
          <w:p>
            <w:pPr>
              <w:spacing w:after="0"/>
              <w:rPr>
                <w:sz w:val="21"/>
                <w:szCs w:val="21"/>
                <w:color w:val="auto"/>
              </w:rPr>
            </w:pPr>
          </w:p>
        </w:tc>
        <w:tc>
          <w:tcPr>
            <w:tcW w:w="2380" w:type="dxa"/>
            <w:vAlign w:val="bottom"/>
            <w:gridSpan w:val="4"/>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r>
      <w:tr>
        <w:trPr>
          <w:trHeight w:val="723"/>
        </w:trPr>
        <w:tc>
          <w:tcPr>
            <w:tcW w:w="760" w:type="dxa"/>
            <w:vAlign w:val="bottom"/>
            <w:tcBorders>
              <w:top w:val="single" w:sz="8" w:color="0000EE"/>
            </w:tcBorders>
          </w:tcPr>
          <w:p>
            <w:pPr>
              <w:spacing w:after="0"/>
              <w:rPr>
                <w:sz w:val="24"/>
                <w:szCs w:val="24"/>
                <w:color w:val="auto"/>
              </w:rPr>
            </w:pPr>
          </w:p>
        </w:tc>
        <w:tc>
          <w:tcPr>
            <w:tcW w:w="5360" w:type="dxa"/>
            <w:vAlign w:val="bottom"/>
            <w:gridSpan w:val="14"/>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576" w:right="1440"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2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26, 2018</w:t>
            </w:r>
          </w:p>
        </w:tc>
        <w:tc>
          <w:tcPr>
            <w:tcW w:w="0" w:type="dxa"/>
            <w:vAlign w:val="bottom"/>
          </w:tcPr>
          <w:p>
            <w:pPr>
              <w:spacing w:after="0"/>
              <w:rPr>
                <w:sz w:val="1"/>
                <w:szCs w:val="1"/>
                <w:color w:val="auto"/>
              </w:rPr>
            </w:pPr>
          </w:p>
        </w:tc>
      </w:tr>
      <w:tr>
        <w:trPr>
          <w:trHeight w:val="249"/>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owned,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104,145</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held under finance leases, net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held under operating leases, net ("ROU Asset")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248,674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61,888</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11,709</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646,715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450,226</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obligations under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obligations under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and vacation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income tax receivable agreement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51,764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82,903</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Revolver loan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74,000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receivable agreement payable, net of current portion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20,024</w:t>
            </w:r>
          </w:p>
        </w:tc>
        <w:tc>
          <w:tcPr>
            <w:tcW w:w="0" w:type="dxa"/>
            <w:vAlign w:val="bottom"/>
          </w:tcPr>
          <w:p>
            <w:pPr>
              <w:spacing w:after="0"/>
              <w:rPr>
                <w:sz w:val="1"/>
                <w:szCs w:val="1"/>
                <w:color w:val="auto"/>
              </w:rPr>
            </w:pPr>
          </w:p>
        </w:tc>
      </w:tr>
      <w:tr>
        <w:trPr>
          <w:trHeight w:val="237"/>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383,477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184,990</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issued or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value—200,000,000 shares authorized; 38,730,204</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39,004,451 shares issued and outstanding</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372,825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375,734</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265,236</w:t>
            </w:r>
          </w:p>
        </w:tc>
        <w:tc>
          <w:tcPr>
            <w:tcW w:w="0" w:type="dxa"/>
            <w:vAlign w:val="bottom"/>
          </w:tcPr>
          <w:p>
            <w:pPr>
              <w:spacing w:after="0"/>
              <w:rPr>
                <w:sz w:val="1"/>
                <w:szCs w:val="1"/>
                <w:color w:val="auto"/>
              </w:rPr>
            </w:pPr>
          </w:p>
        </w:tc>
      </w:tr>
      <w:tr>
        <w:trPr>
          <w:trHeight w:val="257"/>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646,715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450,226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11360"/>
          </w:cols>
          <w:pgMar w:left="240" w:top="576"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576" w:right="299" w:bottom="1440" w:gutter="0" w:footer="0" w:header="0"/>
          <w:type w:val="continuous"/>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60" w:type="dxa"/>
            <w:vAlign w:val="bottom"/>
          </w:tcPr>
          <w:p>
            <w:pPr>
              <w:spacing w:after="0"/>
              <w:rPr>
                <w:sz w:val="22"/>
                <w:szCs w:val="22"/>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35"/>
        </w:trPr>
        <w:tc>
          <w:tcPr>
            <w:tcW w:w="8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97,150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94,553</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6,106</w:t>
            </w: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5,097</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108,977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105,756</w:t>
            </w:r>
          </w:p>
        </w:tc>
      </w:tr>
      <w:tr>
        <w:trPr>
          <w:trHeight w:val="23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paper 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27,235</w:t>
            </w: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27,662</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21,919</w:t>
            </w:r>
          </w:p>
        </w:tc>
      </w:tr>
      <w:tr>
        <w:trPr>
          <w:trHeight w:val="23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76,816</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13,202</w:t>
            </w: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Franchise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5,832</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4,212</w:t>
            </w: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Recovery of securities lawsuits related legal expenses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 and closed-store reserves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2,819</w:t>
            </w:r>
          </w:p>
        </w:tc>
      </w:tr>
      <w:tr>
        <w:trPr>
          <w:trHeight w:val="23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106,685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101,308</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4,448</w:t>
            </w:r>
          </w:p>
        </w:tc>
      </w:tr>
      <w:tr>
        <w:trPr>
          <w:trHeight w:val="225"/>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 of $9 and $8 for the quarters ended March 27, 2019 and March 28, 2018,</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888</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4,478</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1,949</w:t>
            </w:r>
          </w:p>
        </w:tc>
      </w:tr>
      <w:tr>
        <w:trPr>
          <w:trHeight w:val="297"/>
        </w:trPr>
        <w:tc>
          <w:tcPr>
            <w:tcW w:w="8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2,529</w:t>
            </w:r>
          </w:p>
        </w:tc>
      </w:tr>
      <w:tr>
        <w:trPr>
          <w:trHeight w:val="251"/>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r>
      <w:tr>
        <w:trPr>
          <w:trHeight w:val="25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38,653,702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38,465,208</w:t>
            </w: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39,496,436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38,987,351</w:t>
            </w:r>
          </w:p>
        </w:tc>
      </w:tr>
    </w:tbl>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Thirteen Weeks Ended 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6"/>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26, 2018</w:t>
            </w:r>
          </w:p>
        </w:tc>
        <w:tc>
          <w:tcPr>
            <w:tcW w:w="15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39,009,451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375,734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265,236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 of common stock related to restricted shares, net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repurchased for employee tax withholdings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(255,554)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27, 2019</w:t>
            </w:r>
          </w:p>
        </w:tc>
        <w:tc>
          <w:tcPr>
            <w:tcW w:w="3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38,730,204</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388</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372,825</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263,238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4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28, 2018</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8"/>
                <w:szCs w:val="18"/>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6"/>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Balance, December 27, 2017</w:t>
            </w:r>
          </w:p>
        </w:tc>
        <w:tc>
          <w:tcPr>
            <w:tcW w:w="15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38,661,850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372,990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274,950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of accounting change (See Note 10)</w:t>
            </w:r>
          </w:p>
        </w:tc>
        <w:tc>
          <w:tcPr>
            <w:tcW w:w="3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 of common stock related to restricted shares, net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(25,812)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28, 2018</w:t>
            </w:r>
          </w:p>
        </w:tc>
        <w:tc>
          <w:tcPr>
            <w:tcW w:w="3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38,636,038</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387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373,522</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274,517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6"/>
        </w:trPr>
        <w:tc>
          <w:tcPr>
            <w:tcW w:w="4400" w:type="dxa"/>
            <w:vAlign w:val="bottom"/>
          </w:tcPr>
          <w:p>
            <w:pPr>
              <w:spacing w:after="0"/>
              <w:rPr>
                <w:sz w:val="24"/>
                <w:szCs w:val="24"/>
                <w:color w:val="auto"/>
              </w:rPr>
            </w:pPr>
          </w:p>
        </w:tc>
        <w:tc>
          <w:tcPr>
            <w:tcW w:w="15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4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2,529</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held for sale assets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Closed-store reserve expense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favorable and unfavorable leases, net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salaries and vacation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12,333</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revolver loan</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obligations under finance leases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buybacks</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beginning of period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8,550</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end of period</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6,203</w:t>
            </w:r>
          </w:p>
        </w:tc>
      </w:tr>
      <w:tr>
        <w:trPr>
          <w:trHeight w:val="20"/>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87"/>
        </w:trPr>
        <w:tc>
          <w:tcPr>
            <w:tcW w:w="8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4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62"/>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Unpaid stock buybacks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 (unaudited).</w:t>
      </w:r>
    </w:p>
    <w:p>
      <w:pPr>
        <w:sectPr>
          <w:pgSz w:w="11900" w:h="16838" w:orient="portrait"/>
          <w:cols w:equalWidth="0" w:num="1">
            <w:col w:w="11420"/>
          </w:cols>
          <w:pgMar w:left="240" w:top="6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66" w:lineRule="exact"/>
        <w:rPr>
          <w:sz w:val="20"/>
          <w:szCs w:val="20"/>
          <w:color w:val="auto"/>
        </w:rPr>
      </w:pPr>
    </w:p>
    <w:p>
      <w:pPr>
        <w:ind w:right="380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right="200"/>
        <w:spacing w:after="0" w:line="261"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27, 2019, the Company operated 211 and franchised 273 El Pollo Loco restaurants.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2, 2018, the Company announced the Board of Directors had authorized a stock repurchase program (the “Stock Repurchase Program”). The Company entered into a stock repurchase plan pursuant to Rule 10b5-1 of the Securities and Exchange Act of 1934, as amended on August 28, 2018 (the “Stock Repurchase Plan”), which allows for the repurchase of up to $20.0 million of the Company’s common stock. The Stock Repurchase Plan commenced purchases on November 6, 2018, and, if not terminated sooner by other provisions of the Stock Repurchase Plan, will terminate on June 26, 2019. The Stock Repurchase Plan may also be suspended or terminated at any time upon prior notice.</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Stock Repurchase Program, the Company may repurchase its common stock from time to time, in amounts and at prices that the Company deems appropriate, subject to market conditions and other considerations. The Company’s repurchases may be executed using open market purchases and/or through privately negotiated transactions.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quarter ended March 27, 2019, the Company repurchased 255,554 shares of common stock under the Stock Repurchase Plan, using open market purchases, for total consideration of approximately $3.4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condensed consolidated financial statements included in the Company’s annual report on Form 10-K for the year ended December 26, 2018.</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2018 and 2019 are both 52-week years, ending on December 26, 2018 and December 25, 2019, respectively. Revenues, expenses, and other financial and operational figures may be elevated in a 53-week year.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2018 Revolver (as defined below)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9" w:name="page10"/>
    <w:bookmarkEnd w:id="9"/>
    <w:p>
      <w:pPr>
        <w:ind w:right="220"/>
        <w:spacing w:after="0" w:line="266" w:lineRule="auto"/>
        <w:rPr>
          <w:sz w:val="20"/>
          <w:szCs w:val="20"/>
          <w:color w:val="auto"/>
        </w:rPr>
      </w:pPr>
      <w:r>
        <w:rPr>
          <w:rFonts w:ascii="Times New Roman" w:cs="Times New Roman" w:eastAsia="Times New Roman" w:hAnsi="Times New Roman"/>
          <w:sz w:val="18"/>
          <w:szCs w:val="18"/>
          <w:color w:val="auto"/>
        </w:rPr>
        <w:t>Actual results could materially differ from those estimates. The Company’s significant estimates include estimates for impairment of goodwill, intangible assets and property and equipment, insurance reserves, lease termination liabilities, closed-store reserves, stock-based compensation, income tax receivable agreement liability, contingent liabilities and income tax valuation allowances.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highly-liquid instruments with an original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principal liquidity requirements are to service its debt and to meet capital expenditure needs. At March 27, 2019, the Company’s total debt was $71.2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$6.7 million at March 27, 2019, and available borrowings under the 2018 Revolver (see Note 4) will be adequate to meet the Company’s liquidity needs for the next twelve months from the filing of these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Securities Class Action Legal Expense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March 28, 2018, the Company received insurance proceeds of $1.6 million related to the reimbursement of certain legal expenses paid in prior years for the defense of securities lawsuits. See Note 7, Commitments and Contingencies, Legal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During the thirteen weeks ended March 27, 2019, the Company agreed in principle to sell four restaurants within the San Francisco area to an existing franchisee. Additionally, the Company agreed in principle to sell seven restaurants in the Phoenix area to another existing franchisee. Assets are classified as held for sale if they meet the criteria outlined in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accordance with applicable accounting guidance, the net assets were recorded at the lower of carrying value or fair value less costs to sell. The Company classified $4.5 million of assets as held for sale, consisting of leasehold improvements and other property equipment, as of March 27, 2019, and recognized a loss on held for sale assets of $4.1 million for the thirteen weeks ended March 27, 2019.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August 2018, the SEC adopted the final rule under SEC Release No. 33-10532, “Disclosure Update and Simplification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Company adopted SEC Release No. 33-10532 as of March 27, 2019. See “Consolidated Statements of Changes in Stockholders’ Equity” above.</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2018, the Financial Accounting Standards Board (“FASB”) issued Accounting Standards Update (“ASU”) No. 2018-07, “Compensation—Stock Compensation (Topic 718): Improvements to Nonemployee Share-Based Payment Accounting”, (“ASU 2018-07”)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Company adopted ASU 2018-07 as of March 27, 2019 and it did not have a significant impact on the Company’s consolidated financial position or results of operations.</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Topic 842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therein.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adopted Topic 842, and all related ASU’s in the first quarter of 2019. See “Changes in Accounting Policies,” below for further details.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Subsequent to March 27, 2019, the Company completed the sale of four restaurants in the San Francisco area to an existing franchisee. See "Assets Held For Sale" above for further details related to the accounting impact as of and for the thirteen weeks ended March 27, 2019. Furthermore, the Company made a $4.0 million borrowing on the 2018 Revolver. Additionally, the Company’s Board of Directors, on April 30, 2019, as part of the Company’s focus on shareholder returns, approved a new share repurchase program under which it authorized the Company, at its discretion, to repurchase up to $30.0 million of its outstanding common stock. The new share repurchase program will commence on June 27, 2019, subsequent to the expiration of the current share repurchase program. The share repurchase program will terminate on March 25, 2020, if not terminated sooner by other provisions of the share repurchase program, and may also be suspended or terminated at anytime upon prior notice. Repurchases of the Company’s outstanding common stock will be made in accordance with applicable securities laws and may be made at management’s discretion from time to time in the open market, through privately negotiated transactions or otherwise, including pursuant to Rule 10b5-1 trading plans. There is no guarantee as to the exact number of shares to be repurchased by the Company. The timing and extent of repurchases will depend upon several factors, including market and business conditions, regulatory requirements and other corporate considerations, and repurchases may be discontinued at any time.</w:t>
      </w:r>
    </w:p>
    <w:p>
      <w:pPr>
        <w:spacing w:after="0" w:line="200" w:lineRule="exact"/>
        <w:rPr>
          <w:sz w:val="20"/>
          <w:szCs w:val="20"/>
          <w:color w:val="auto"/>
        </w:rPr>
      </w:pPr>
    </w:p>
    <w:p>
      <w:pPr>
        <w:spacing w:after="0" w:line="2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that have occurred after March 27, 2019, and determined that there were no other events or transactions occurring during this reporting period that require recognition or disclosure in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had no supplier for which amounts due totaled more than 10.0% of the Company’s accounts payable at March 27, 2019. As of December 26, 2018, the Company had one supplier for which amounts due totaled 36.0% of the Company’s accounts payable. Purchases from the Company’s largest supplier totaled 26.6% of total expenses for the thirteen weeks ended March 27, 2019 and 28.0% of total expenses for the thirteen weeks ended March 28, 2018.</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Company-operated and franchised restaurants in the greater Los Angeles area generated, in the aggregate, approximately 69.2% of total revenue for both the thirteen weeks ended March 27, 2019 and the thirteen weeks ended March 28,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first quarter of 2018 the Company implemented Topic 606. Revenue is measured based on a consideration specified in a contract with a customer. The Company recognizes revenue when it satisfies a performance obligation by transferring control over a product or service to a customer. Topic 606 defines a five-step process to achieve this core principle. Refer to Note 10, “Revenue From Contracts With Customers” for further details on the Company’s revenue recognition policy.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annual impairment tests for goodwill during the fourth fiscal quarter of each year, or more frequently if impairment indicators arise.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440" w:right="239" w:bottom="1440" w:gutter="0" w:footer="0" w:header="0"/>
        </w:sectPr>
      </w:pPr>
    </w:p>
    <w:bookmarkStart w:id="11" w:name="page12"/>
    <w:bookmarkEnd w:id="11"/>
    <w:p>
      <w:pPr>
        <w:ind w:right="40"/>
        <w:spacing w:after="0" w:line="258" w:lineRule="auto"/>
        <w:rPr>
          <w:sz w:val="20"/>
          <w:szCs w:val="20"/>
          <w:color w:val="auto"/>
        </w:rPr>
      </w:pPr>
      <w:r>
        <w:rPr>
          <w:rFonts w:ascii="Times New Roman" w:cs="Times New Roman" w:eastAsia="Times New Roman" w:hAnsi="Times New Roman"/>
          <w:sz w:val="18"/>
          <w:szCs w:val="18"/>
          <w:color w:val="auto"/>
        </w:rPr>
        <w:t>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indicators of potential impairment of its goodwill or indefinite-lived intangible assets during the thirteen weeks ended March 27, 2019 or March 28, 2018, and therefore did not record any impairment during the respective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2019 and December 26, 2018, the Company had no assets or liabilities measured at fair value on a recurring basis.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weeks ended March 27, 2019. This reflects certain property and equipment assets, which were classified as held for sale as of March 27, 2019. The fair value of the assets was determined using Level 3 unobservable inputs not corroborated by market data, consisting of third-party offers for the building and equipment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 at March 27,</w:t>
            </w:r>
          </w:p>
        </w:tc>
        <w:tc>
          <w:tcPr>
            <w:tcW w:w="160" w:type="dxa"/>
            <w:vAlign w:val="bottom"/>
          </w:tcPr>
          <w:p>
            <w:pPr>
              <w:spacing w:after="0"/>
              <w:rPr>
                <w:sz w:val="13"/>
                <w:szCs w:val="13"/>
                <w:color w:val="auto"/>
              </w:rPr>
            </w:pPr>
          </w:p>
        </w:tc>
        <w:tc>
          <w:tcPr>
            <w:tcW w:w="1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95"/>
        </w:trPr>
        <w:tc>
          <w:tcPr>
            <w:tcW w:w="4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2019 Using</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March 27, 2019</w:t>
            </w:r>
          </w:p>
        </w:tc>
      </w:tr>
      <w:tr>
        <w:trPr>
          <w:trHeight w:val="264"/>
        </w:trPr>
        <w:tc>
          <w:tcPr>
            <w:tcW w:w="418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on assets held for sale</w:t>
            </w:r>
          </w:p>
        </w:tc>
      </w:tr>
      <w:tr>
        <w:trPr>
          <w:trHeight w:val="242"/>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owned, net</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4,494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4,124</w:t>
            </w:r>
          </w:p>
        </w:tc>
      </w:tr>
      <w:tr>
        <w:trPr>
          <w:trHeight w:val="27"/>
        </w:trPr>
        <w:tc>
          <w:tcPr>
            <w:tcW w:w="4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or liabilities measured at fair value on a nonrecurring basis for the thirteen weeks ended March 28,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8" w:right="239" w:bottom="1440" w:gutter="0" w:footer="0" w:header="0"/>
        </w:sectPr>
      </w:pPr>
    </w:p>
    <w:bookmarkStart w:id="12" w:name="page13"/>
    <w:bookmarkEnd w:id="12"/>
    <w:p>
      <w:pPr>
        <w:ind w:right="40"/>
        <w:spacing w:after="0" w:line="255" w:lineRule="auto"/>
        <w:rPr>
          <w:sz w:val="20"/>
          <w:szCs w:val="20"/>
          <w:color w:val="auto"/>
        </w:rPr>
      </w:pPr>
      <w:r>
        <w:rPr>
          <w:rFonts w:ascii="Times New Roman" w:cs="Times New Roman" w:eastAsia="Times New Roman" w:hAnsi="Times New Roman"/>
          <w:sz w:val="18"/>
          <w:szCs w:val="18"/>
          <w:color w:val="auto"/>
        </w:rPr>
        <w:t>on expected undiscounted future cash flows, an impairment loss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the analysis, the Company did not recognize any impairment charges during the thirteen weeks ended March 27, 2019 and March 28, 2018. Given the difficulty in projecting results for newer restaurants in newer markets, we are monitoring the recoverability of the carrying value of the assets of several restaurants on an ongoing basis. For these restaurants, if expected performance improvements are not realized, an impairment charge may be recognized in future periods, and such charge could be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adoption of Topic 842 “Leases” when the Company closed a restaurant, it reviewed the future minimum lease payments and related ancillary costs from the date of the restaurant closure to the end of the remaining lease term and recorded a lease charge for the lease liabilities to be incurred, net of any estimated sublease recoveries. The estimates of future closed-store reserves were re-evaluated and adjusted each period based on information available as of the period. In addition, an impairment charge was recognized for any remaining carrying value of certain restaurant assets. During the thirteen weeks ended March 28, 2018, the Company closed two restaurants in Texas, both of which were previously impaired during the third quarter of 2017, and decided not to move forward with the development of a third location in Texas resulting in a closed store reserve expense of $2.8 million.</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Subsequent to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 During the thirteen weeks ended March 27, 2019, the Company closed one restaurant in California and one in Texas and recognized $0.3 million of closed-store reserve expense, primarily related to the amortization of ROU Assets for closed stores.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The Company had no accrual for interest or penalties at March 27, 2019 or at December 26, 2018, and did not recognize interest or penalties during the thirteen weeks ended March 27, 2019 or March 28, 2018, since there were no material unrecognized tax benefits. Management believes no material changes to the amount of unrecognized tax benefits will occur within the next twelve months.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fiscal 2017, President Trump signed into law “the Tax Cuts and Jobs Act”. The Tax Cuts and Jobs Act provides for significant changes in the U.S. Internal Revenue Code of 1986, as amended (the “Code”). The Tax Cuts and Jobs Act contains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t>provisions with separate effective dates but is generally effective for tax years beginning after December 31, 2017. Among other changes, the Tax Cuts and Jobs Act lowers the federal corporate income tax rate from 35% to 21%, repeals the corporate alternative minimum tax (“AMT”), limits the deductibility of interest expense and performance based incentive compensation, allows for 100% bonus depreciation on qualified fixed asset additions placed in service on or after September 27, 2017 and implements a modified territorial tax system. For tax years beginning in 2018, 2019 and 2020, to the extent AMT credit carryovers exceed regular tax liability, 50% of the excess of AMT credit carryovers would be refundable. Any remaining AMT credits would be fully refundable in 2021. The Tax Cuts and Jobs Act impacted the Company’s consolidated results of operations in the current period, and is expected to continue to impact its consolidated results of operations in future periods. Impacts from the Tax Cuts and Jobs Act include the reduction in the federal corporate income tax rate from 35% to 21% and additional meals subject to the 50% disallowance that were previously 100% deductible. The Company may also be subject to future disallowance of deductions for certain executive compensation as a result of the changes to the Code section 162(m). We may make further refinements to our deferred tax assets related to executive compensation based upon technical guidance that may be published and changes to current interpretations of certain provisions of the Tax Cuts and Jobs Act. Any impact to our provision for income taxes as the result of additional guidance will be recorded in the period in which the guidance is issued.</w:t>
      </w:r>
    </w:p>
    <w:p>
      <w:pPr>
        <w:spacing w:after="0" w:line="1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30, 2014, the Company entered into the TRA, which calls for the Company to pay to its pre-IPO stockholders 85% of the savings in cash that the Company realizes in its income taxes as a result of utilizing its net operating losses and other tax attributes attributable to preceding periods. For the thirteen weeks ended March 27, 2019, we recorded income tax receivable agreement expense of $0.2 million and for the thirteen weeks ended March 28, 2018, we recorded income tax receivable agreement income of $0.9 million related to the amortization of interest expense related to our total expected TRA payments and changes in estimates for actual tax returns filed and future forecasted taxable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Policies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for the changes below, the Company has consistently applied the accounting policies to all periods presented in these condensed consolidated financial statements.</w:t>
      </w:r>
    </w:p>
    <w:p>
      <w:pPr>
        <w:spacing w:after="0" w:line="8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adopted Topic 842, with a date of initial application of December 27, 2018. As a result, the Company has changed its accounting policy for leases as detailed below.</w:t>
      </w:r>
    </w:p>
    <w:p>
      <w:pPr>
        <w:spacing w:after="0" w:line="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owned by the Company or leased from others, the majority of which are operating leases. Additionally, the Company has various contracts with vendors that have been determined to contain an embedded lease in accordance with Topic 842. As of the date of adoption, the Company recognized a ROU Asset and lease liability equal to the present value of these leases within its consolidated balance sheet for any leases with terms longer than 12 months. The Company also has three finance leases, subleases facilities to certain franchises and is the lessor for certain property, facilities and equipment owned by the Company. The adoption of this ASU did not have an impact on our current accounting policies for these items. Furthermore, the adoption of this standard did not have any impact on the Company’s consolidated statement of operations or the consolidated statement of cash flows.</w:t>
      </w:r>
    </w:p>
    <w:p>
      <w:pPr>
        <w:spacing w:after="0" w:line="10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Company applied Topic 842 using the effective date method, which allowed the Company to apply the standard as of the adoption date, and to recognize the cumulative effect of initially applying Topic 842 as an adjustment to retained earnings at December 27, 2018, if applicable. Therefore, the comparative information has not been adjusted and continues to be reported under Topic 840. However, the Company did not have any impact to its retained earnings.</w:t>
      </w:r>
    </w:p>
    <w:p>
      <w:pPr>
        <w:spacing w:after="0" w:line="1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Additionally, the Company elected to apply the package of practical expedients, which allows for carryforwards of 1) historical lease classifications, 2) determination of whether a contract contains a lease under the new definition of a lease and 3) whether previously capitalized initial direct costs qualify for capitalization.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and equipment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26, 2018</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12,323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156,806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76,061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248,179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94,319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104,145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$4.8 million and $4.2 million for the thirteen weeks ended March 27, 2019 and March 28, 2018, respectively.</w:t>
      </w:r>
    </w:p>
    <w:p>
      <w:pPr>
        <w:spacing w:after="0" w:line="22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Assets are classified as held for sale if they meet the criteria outlined in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accordance with applicable accounting guidance, the net assets were recorded at the lower of carrying value or fair value less costs to sell. The Company classified $4.5 million of assets as held for sale as of March 27, 2019, and recognized a loss on held for sale assets of $4.1 million for the thirteen weeks ended March 27,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March 27, 2019, options to purchase 2,066,976 shares of common stock were outstanding, including 1,715,595 vested and 351,381 unvested. Unvested options vest over time; however, upon a change in control, the board may accelerate vesting. At March 27, 2019, 1,381,010 premium options, options granted above the stock price at date of grant, remained outstanding. A summary of stock option activity as of March 27, 2019 and changes during the thirteen weeks ended March 27, 2019 is as follows: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0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16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9"/>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26, 2018</w:t>
            </w:r>
          </w:p>
        </w:tc>
        <w:tc>
          <w:tcPr>
            <w:tcW w:w="1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March 27, 2019</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2,066,976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27, 2019</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80" w:type="dxa"/>
            <w:vAlign w:val="bottom"/>
            <w:vMerge w:val="continue"/>
          </w:tcPr>
          <w:p>
            <w:pPr>
              <w:spacing w:after="0"/>
              <w:rPr>
                <w:sz w:val="19"/>
                <w:szCs w:val="19"/>
                <w:color w:val="auto"/>
              </w:rPr>
            </w:pP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2,058,427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67"/>
        </w:trPr>
        <w:tc>
          <w:tcPr>
            <w:tcW w:w="7380" w:type="dxa"/>
            <w:vAlign w:val="bottom"/>
            <w:tcBorders>
              <w:bottom w:val="single" w:sz="8" w:color="CCEEFF"/>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3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March 27, 2019</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1,715,595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At March 27, 2019, the Company had total unrecognized compensation expense of $1.1 million related to unvested stock options, which it expects to recognize over a weighted-average period of 3.07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share activity as of March 27, 2019 and changes during the thirteen weeks ended March 27, 2019 is as follows: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20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73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26, 2018</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490,700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March 27, 2019</w:t>
            </w:r>
          </w:p>
        </w:tc>
        <w:tc>
          <w:tcPr>
            <w:tcW w:w="1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468,582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3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5" w:name="page16"/>
    <w:bookmarkEnd w:id="15"/>
    <w:p>
      <w:pPr>
        <w:ind w:right="280"/>
        <w:spacing w:after="0" w:line="282" w:lineRule="auto"/>
        <w:rPr>
          <w:sz w:val="20"/>
          <w:szCs w:val="20"/>
          <w:color w:val="auto"/>
        </w:rPr>
      </w:pPr>
      <w:r>
        <w:rPr>
          <w:rFonts w:ascii="Times New Roman" w:cs="Times New Roman" w:eastAsia="Times New Roman" w:hAnsi="Times New Roman"/>
          <w:sz w:val="18"/>
          <w:szCs w:val="18"/>
          <w:color w:val="auto"/>
        </w:rPr>
        <w:t>Unvested shares at March 27, 2019, included 283,762 unvested restricted shares, 72,116 unvested performance stock units and 112,704 unvested restricted units outstanding.</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March 27, 2019, the Company had unrecognized compensation expense of $2.7 million related to unvested restricted shares, which it expects to recognize over a weighted-average period of 2.80 years, unrecognized compensation expense of $0.2 million related to performance stock units, which it expects to recognize over a weighted-average period of 2.76 years and unrecognized compensation expense of $1.0 million related to unvested restricted units, which it expects to recognize over a weighted-average period of 3.25 years.</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$0.5 million for the thirteen weeks ended March 27, 2019 and $0.5 million for the thirteen weeks ended March 28,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CREDIT AGREEMENTS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3.96% to 4.01% for the thirteen weeks ended March 27, 2019 and 3.30% to 3.40% for the thirteen weeks ended March 28,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Credit Agreement contains certain financial covenants. The Company was in compliance with the financial covenants as of March 27, 2019.</w:t>
      </w:r>
    </w:p>
    <w:p>
      <w:pPr>
        <w:spacing w:after="0" w:line="3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March 27, 2019, $8.5 million of letters of credit, and $71.0 million of the 2018 Revolver were outstanding. The amount available under the 2018 Revolver was $70.5 million at March 27,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27, 2019, the Company elected to pay down $3.0 million of outstanding borrowings on the Company’s 2018 Revolver, primarily from its cash flow from operations. During the thirteen weeks ended March 28, 2018, the Company elected to pay down $8.0 million of outstanding borrowings on the Company’s 2014 Revolver. There are no required principal payments prior to maturity for the 2018 Revolver.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26, 2018</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3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Gift card liability</w:t>
            </w:r>
          </w:p>
        </w:tc>
        <w:tc>
          <w:tcPr>
            <w:tcW w:w="3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3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38,639</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36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3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48,545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51,764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16" w:name="page17"/>
    <w:bookmarkEnd w:id="16"/>
    <w:p>
      <w:pPr>
        <w:ind w:right="80" w:firstLine="8"/>
        <w:spacing w:after="0" w:line="304" w:lineRule="auto"/>
        <w:tabs>
          <w:tab w:leader="none" w:pos="17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previously included the short-term portion deferred rent, tenant improvement allowance and lease escalation liabilities within “Other accrued expenses and current liabilities.” Upon its adoption of Topic 842 “Leases,” these balances were netted with the ROU Asset for the respective operating lease. See “Change in accounting policies" in Note 1 and Note 11 “Leases” for further details of the Company’s adoption of Topic 842.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26, 2018</w:t>
            </w:r>
          </w:p>
        </w:tc>
      </w:tr>
      <w:tr>
        <w:trPr>
          <w:trHeight w:val="269"/>
        </w:trPr>
        <w:tc>
          <w:tcPr>
            <w:tcW w:w="83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Deferred rent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10,660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5,224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20,024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
        <w:spacing w:after="0" w:line="262" w:lineRule="auto"/>
        <w:tabs>
          <w:tab w:leader="none" w:pos="17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Company’s adoption of Topic 842 “Leases” all deferred rent balances are now included with in the Company’s ROU Asset. Refer to “Change in accounting policies” in Note 1 and Note 11 “Leases” for further details of the Company’s adoption of Topic 842.</w:t>
      </w:r>
    </w:p>
    <w:p>
      <w:pPr>
        <w:spacing w:after="0" w:line="38" w:lineRule="exact"/>
        <w:rPr>
          <w:rFonts w:ascii="Times New Roman" w:cs="Times New Roman" w:eastAsia="Times New Roman" w:hAnsi="Times New Roman"/>
          <w:sz w:val="13"/>
          <w:szCs w:val="13"/>
          <w:color w:val="auto"/>
        </w:rPr>
      </w:pPr>
    </w:p>
    <w:p>
      <w:pPr>
        <w:ind w:right="100" w:firstLine="8"/>
        <w:spacing w:after="0" w:line="370" w:lineRule="auto"/>
        <w:tabs>
          <w:tab w:leader="none" w:pos="17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previously included the non-current portion tenant improvement allowance and lease escalation liabilities within “Other noncurrent liabilities.” Upon its adoption of Topic 842 “Leases,” these balances were netted with the ROU Asset for the respective operating lease. See “Change in accounting policies” in Note 1 and Note 11 “Leases” for further details of the Company’s adoption of Topic 842.</w:t>
      </w:r>
    </w:p>
    <w:p>
      <w:pPr>
        <w:spacing w:after="0" w:line="399" w:lineRule="exact"/>
        <w:rPr>
          <w:sz w:val="20"/>
          <w:szCs w:val="20"/>
          <w:color w:val="auto"/>
        </w:rPr>
      </w:pPr>
    </w:p>
    <w:p>
      <w:pPr>
        <w:ind w:right="7780" w:firstLine="8"/>
        <w:spacing w:after="0" w:line="378"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252" w:lineRule="auto"/>
        <w:rPr>
          <w:sz w:val="20"/>
          <w:szCs w:val="20"/>
          <w:color w:val="auto"/>
        </w:rPr>
      </w:pPr>
      <w:r>
        <w:rPr>
          <w:rFonts w:ascii="Times New Roman" w:cs="Times New Roman" w:eastAsia="Times New Roman" w:hAnsi="Times New Roman"/>
          <w:sz w:val="18"/>
          <w:szCs w:val="18"/>
          <w:color w:val="auto"/>
        </w:rPr>
        <w:t xml:space="preserve">On or about February 24, 2014, a former employee filed a class action in the Superior Court of the State of California, County of Orange, under the caption </w:t>
      </w:r>
      <w:r>
        <w:rPr>
          <w:rFonts w:ascii="Times New Roman" w:cs="Times New Roman" w:eastAsia="Times New Roman" w:hAnsi="Times New Roman"/>
          <w:sz w:val="18"/>
          <w:szCs w:val="18"/>
          <w:u w:val="single" w:color="auto"/>
          <w:color w:val="auto"/>
        </w:rPr>
        <w:t>Elliott Olvera, et al v. El Pollo Loco, Inc., et al</w:t>
      </w:r>
      <w:r>
        <w:rPr>
          <w:rFonts w:ascii="Times New Roman" w:cs="Times New Roman" w:eastAsia="Times New Roman" w:hAnsi="Times New Roman"/>
          <w:sz w:val="18"/>
          <w:szCs w:val="18"/>
          <w:color w:val="auto"/>
        </w:rPr>
        <w:t xml:space="preserve"> (Case No. 30-2014-00707367-CU-OE-CXC) (the “Olvera Action”)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reached a settlement in principle on January 24, 2019 of all claims brought on behalf of approximately 32,000 putative class members in the </w:t>
      </w:r>
      <w:r>
        <w:rPr>
          <w:rFonts w:ascii="Times New Roman" w:cs="Times New Roman" w:eastAsia="Times New Roman" w:hAnsi="Times New Roman"/>
          <w:sz w:val="18"/>
          <w:szCs w:val="18"/>
          <w:u w:val="single" w:color="auto"/>
          <w:color w:val="auto"/>
        </w:rPr>
        <w:t>Olvera</w:t>
      </w:r>
      <w:r>
        <w:rPr>
          <w:rFonts w:ascii="Times New Roman" w:cs="Times New Roman" w:eastAsia="Times New Roman" w:hAnsi="Times New Roman"/>
          <w:sz w:val="18"/>
          <w:szCs w:val="18"/>
          <w:color w:val="auto"/>
        </w:rPr>
        <w:t xml:space="preserve"> Action, as well as all claims for failure to pay overtime compensation, failure to provide meal periods and rest breaks, and failure to provide itemized wage statements brought in the class actions captioned </w:t>
      </w:r>
      <w:r>
        <w:rPr>
          <w:rFonts w:ascii="Times New Roman" w:cs="Times New Roman" w:eastAsia="Times New Roman" w:hAnsi="Times New Roman"/>
          <w:sz w:val="18"/>
          <w:szCs w:val="18"/>
          <w:u w:val="single" w:color="auto"/>
          <w:color w:val="auto"/>
        </w:rPr>
        <w:t>Martha Perez v. El Pollo Loco, Inc.</w:t>
      </w:r>
      <w:r>
        <w:rPr>
          <w:rFonts w:ascii="Times New Roman" w:cs="Times New Roman" w:eastAsia="Times New Roman" w:hAnsi="Times New Roman"/>
          <w:sz w:val="18"/>
          <w:szCs w:val="18"/>
          <w:color w:val="auto"/>
        </w:rPr>
        <w:t xml:space="preserve"> (Los Angeles Superior Court Case No. BC624001) (the “Perez Action”), </w:t>
      </w:r>
      <w:r>
        <w:rPr>
          <w:rFonts w:ascii="Times New Roman" w:cs="Times New Roman" w:eastAsia="Times New Roman" w:hAnsi="Times New Roman"/>
          <w:sz w:val="18"/>
          <w:szCs w:val="18"/>
          <w:u w:val="single" w:color="auto"/>
          <w:color w:val="auto"/>
        </w:rPr>
        <w:t>Maria Vega, et al. v. El Pollo Loco, Inc.</w:t>
      </w:r>
      <w:r>
        <w:rPr>
          <w:rFonts w:ascii="Times New Roman" w:cs="Times New Roman" w:eastAsia="Times New Roman" w:hAnsi="Times New Roman"/>
          <w:sz w:val="18"/>
          <w:szCs w:val="18"/>
          <w:color w:val="auto"/>
        </w:rPr>
        <w:t xml:space="preserve"> (Los Angeles Superior Court Case No. BC649719 (the “Vega Action”), and </w:t>
      </w:r>
      <w:r>
        <w:rPr>
          <w:rFonts w:ascii="Times New Roman" w:cs="Times New Roman" w:eastAsia="Times New Roman" w:hAnsi="Times New Roman"/>
          <w:sz w:val="18"/>
          <w:szCs w:val="18"/>
          <w:u w:val="single" w:color="auto"/>
          <w:color w:val="auto"/>
        </w:rPr>
        <w:t>Gonzalez v. El Pollo Loco, Inc.</w:t>
      </w:r>
      <w:r>
        <w:rPr>
          <w:rFonts w:ascii="Times New Roman" w:cs="Times New Roman" w:eastAsia="Times New Roman" w:hAnsi="Times New Roman"/>
          <w:sz w:val="18"/>
          <w:szCs w:val="18"/>
          <w:color w:val="auto"/>
        </w:rPr>
        <w:t xml:space="preserve"> (Los Angeles Superior Court Case No. BC712867) (the “Gonzalez Action”) and codified such settlement on April 26,</w:t>
      </w:r>
    </w:p>
    <w:p>
      <w:pPr>
        <w:spacing w:after="0" w:line="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2019. The settlement reached in the </w:t>
      </w:r>
      <w:r>
        <w:rPr>
          <w:rFonts w:ascii="Times New Roman" w:cs="Times New Roman" w:eastAsia="Times New Roman" w:hAnsi="Times New Roman"/>
          <w:sz w:val="18"/>
          <w:szCs w:val="18"/>
          <w:u w:val="single" w:color="auto"/>
          <w:color w:val="auto"/>
        </w:rPr>
        <w:t>Olvera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Perez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Vega Action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Gonzalez Action</w:t>
      </w:r>
      <w:r>
        <w:rPr>
          <w:rFonts w:ascii="Times New Roman" w:cs="Times New Roman" w:eastAsia="Times New Roman" w:hAnsi="Times New Roman"/>
          <w:sz w:val="18"/>
          <w:szCs w:val="18"/>
          <w:color w:val="auto"/>
        </w:rPr>
        <w:t xml:space="preserve"> resolves all potential claims from April 12, 2010 through April 1, 2019 that the Company’s California based restaurant employees may have against El Pollo Loco for the failure to pay all compensation owed, failure to pay overtime compensation, failure to provide meal periods and rest breaks and failure to provide itemized wage statements, among other wage and hour related claims. It is anticipated that the settlement will be approved by the Court before the end of the year. A $16.3 million accrual of an expected settlement amount related to this matter was recorded as of December 26, 2018. Purported class actions alleging wage and hour violations are commonly filed against California employers. The Company has similar cases pending that overlap in part with the </w:t>
      </w:r>
      <w:r>
        <w:rPr>
          <w:rFonts w:ascii="Times New Roman" w:cs="Times New Roman" w:eastAsia="Times New Roman" w:hAnsi="Times New Roman"/>
          <w:sz w:val="18"/>
          <w:szCs w:val="18"/>
          <w:u w:val="single" w:color="auto"/>
          <w:color w:val="auto"/>
        </w:rPr>
        <w:t>Olvera</w:t>
      </w:r>
      <w:r>
        <w:rPr>
          <w:rFonts w:ascii="Times New Roman" w:cs="Times New Roman" w:eastAsia="Times New Roman" w:hAnsi="Times New Roman"/>
          <w:sz w:val="18"/>
          <w:szCs w:val="18"/>
          <w:color w:val="auto"/>
        </w:rPr>
        <w:t xml:space="preserve"> action and fully expects to have to defend against similar lawsuits in the future.</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Daniel Turocy, et al. v. El Pollo Loco Holdings, Inc., et al.</w:t>
      </w:r>
      <w:r>
        <w:rPr>
          <w:rFonts w:ascii="Times New Roman" w:cs="Times New Roman" w:eastAsia="Times New Roman" w:hAnsi="Times New Roman"/>
          <w:sz w:val="18"/>
          <w:szCs w:val="18"/>
          <w:color w:val="auto"/>
        </w:rPr>
        <w:t xml:space="preserve"> (Case No. 8:15-cv-01343) was filed in the United States District Court for the Central District of California on August 24, 2015, and </w:t>
      </w:r>
      <w:r>
        <w:rPr>
          <w:rFonts w:ascii="Times New Roman" w:cs="Times New Roman" w:eastAsia="Times New Roman" w:hAnsi="Times New Roman"/>
          <w:sz w:val="18"/>
          <w:szCs w:val="18"/>
          <w:u w:val="single" w:color="auto"/>
          <w:color w:val="auto"/>
        </w:rPr>
        <w:t>Ron Huston, et al. v. El Pollo Loco Holdings, Inc., et al.</w:t>
      </w:r>
      <w:r>
        <w:rPr>
          <w:rFonts w:ascii="Times New Roman" w:cs="Times New Roman" w:eastAsia="Times New Roman" w:hAnsi="Times New Roman"/>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color w:val="auto"/>
        </w:rPr>
        <w:t>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 Stipulation of Settlement and a motion for preliminary approval of the settlement. On April 3, 2019, Plaintiffs filed the Stipulation of Settlement and a Motion for Preliminary Approval of the Settlement. The Court set the motion for hearing on May 13, 2019. Defendants maintain that the Plaintiffs’ claims are without merit, and have entered into the settlement to eliminate the uncertainties, burden and expense of further protracted litigation. A $20.0 million accrual of an expected settlement amount related to this matter was recorded as of December 26, 2018.</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Times New Roman" w:cs="Times New Roman" w:eastAsia="Times New Roman" w:hAnsi="Times New Roman"/>
          <w:sz w:val="18"/>
          <w:szCs w:val="18"/>
          <w:u w:val="single" w:color="auto"/>
          <w:color w:val="auto"/>
        </w:rPr>
        <w:t>Armen Galustyan v. Sather, et al.</w:t>
      </w:r>
      <w:r>
        <w:rPr>
          <w:rFonts w:ascii="Times New Roman" w:cs="Times New Roman" w:eastAsia="Times New Roman" w:hAnsi="Times New Roman"/>
          <w:sz w:val="18"/>
          <w:szCs w:val="18"/>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Times New Roman" w:cs="Times New Roman" w:eastAsia="Times New Roman" w:hAnsi="Times New Roman"/>
          <w:sz w:val="18"/>
          <w:szCs w:val="18"/>
          <w:u w:val="single" w:color="auto"/>
          <w:color w:val="auto"/>
        </w:rPr>
        <w:t>Turocy v. El Pollo Loco Holdings, Inc</w:t>
      </w:r>
      <w:r>
        <w:rPr>
          <w:rFonts w:ascii="Times New Roman" w:cs="Times New Roman" w:eastAsia="Times New Roman" w:hAnsi="Times New Roman"/>
          <w:sz w:val="18"/>
          <w:szCs w:val="18"/>
          <w:color w:val="auto"/>
        </w:rPr>
        <w:t xml:space="preserve">., discussed above. A second purported Holdings shareholder filed a derivative complaint on or about September 23, 2016, under the caption </w:t>
      </w:r>
      <w:r>
        <w:rPr>
          <w:rFonts w:ascii="Times New Roman" w:cs="Times New Roman" w:eastAsia="Times New Roman" w:hAnsi="Times New Roman"/>
          <w:sz w:val="18"/>
          <w:szCs w:val="18"/>
          <w:u w:val="single" w:color="auto"/>
          <w:color w:val="auto"/>
        </w:rPr>
        <w:t>Diep v. Sather</w:t>
      </w:r>
      <w:r>
        <w:rPr>
          <w:rFonts w:ascii="Times New Roman" w:cs="Times New Roman" w:eastAsia="Times New Roman" w:hAnsi="Times New Roman"/>
          <w:sz w:val="18"/>
          <w:szCs w:val="18"/>
          <w:color w:val="auto"/>
        </w:rPr>
        <w:t xml:space="preserve">, CA 12760-VCL in the Delaware Court of Chancery. The </w:t>
      </w:r>
      <w:r>
        <w:rPr>
          <w:rFonts w:ascii="Times New Roman" w:cs="Times New Roman" w:eastAsia="Times New Roman" w:hAnsi="Times New Roman"/>
          <w:sz w:val="18"/>
          <w:szCs w:val="18"/>
          <w:u w:val="single" w:color="auto"/>
          <w:color w:val="auto"/>
        </w:rPr>
        <w:t>Diep</w:t>
      </w:r>
      <w:r>
        <w:rPr>
          <w:rFonts w:ascii="Times New Roman" w:cs="Times New Roman" w:eastAsia="Times New Roman" w:hAnsi="Times New Roman"/>
          <w:sz w:val="18"/>
          <w:szCs w:val="18"/>
          <w:color w:val="auto"/>
        </w:rPr>
        <w:t xml:space="preserve"> action is also purportedly brought on behalf of Holdings, names the same defendants and asserts substantially the same claims on substantially the same alleged facts as does </w:t>
      </w:r>
      <w:r>
        <w:rPr>
          <w:rFonts w:ascii="Times New Roman" w:cs="Times New Roman" w:eastAsia="Times New Roman" w:hAnsi="Times New Roman"/>
          <w:sz w:val="18"/>
          <w:szCs w:val="18"/>
          <w:u w:val="single" w:color="auto"/>
          <w:color w:val="auto"/>
        </w:rPr>
        <w:t>Galustyan</w:t>
      </w:r>
      <w:r>
        <w:rPr>
          <w:rFonts w:ascii="Times New Roman" w:cs="Times New Roman" w:eastAsia="Times New Roman" w:hAnsi="Times New Roman"/>
          <w:sz w:val="18"/>
          <w:szCs w:val="18"/>
          <w:color w:val="auto"/>
        </w:rPr>
        <w:t xml:space="preserve">. Defendants moved to stay or dismiss the </w:t>
      </w:r>
      <w:r>
        <w:rPr>
          <w:rFonts w:ascii="Times New Roman" w:cs="Times New Roman" w:eastAsia="Times New Roman" w:hAnsi="Times New Roman"/>
          <w:sz w:val="18"/>
          <w:szCs w:val="18"/>
          <w:u w:val="single" w:color="auto"/>
          <w:color w:val="auto"/>
        </w:rPr>
        <w:t>Diep</w:t>
      </w:r>
      <w:r>
        <w:rPr>
          <w:rFonts w:ascii="Times New Roman" w:cs="Times New Roman" w:eastAsia="Times New Roman" w:hAnsi="Times New Roman"/>
          <w:sz w:val="18"/>
          <w:szCs w:val="18"/>
          <w:color w:val="auto"/>
        </w:rPr>
        <w:t xml:space="preserve"> action.</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March 17, 2017, the Delaware court granted in part, and denied in part, the motion to stay the </w:t>
      </w:r>
      <w:r>
        <w:rPr>
          <w:rFonts w:ascii="Times New Roman" w:cs="Times New Roman" w:eastAsia="Times New Roman" w:hAnsi="Times New Roman"/>
          <w:sz w:val="18"/>
          <w:szCs w:val="18"/>
          <w:u w:val="single" w:color="auto"/>
          <w:color w:val="auto"/>
        </w:rPr>
        <w:t>Diep</w:t>
      </w:r>
      <w:r>
        <w:rPr>
          <w:rFonts w:ascii="Times New Roman" w:cs="Times New Roman" w:eastAsia="Times New Roman" w:hAnsi="Times New Roman"/>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Times New Roman" w:cs="Times New Roman" w:eastAsia="Times New Roman" w:hAnsi="Times New Roman"/>
          <w:sz w:val="18"/>
          <w:szCs w:val="18"/>
          <w:u w:val="single" w:color="auto"/>
          <w:color w:val="auto"/>
        </w:rPr>
        <w:t>Diep</w:t>
      </w:r>
      <w:r>
        <w:rPr>
          <w:rFonts w:ascii="Times New Roman" w:cs="Times New Roman" w:eastAsia="Times New Roman" w:hAnsi="Times New Roman"/>
          <w:sz w:val="18"/>
          <w:szCs w:val="18"/>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w:t>
      </w:r>
    </w:p>
    <w:p>
      <w:pPr>
        <w:spacing w:after="0" w:line="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Janice P. Handlers-Bryman and Michael D. Bryman v. El Pollo Loco, Inc.</w:t>
      </w:r>
      <w:r>
        <w:rPr>
          <w:rFonts w:ascii="Times New Roman" w:cs="Times New Roman" w:eastAsia="Times New Roman" w:hAnsi="Times New Roman"/>
          <w:sz w:val="17"/>
          <w:szCs w:val="17"/>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w:t>
      </w:r>
    </w:p>
    <w:p>
      <w:pPr>
        <w:spacing w:after="0" w:line="3" w:lineRule="exact"/>
        <w:rPr>
          <w:sz w:val="20"/>
          <w:szCs w:val="20"/>
          <w:color w:val="auto"/>
        </w:rPr>
      </w:pPr>
    </w:p>
    <w:p>
      <w:pPr>
        <w:ind w:right="20" w:firstLine="8"/>
        <w:spacing w:after="0" w:line="252"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sectPr>
      </w:pPr>
    </w:p>
    <w:bookmarkStart w:id="18" w:name="page19"/>
    <w:bookmarkEnd w:id="18"/>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Times New Roman" w:cs="Times New Roman" w:eastAsia="Times New Roman" w:hAnsi="Times New Roman"/>
          <w:sz w:val="18"/>
          <w:szCs w:val="18"/>
          <w:u w:val="single" w:color="auto"/>
          <w:color w:val="auto"/>
        </w:rPr>
        <w:t>El Pollo Loco, Inc. v. EPL 3766, Inc., was dismissed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April 6, 2017.</w:t>
      </w:r>
      <w:r>
        <w:rPr>
          <w:rFonts w:ascii="Times New Roman" w:cs="Times New Roman" w:eastAsia="Times New Roman" w:hAnsi="Times New Roman"/>
          <w:sz w:val="18"/>
          <w:szCs w:val="18"/>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16, 2018, the Company filed a motion challenging the verdicts and a motion for new trial (both the liability phase and damages phase) and on September 2, 2018, the court denied those motions. On August 27, 2018, the Company filed a notice of appeal as to the entire judgment, and on October 5, 2018, the Company filed a second notice of appeal challenging the court’s denial of the post-trial motions. On September 5, 2018, we filed a motion to strike several of the costs of suit requested by the Plaintiffs, and on September 28, 2018, the Plaintiffs filed a motion for an award of attorneys’ fees. The court ruled on these motions on October 30, 2018, reducing many of the costs requested by the Plaintiffs and awarding $1,391,703 to the Plaintiffs for attorneys’ fees. We filed a notice of appeal relating to the trial court’s order relating to our motion to strike the costs and the Plaintiff’s motion for attorneys’ fees on November 6, 2018. The Company also filed motions to stay the injunctive part of the judgment pending the appeal but both the trial court and the California Court of Appeal denied those motions. We filed a petition for review of these denials with the California Supreme Court, but the California Supreme Court denied our petition for review on November 14, 2018. The appeal on the merits is currently pending. Briefing on the merits has not yet occurred in the appellate court. Once the record is delivered by the trial court clerk to the court of appeal, a schedule for the briefing on appeal will be set by the appellate court. Based on the assessment by Management, together with our legal trial counsel, the Company believes that the loss is currently not probable under ASC 450 and as of March 27, 2019, no accrual has been made with regard to the verdict.</w:t>
      </w:r>
    </w:p>
    <w:p>
      <w:pPr>
        <w:spacing w:after="0" w:line="19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At March 27, 2019, the Company’s total estimated commitment to purchase chicken was $22.8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franchisees, the Company is contingently liable on five lease agreements. These leases have various terms, the latest of which expires in 2036.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2019, the potential amount of undiscounted payments the Company could be required to make in the event of non-payment by the primary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 was $2.3 million. The present value of these potential payments discounted at the Company’s estimated pre-tax cost of debt at March 27, 2019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The Company’s franchisees are primarily liable on the leases. The Company has cross-default provisions with these franchisees that would put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in default of their franchise agreements in the event of non-payment under the leases. The Company believes that these cross-default provisions reduce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that payments will be required to be made under these leases. Accordingly, no liability has been recorded in the Company’s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related to these contingent liabilities.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employment agreements with four of the officers of the Company. These agreements provide for minimum salary levels, possible annual adjustments for cost-of-living changes, and incentive bonuses that are payable under certain business conditions. The Company incurred $0.3 million of expenses related to employment agreements for the thirteen weeks ended March 27, 2019 and incurred $0.4 million of expenses related to employment agreements for the thirteen weeks ended March 28,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shares of common stock outstanding during the thirteen weeks ended March 27, 2019 and March 28, 2018. Diluted EPS is calculated using the weighted-average number of shares of common stock outstanding and potentially dilutive during the period, using the treasury stock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which are in thousands except for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60" w:type="dxa"/>
            <w:vAlign w:val="bottom"/>
          </w:tcPr>
          <w:p>
            <w:pPr>
              <w:spacing w:after="0"/>
              <w:rPr>
                <w:sz w:val="22"/>
                <w:szCs w:val="22"/>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49"/>
        </w:trPr>
        <w:tc>
          <w:tcPr>
            <w:tcW w:w="8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2,529</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5"/>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shares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38,653,702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38,465,208</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8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8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outstanding—diluted</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39,496,436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38,987,351</w:t>
            </w:r>
          </w:p>
        </w:tc>
      </w:tr>
      <w:tr>
        <w:trPr>
          <w:trHeight w:val="23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0.06</w:t>
            </w:r>
          </w:p>
        </w:tc>
      </w:tr>
      <w:tr>
        <w:trPr>
          <w:trHeight w:val="205"/>
        </w:trPr>
        <w:tc>
          <w:tcPr>
            <w:tcW w:w="85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Anti-dilutive securities not considered in</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4"/>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 calculation</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652,871</w:t>
            </w:r>
          </w:p>
        </w:tc>
      </w:tr>
      <w:tr>
        <w:trPr>
          <w:trHeight w:val="27"/>
        </w:trPr>
        <w:tc>
          <w:tcPr>
            <w:tcW w:w="8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796" w:right="2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520" w:type="dxa"/>
            <w:vAlign w:val="bottom"/>
          </w:tcPr>
          <w:p>
            <w:pPr>
              <w:spacing w:after="0"/>
              <w:rPr>
                <w:sz w:val="22"/>
                <w:szCs w:val="22"/>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49"/>
        </w:trPr>
        <w:tc>
          <w:tcPr>
            <w:tcW w:w="8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3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38,653,702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38,465,208</w:t>
            </w: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842,734</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522,143</w:t>
            </w:r>
          </w:p>
        </w:tc>
      </w:tr>
      <w:tr>
        <w:trPr>
          <w:trHeight w:val="27"/>
        </w:trPr>
        <w:tc>
          <w:tcPr>
            <w:tcW w:w="8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39,496,436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38,987,351</w:t>
            </w:r>
          </w:p>
        </w:tc>
      </w:tr>
      <w:tr>
        <w:trPr>
          <w:trHeight w:val="20"/>
        </w:trPr>
        <w:tc>
          <w:tcPr>
            <w:tcW w:w="8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Trimaran Pollo Partners, L.L.C. (“LLC”), owns approximately 43.2%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3"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board of directors may be removed at any time without cause by affirmative vote of a majority of the Company’s common stock, and</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804" w:right="299" w:bottom="1440" w:gutter="0" w:footer="0" w:header="0"/>
        </w:sectPr>
      </w:pPr>
    </w:p>
    <w:bookmarkStart w:id="21" w:name="page22"/>
    <w:bookmarkEnd w:id="21"/>
    <w:p>
      <w:pPr>
        <w:ind w:right="6300" w:firstLine="8"/>
        <w:spacing w:after="0" w:line="450" w:lineRule="auto"/>
        <w:tabs>
          <w:tab w:leader="none" w:pos="27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 Adoption of Topic 606, “Revenue from Contracts with Customers”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28, 2017, the Company adopted Topic 606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catch-up adjustment recorded to accumulated deficit was approximately $3.5 million, net of taxes, related to franchise and development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one point for every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points terms. As of March 27, 2019 and December 26, 2018, the revenue allocated to loyalty points that have not been redeemed are $1.2 million and $1.0 million, respectively, which are reflected in the Company’s accompanying condensed consolidated balance sheets within other accrued expenses and current liabilities. The Company expects the loyalty points to be redeemed and recognized over a one-year period.</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revenue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6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expedient regarding disclosure of the aggregate amount of the transaction price allocated to the performance obligations that are unsatisfied for sales-based royalties.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typically 10 or 20 years, while payment is fixed and due at the time the renewal is signed.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27, 2019, there were no performance obligations, related to hardware services that were unsatisfied or partially satisfied.</w:t>
      </w:r>
    </w:p>
    <w:p>
      <w:pPr>
        <w:sectPr>
          <w:pgSz w:w="11900" w:h="16838" w:orient="portrait"/>
          <w:cols w:equalWidth="0" w:num="1">
            <w:col w:w="11420"/>
          </w:cols>
          <w:pgMar w:left="240" w:top="688" w:right="2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revenue source and market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Core Market</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Company-operated restaurant revenue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Franchise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Franchise advertising fee revenue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Total core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Non-Core Market</w:t>
      </w:r>
      <w:r>
        <w:rPr>
          <w:rFonts w:ascii="Times New Roman" w:cs="Times New Roman" w:eastAsia="Times New Roman" w:hAnsi="Times New Roman"/>
          <w:sz w:val="8"/>
          <w:szCs w:val="8"/>
          <w:b w:val="1"/>
          <w:bCs w:val="1"/>
          <w:color w:val="auto"/>
        </w:rPr>
        <w:t>(2)</w:t>
      </w:r>
      <w:r>
        <w:rPr>
          <w:rFonts w:ascii="Times New Roman" w:cs="Times New Roman" w:eastAsia="Times New Roman" w:hAnsi="Times New Roman"/>
          <w:sz w:val="13"/>
          <w:szCs w:val="13"/>
          <w:b w:val="1"/>
          <w:bCs w:val="1"/>
          <w:color w:val="auto"/>
        </w:rPr>
        <w:t>:</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Company-operated restaurant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Franchise revenue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Franchise advertising fee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Total non-core market</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586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March 27, 2019</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March 28, 2018</w:t>
            </w:r>
          </w:p>
        </w:tc>
      </w:tr>
      <w:tr>
        <w:trPr>
          <w:trHeight w:val="524"/>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85,306</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82,962</w:t>
            </w:r>
          </w:p>
        </w:tc>
      </w:tr>
      <w:tr>
        <w:trPr>
          <w:trHeight w:val="270"/>
        </w:trPr>
        <w:tc>
          <w:tcPr>
            <w:tcW w:w="120" w:type="dxa"/>
            <w:vAlign w:val="bottom"/>
          </w:tcPr>
          <w:p>
            <w:pPr>
              <w:spacing w:after="0"/>
              <w:rPr>
                <w:sz w:val="23"/>
                <w:szCs w:val="23"/>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3,499</w:t>
            </w:r>
          </w:p>
        </w:tc>
        <w:tc>
          <w:tcPr>
            <w:tcW w:w="2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3,376</w:t>
            </w:r>
          </w:p>
        </w:tc>
      </w:tr>
      <w:tr>
        <w:trPr>
          <w:trHeight w:val="280"/>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2,717</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2,609</w:t>
            </w:r>
          </w:p>
        </w:tc>
      </w:tr>
      <w:tr>
        <w:trPr>
          <w:trHeight w:val="26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91,522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88,947</w:t>
            </w:r>
          </w:p>
        </w:tc>
      </w:tr>
      <w:tr>
        <w:trPr>
          <w:trHeight w:val="524"/>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11,844</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11,591</w:t>
            </w:r>
          </w:p>
        </w:tc>
      </w:tr>
      <w:tr>
        <w:trPr>
          <w:trHeight w:val="270"/>
        </w:trPr>
        <w:tc>
          <w:tcPr>
            <w:tcW w:w="120" w:type="dxa"/>
            <w:vAlign w:val="bottom"/>
          </w:tcPr>
          <w:p>
            <w:pPr>
              <w:spacing w:after="0"/>
              <w:rPr>
                <w:sz w:val="23"/>
                <w:szCs w:val="23"/>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2,945</w:t>
            </w:r>
          </w:p>
        </w:tc>
        <w:tc>
          <w:tcPr>
            <w:tcW w:w="2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2,730</w:t>
            </w:r>
          </w:p>
        </w:tc>
      </w:tr>
      <w:tr>
        <w:trPr>
          <w:trHeight w:val="280"/>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2,666</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2,488</w:t>
            </w:r>
          </w:p>
        </w:tc>
      </w:tr>
      <w:tr>
        <w:trPr>
          <w:trHeight w:val="26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17,455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16,809</w:t>
            </w:r>
          </w:p>
        </w:tc>
      </w:tr>
      <w:tr>
        <w:trPr>
          <w:trHeight w:val="26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108,977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105,756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2">
            <w:col w:w="8200" w:space="720"/>
            <w:col w:w="2500"/>
          </w:cols>
          <w:pgMar w:left="240" w:top="688" w:right="239" w:bottom="1440" w:gutter="0" w:footer="0" w:header="0"/>
          <w:type w:val="continuous"/>
        </w:sect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Core Market includes markets with existing company-operated restaurants at the Initial Public Offering (IPO) date.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Non-Core Market includes markets entered into by the Company subsequent to the IPO 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geographic market: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4060" w:type="dxa"/>
            <w:vAlign w:val="bottom"/>
            <w:tcBorders>
              <w:bottom w:val="single" w:sz="8" w:color="auto"/>
            </w:tcBorders>
            <w:gridSpan w:val="3"/>
          </w:tcPr>
          <w:p>
            <w:pPr>
              <w:jc w:val="right"/>
              <w:ind w:right="1337"/>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March 27, 2019</w:t>
            </w:r>
          </w:p>
        </w:tc>
        <w:tc>
          <w:tcPr>
            <w:tcW w:w="2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March 28, 2018</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Greater Los Angeles area market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Other markets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0" w:type="dxa"/>
            <w:vAlign w:val="bottom"/>
          </w:tcPr>
          <w:p>
            <w:pPr>
              <w:spacing w:after="0"/>
              <w:rPr>
                <w:sz w:val="1"/>
                <w:szCs w:val="1"/>
                <w:color w:val="auto"/>
              </w:rPr>
            </w:pPr>
          </w:p>
        </w:tc>
      </w:tr>
      <w:tr>
        <w:trPr>
          <w:trHeight w:val="160"/>
        </w:trPr>
        <w:tc>
          <w:tcPr>
            <w:tcW w:w="7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Total</w:t>
            </w: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100" w:type="dxa"/>
            <w:vAlign w:val="bottom"/>
            <w:shd w:val="clear" w:color="auto" w:fill="CCEEFF"/>
          </w:tcPr>
          <w:p>
            <w:pPr>
              <w:spacing w:after="0"/>
              <w:rPr>
                <w:sz w:val="13"/>
                <w:szCs w:val="13"/>
                <w:color w:val="auto"/>
              </w:rPr>
            </w:pP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0" w:type="dxa"/>
            <w:vAlign w:val="bottom"/>
          </w:tcPr>
          <w:p>
            <w:pPr>
              <w:spacing w:after="0"/>
              <w:rPr>
                <w:sz w:val="1"/>
                <w:szCs w:val="1"/>
                <w:color w:val="auto"/>
              </w:rPr>
            </w:pPr>
          </w:p>
        </w:tc>
      </w:tr>
      <w:tr>
        <w:trPr>
          <w:trHeight w:val="77"/>
        </w:trPr>
        <w:tc>
          <w:tcPr>
            <w:tcW w:w="7360" w:type="dxa"/>
            <w:vAlign w:val="bottom"/>
            <w:tcBorders>
              <w:bottom w:val="single" w:sz="8" w:color="CCEEFF"/>
            </w:tcBorders>
            <w:shd w:val="clear" w:color="auto" w:fill="CCEEFF"/>
          </w:tcPr>
          <w:p>
            <w:pPr>
              <w:spacing w:after="0"/>
              <w:rPr>
                <w:sz w:val="6"/>
                <w:szCs w:val="6"/>
                <w:color w:val="auto"/>
              </w:rPr>
            </w:pPr>
          </w:p>
        </w:tc>
        <w:tc>
          <w:tcPr>
            <w:tcW w:w="1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thirteen weeks ended March 27, 2019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28, 2017</w:t>
            </w:r>
          </w:p>
        </w:tc>
        <w:tc>
          <w:tcPr>
            <w:tcW w:w="66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5,593</w:t>
            </w:r>
          </w:p>
        </w:tc>
      </w:tr>
      <w:tr>
        <w:trPr>
          <w:trHeight w:val="181"/>
        </w:trPr>
        <w:tc>
          <w:tcPr>
            <w:tcW w:w="9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Revenue recognized - beginning balance</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224"/>
        </w:trPr>
        <w:tc>
          <w:tcPr>
            <w:tcW w:w="9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Additional contract liability</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140</w:t>
            </w:r>
          </w:p>
        </w:tc>
      </w:tr>
      <w:tr>
        <w:trPr>
          <w:trHeight w:val="183"/>
        </w:trPr>
        <w:tc>
          <w:tcPr>
            <w:tcW w:w="9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Revenue recognized - additional contract liability</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1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March 27, 2019</w:t>
            </w:r>
          </w:p>
        </w:tc>
        <w:tc>
          <w:tcPr>
            <w:tcW w:w="66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5,623</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type w:val="continuous"/>
        </w:sectPr>
      </w:pPr>
    </w:p>
    <w:bookmarkStart w:id="23" w:name="page24"/>
    <w:bookmarkEnd w:id="23"/>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and franchise renewal fees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thirteen weeks ended March 27, 2019, there were no significant changes in the franchise contract liability balances.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the future related to performance obligations that are unsatisfied as of March 27, 2019:</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Franchise revenues (in thousands):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2019</w:t>
            </w: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295</w:t>
            </w:r>
          </w:p>
        </w:tc>
      </w:tr>
      <w:tr>
        <w:trPr>
          <w:trHeight w:val="208"/>
        </w:trPr>
        <w:tc>
          <w:tcPr>
            <w:tcW w:w="91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2020</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386</w:t>
            </w:r>
          </w:p>
        </w:tc>
      </w:tr>
      <w:tr>
        <w:trPr>
          <w:trHeight w:val="224"/>
        </w:trPr>
        <w:tc>
          <w:tcPr>
            <w:tcW w:w="9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2021</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378</w:t>
            </w:r>
          </w:p>
        </w:tc>
      </w:tr>
      <w:tr>
        <w:trPr>
          <w:trHeight w:val="208"/>
        </w:trPr>
        <w:tc>
          <w:tcPr>
            <w:tcW w:w="91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2022</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372</w:t>
            </w:r>
          </w:p>
        </w:tc>
      </w:tr>
      <w:tr>
        <w:trPr>
          <w:trHeight w:val="224"/>
        </w:trPr>
        <w:tc>
          <w:tcPr>
            <w:tcW w:w="9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2023</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363</w:t>
            </w:r>
          </w:p>
        </w:tc>
      </w:tr>
      <w:tr>
        <w:trPr>
          <w:trHeight w:val="210"/>
        </w:trPr>
        <w:tc>
          <w:tcPr>
            <w:tcW w:w="91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Thereafter</w:t>
            </w: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3,829</w:t>
            </w:r>
          </w:p>
        </w:tc>
      </w:tr>
      <w:tr>
        <w:trPr>
          <w:trHeight w:val="210"/>
        </w:trPr>
        <w:tc>
          <w:tcPr>
            <w:tcW w:w="9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5,623</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Topic 842 "Leases"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26, 2018 the Company adopted Topic 842, using the effective date method, recognizing and measuring all leases that existed as of December 26, 2018. The Company recorded a cumulative-effect adjustment as of December 26, 2018. Comparative periods are presented in accordance with ASC Topic 840 and do not include any retrospective adjustments to comparative periods to reflect the adoption of Topic 842. All leases that either (1) commenced, or (2) were modified or re-measured after December 26, 2018 are accounted for under Topic 842.</w:t>
      </w:r>
    </w:p>
    <w:p>
      <w:pPr>
        <w:spacing w:after="0" w:line="9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a result of Topic 842, the Company recognized a ROU Asset of $205.2 million and a lease liability of $222.3 million on its consolidated balance sheet as of December 27, 2018. However, there was not a material impact on the Company’s consolidated statement of operations or consolidated statement of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leases</w:t>
      </w:r>
    </w:p>
    <w:p>
      <w:pPr>
        <w:spacing w:after="0" w:line="1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owned by the Company or leased from others. Additionally, the Company has various contracts with vendors that have been determined to contain an embedded lease in accordance with Topic 842.</w:t>
      </w:r>
    </w:p>
    <w:p>
      <w:pPr>
        <w:spacing w:after="0" w:line="8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As of March 27, 2019 the Company had one lease that it had entered into, but had not yet commenced. The Company has no involvement with the construction or design of the underlying asset until lease commencement.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Buildings and facilities leased from others are primarily for restaurants and support facilities. The majority of the Company’s leases are classified as operating leases; however, the Company currently has three finance leases.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based on actual common area maintenance, property tax</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and insurance costs, making them variable consideration and excluding them from the calculations of the ROU Asset and lease liability.</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has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9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increases. However, none of these leases have early termination rights, the right to purchase the premises or any residual value guarantees. The Company does not have any related party leases.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Assumptions and Judgments</w:t>
      </w:r>
    </w:p>
    <w:p>
      <w:pPr>
        <w:spacing w:after="0" w:line="14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 year term of the lease, excluding any options, and using the total minimum lease payments. The Company utilized a third party valuation firm in determining the discount rate, based on the above assumptions. For all other leases, the Company used the discount rate implicit in the lease, or the Company’s incremental borrowing rate.</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the Company is adopting the practical expedient not to separate lease and non-lease components, no significant assumptions or judgments were necessary in allocating consideration between these components, for all classes of underlying assets.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580"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Thirteen Weeks Ended March 27, 2019</w:t>
            </w:r>
          </w:p>
        </w:tc>
        <w:tc>
          <w:tcPr>
            <w:tcW w:w="1400" w:type="dxa"/>
            <w:vAlign w:val="bottom"/>
          </w:tcPr>
          <w:p>
            <w:pPr>
              <w:spacing w:after="0"/>
              <w:rPr>
                <w:sz w:val="20"/>
                <w:szCs w:val="20"/>
                <w:color w:val="auto"/>
              </w:rPr>
            </w:pPr>
          </w:p>
        </w:tc>
      </w:tr>
      <w:tr>
        <w:trPr>
          <w:trHeight w:val="270"/>
        </w:trPr>
        <w:tc>
          <w:tcPr>
            <w:tcW w:w="4340" w:type="dxa"/>
            <w:vAlign w:val="bottom"/>
          </w:tcPr>
          <w:p>
            <w:pPr>
              <w:spacing w:after="0"/>
              <w:rPr>
                <w:sz w:val="23"/>
                <w:szCs w:val="23"/>
                <w:color w:val="auto"/>
              </w:rPr>
            </w:pPr>
          </w:p>
        </w:tc>
        <w:tc>
          <w:tcPr>
            <w:tcW w:w="2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Property Leases</w:t>
            </w:r>
          </w:p>
        </w:tc>
        <w:tc>
          <w:tcPr>
            <w:tcW w:w="282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Equipment Leases</w:t>
            </w:r>
          </w:p>
        </w:tc>
        <w:tc>
          <w:tcPr>
            <w:tcW w:w="14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82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6,604</w:t>
            </w:r>
          </w:p>
        </w:tc>
        <w:tc>
          <w:tcPr>
            <w:tcW w:w="2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327</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6,931</w:t>
            </w: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73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Sublease income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2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6,688</w:t>
            </w:r>
          </w:p>
        </w:tc>
        <w:tc>
          <w:tcPr>
            <w:tcW w:w="28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408</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7,096</w:t>
            </w: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43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cost – Company restaurant expense</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6,770</w:t>
            </w:r>
          </w:p>
        </w:tc>
        <w:tc>
          <w:tcPr>
            <w:tcW w:w="2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2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2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7,096</w:t>
            </w:r>
          </w:p>
        </w:tc>
        <w:tc>
          <w:tcPr>
            <w:tcW w:w="28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
        </w:trPr>
        <w:tc>
          <w:tcPr>
            <w:tcW w:w="43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thirteen weeks ended March 27, 2019, the Company had the following cash and non-cash activities associated with its leases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Thirteen Weeks Ended March 27, 2019</w:t>
            </w:r>
          </w:p>
        </w:tc>
        <w:tc>
          <w:tcPr>
            <w:tcW w:w="1420" w:type="dxa"/>
            <w:vAlign w:val="bottom"/>
          </w:tcPr>
          <w:p>
            <w:pPr>
              <w:spacing w:after="0"/>
              <w:rPr>
                <w:sz w:val="20"/>
                <w:szCs w:val="20"/>
                <w:color w:val="auto"/>
              </w:rPr>
            </w:pPr>
          </w:p>
        </w:tc>
      </w:tr>
      <w:tr>
        <w:trPr>
          <w:trHeight w:val="270"/>
        </w:trPr>
        <w:tc>
          <w:tcPr>
            <w:tcW w:w="5040" w:type="dxa"/>
            <w:vAlign w:val="bottom"/>
          </w:tcPr>
          <w:p>
            <w:pPr>
              <w:spacing w:after="0"/>
              <w:rPr>
                <w:sz w:val="23"/>
                <w:szCs w:val="23"/>
                <w:color w:val="auto"/>
              </w:rPr>
            </w:pPr>
          </w:p>
        </w:tc>
        <w:tc>
          <w:tcPr>
            <w:tcW w:w="2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Property Leases</w:t>
            </w:r>
          </w:p>
        </w:tc>
        <w:tc>
          <w:tcPr>
            <w:tcW w:w="284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Equipment Leases</w:t>
            </w:r>
          </w:p>
        </w:tc>
        <w:tc>
          <w:tcPr>
            <w:tcW w:w="14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572"/>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6,196</w:t>
            </w:r>
          </w:p>
        </w:tc>
        <w:tc>
          <w:tcPr>
            <w:tcW w:w="28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330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6,526</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28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50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ROU Assets obtained from</w:t>
            </w:r>
          </w:p>
        </w:tc>
        <w:tc>
          <w:tcPr>
            <w:tcW w:w="2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200,555</w:t>
            </w:r>
          </w:p>
        </w:tc>
        <w:tc>
          <w:tcPr>
            <w:tcW w:w="28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4,668</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205,223</w:t>
            </w:r>
          </w:p>
        </w:tc>
      </w:tr>
      <w:tr>
        <w:trPr>
          <w:trHeight w:val="27"/>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50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term—finance leases</w:t>
            </w:r>
          </w:p>
        </w:tc>
        <w:tc>
          <w:tcPr>
            <w:tcW w:w="2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3.40</w:t>
            </w:r>
          </w:p>
        </w:tc>
        <w:tc>
          <w:tcPr>
            <w:tcW w:w="28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12.37</w:t>
            </w:r>
          </w:p>
        </w:tc>
        <w:tc>
          <w:tcPr>
            <w:tcW w:w="28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3.78</w:t>
            </w: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rate—finance leases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8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3.98%</w:t>
            </w:r>
          </w:p>
        </w:tc>
        <w:tc>
          <w:tcPr>
            <w:tcW w:w="1420" w:type="dxa"/>
            <w:vAlign w:val="bottom"/>
          </w:tcPr>
          <w:p>
            <w:pPr>
              <w:spacing w:after="0"/>
              <w:rPr>
                <w:sz w:val="21"/>
                <w:szCs w:val="2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at March 27, 2019 is as follows (in thousands):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46" w:right="239"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2"/>
                <w:szCs w:val="12"/>
                <w:color w:val="auto"/>
              </w:rPr>
            </w:pPr>
          </w:p>
        </w:tc>
        <w:tc>
          <w:tcPr>
            <w:tcW w:w="11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240" w:type="dxa"/>
            <w:vAlign w:val="bottom"/>
          </w:tcPr>
          <w:p>
            <w:pPr>
              <w:spacing w:after="0"/>
              <w:rPr>
                <w:sz w:val="12"/>
                <w:szCs w:val="12"/>
                <w:color w:val="auto"/>
              </w:rPr>
            </w:pPr>
          </w:p>
        </w:tc>
        <w:tc>
          <w:tcPr>
            <w:tcW w:w="11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160"/>
        </w:trPr>
        <w:tc>
          <w:tcPr>
            <w:tcW w:w="7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3"/>
                <w:szCs w:val="13"/>
                <w:color w:val="auto"/>
              </w:rPr>
            </w:pPr>
          </w:p>
        </w:tc>
        <w:tc>
          <w:tcPr>
            <w:tcW w:w="1120" w:type="dxa"/>
            <w:vAlign w:val="bottom"/>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19,893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30, 2020</w:t>
            </w: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2021</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28, 2022</w:t>
            </w: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2023</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273,035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7,742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(3.96% to 11.1%)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218,140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200,443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5586095</wp:posOffset>
            </wp:positionH>
            <wp:positionV relativeFrom="page">
              <wp:posOffset>534670</wp:posOffset>
            </wp:positionV>
            <wp:extent cx="1800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at December 26, 2018 is as follows, under ASC 840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20" w:type="dxa"/>
            <w:vAlign w:val="bottom"/>
          </w:tcPr>
          <w:p>
            <w:pPr>
              <w:jc w:val="cente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520" w:type="dxa"/>
            <w:vAlign w:val="bottom"/>
          </w:tcPr>
          <w:p>
            <w:pPr>
              <w:spacing w:after="0"/>
              <w:rPr>
                <w:sz w:val="12"/>
                <w:szCs w:val="12"/>
                <w:color w:val="auto"/>
              </w:rPr>
            </w:pPr>
          </w:p>
        </w:tc>
        <w:tc>
          <w:tcPr>
            <w:tcW w:w="1180" w:type="dxa"/>
            <w:vAlign w:val="bottom"/>
          </w:tcPr>
          <w:p>
            <w:pPr>
              <w:jc w:val="center"/>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020" w:type="dxa"/>
            <w:vAlign w:val="bottom"/>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520" w:type="dxa"/>
            <w:vAlign w:val="bottom"/>
          </w:tcPr>
          <w:p>
            <w:pPr>
              <w:spacing w:after="0"/>
              <w:rPr>
                <w:sz w:val="12"/>
                <w:szCs w:val="12"/>
                <w:color w:val="auto"/>
              </w:rPr>
            </w:pPr>
          </w:p>
        </w:tc>
        <w:tc>
          <w:tcPr>
            <w:tcW w:w="1180" w:type="dxa"/>
            <w:vAlign w:val="bottom"/>
          </w:tcPr>
          <w:p>
            <w:pPr>
              <w:jc w:val="center"/>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160"/>
        </w:trPr>
        <w:tc>
          <w:tcPr>
            <w:tcW w:w="6400" w:type="dxa"/>
            <w:vAlign w:val="bottom"/>
            <w:gridSpan w:val="3"/>
            <w:vMerge w:val="continue"/>
          </w:tcPr>
          <w:p>
            <w:pPr>
              <w:spacing w:after="0"/>
              <w:rPr>
                <w:sz w:val="13"/>
                <w:szCs w:val="13"/>
                <w:color w:val="auto"/>
              </w:rPr>
            </w:pPr>
          </w:p>
        </w:tc>
        <w:tc>
          <w:tcPr>
            <w:tcW w:w="1020" w:type="dxa"/>
            <w:vAlign w:val="bottom"/>
          </w:tcPr>
          <w:p>
            <w:pPr>
              <w:jc w:val="cente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520" w:type="dxa"/>
            <w:vAlign w:val="bottom"/>
          </w:tcPr>
          <w:p>
            <w:pPr>
              <w:spacing w:after="0"/>
              <w:rPr>
                <w:sz w:val="13"/>
                <w:szCs w:val="13"/>
                <w:color w:val="auto"/>
              </w:rPr>
            </w:pPr>
          </w:p>
        </w:tc>
        <w:tc>
          <w:tcPr>
            <w:tcW w:w="1180" w:type="dxa"/>
            <w:vAlign w:val="bottom"/>
          </w:tcPr>
          <w:p>
            <w:pPr>
              <w:jc w:val="center"/>
              <w:ind w:right="435"/>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25, 2019</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25,388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30, 2020</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24,437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29, 2021</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28, 2022</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22,338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28, 2023</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20,634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150,342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248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266,481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Less: imputed interest (11.0% to 11.1%)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capital lease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w:t>
      </w:r>
    </w:p>
    <w:p>
      <w:pPr>
        <w:spacing w:after="0" w:line="27" w:lineRule="exact"/>
        <w:rPr>
          <w:sz w:val="20"/>
          <w:szCs w:val="20"/>
          <w:color w:val="auto"/>
        </w:rPr>
      </w:pPr>
    </w:p>
    <w:p>
      <w:pPr>
        <w:ind w:right="260" w:firstLine="8"/>
        <w:spacing w:after="0" w:line="261"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recognized these lease payments in its consolidated statement of operations on a straight-line basis over the lease term and variable lease payments in the period in which the obligation for those payments is incurred.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14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operating profit or net revenues. All leases are considered operating leases.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912" w:right="23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ending March 27, 2019 the Company received $0.1 million of lease income from company-owned locations</w:t>
      </w:r>
      <w:r>
        <w:rPr>
          <w:rFonts w:ascii="Times New Roman" w:cs="Times New Roman" w:eastAsia="Times New Roman" w:hAnsi="Times New Roman"/>
          <w:sz w:val="19"/>
          <w:szCs w:val="19"/>
          <w:color w:val="auto"/>
        </w:rPr>
        <w: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Item 1 above and with the condensed consolidated financial statements contained in our annual report on Form 10-K for the year ended December 26, 2018.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expand our business, drive restaurant sales growth, and enhance our competitive positioning, by executing the following strategies:</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restaurant base;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comparable restaurant sales;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operations and leverage our infrastructure.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27, 2019, we had 484 locations in six states. In fiscal 2018, we opened eight new company-operated and nine new franchised restaurants across Arizona, California, Utah, Louisiana and Texas. For the thirteen weeks ended March 27, 2019, we opened no new company-operated restaurants and two franchised restaurants in California. In 2019, we intend to open three to four new company-operated and three to five new franchised restaurants. To increase comparable restaurant sales, we plan to increase customer frequency, attract new customers, and improve per-person spend. These growth rates are not guaranteed.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System-wide, for the thirteen weeks ended March 27, 2019, comparable restaurant sales increased by 2.4% from the comparable period in the prior year. For company-operated restaurants, comparable restaurant sales, for the thirteen weeks ended March 27, 2019, increased by 1.5%. For company-operated restaurants, the quarter’s change in comparable restaurant sales consisted of a 4.6% increase in average check size, and a 3.1% decline in transactions. For franchised restaurants, comparable restaurant sales increased 3.2% for the thirteen weeks ended March 27, 2019.</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240" w:top="58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restaurant counts at the beginning and end of each of the last three fiscal years and the thirteen weeks ended March 27, 2019,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Beginning of period</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Openings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Beginning of period</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Beginning of period</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Closures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March 27, 2019, together with our franchisees, we had remodeled 29 company-operated and 35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March 27, 2019, including new builds and remodels, we had 105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Loco Rewards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March 27, 2019, the amount of revenue deferred related to the earned points, net of redemptions, is $1.2 million. The Company had over one million loyalty program members as of March 27,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4" w:right="23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Income” in our annual report on Form 10-K for the year ended December 26, 2018, and Note 2, “Summary of Significant Accounting Policies,” to Item 8, “Financial Statements and Supplementary Data,” in our annual report. For a summary of our significant accounting policies and a discussion of our use of estimates, see also Note 1 and Note 10 to Item 1 above.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 other than the adoption of Topic 842, as described in Note 1 and Note 11 to Item 1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 to our condensed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December 25, 2019 will be the first day that we will cease to be an EGC. Please refer to our annual report on Form 10-K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for further details regarding our revenue recognition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796"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settlements include expenses such as judgments or settlements related to legal matters, legal claims and class action lawsuits.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and expenses incurred in support of franchisee information technology systems. Additionally, upon adoption of Topic 606 in the first quarter of 2018, the franchisee’s portion of advertising expenses is now included in franchise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consist of the depreciation of property and equipment, including leasehold improvements and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Closed-Store Reserves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Prior to the adoption of Topic 842 "Leases," closure costs include non-cash restaurant charges such as up-front expensing of the net present value of unpaid rent remaining on the life of a lease, offset by assumed sublease income. Upon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240" w:top="90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Results of Income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weeks ended March 27, 2019 and March 28, 2018, in absolute terms, and expressed as percentages of total revenue, with the exception of cost of operations and company restaurant expenses, which are expressed as a percentage of company-operated restaurant revenue, are compared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200" w:type="dxa"/>
            <w:vAlign w:val="bottom"/>
          </w:tcPr>
          <w:p>
            <w:pPr>
              <w:spacing w:after="0"/>
              <w:rPr>
                <w:sz w:val="12"/>
                <w:szCs w:val="12"/>
                <w:color w:val="auto"/>
              </w:rPr>
            </w:pPr>
          </w:p>
        </w:tc>
        <w:tc>
          <w:tcPr>
            <w:tcW w:w="20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March 28, 2018</w:t>
            </w:r>
          </w:p>
        </w:tc>
        <w:tc>
          <w:tcPr>
            <w:tcW w:w="200" w:type="dxa"/>
            <w:vAlign w:val="bottom"/>
          </w:tcPr>
          <w:p>
            <w:pPr>
              <w:spacing w:after="0"/>
              <w:rPr>
                <w:sz w:val="12"/>
                <w:szCs w:val="12"/>
                <w:color w:val="auto"/>
              </w:rPr>
            </w:pPr>
          </w:p>
        </w:tc>
        <w:tc>
          <w:tcPr>
            <w:tcW w:w="1260" w:type="dxa"/>
            <w:vAlign w:val="bottom"/>
            <w:gridSpan w:val="3"/>
          </w:tcPr>
          <w:p>
            <w:pPr>
              <w:jc w:val="center"/>
              <w:ind w:left="412"/>
              <w:spacing w:after="0" w:line="149"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Statements of Income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97,150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94,553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108,977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105,756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Food and paper costs</w:t>
            </w:r>
            <w:r>
              <w:rPr>
                <w:rFonts w:ascii="Times New Roman" w:cs="Times New Roman" w:eastAsia="Times New Roman" w:hAnsi="Times New Roman"/>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27,152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27,235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Labor and related expenses</w:t>
            </w:r>
            <w:r>
              <w:rPr>
                <w:rFonts w:ascii="Times New Roman" w:cs="Times New Roman" w:eastAsia="Times New Roman" w:hAnsi="Times New Roman"/>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Occupancy and other operating expenses</w:t>
            </w:r>
            <w:r>
              <w:rPr>
                <w:rFonts w:ascii="Times New Roman" w:cs="Times New Roman" w:eastAsia="Times New Roman" w:hAnsi="Times New Roman"/>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23,227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21,919</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Company restaurant expenses</w:t>
            </w:r>
            <w:r>
              <w:rPr>
                <w:rFonts w:ascii="Times New Roman" w:cs="Times New Roman" w:eastAsia="Times New Roman" w:hAnsi="Times New Roman"/>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79,955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76,816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13,202</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Recovery of securities lawsuits related legal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Asset impairment and closed-store reserves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106,685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101,308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5,377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2,292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4,448</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2,529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60" w:right="1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For the quarter, company-operated restaurant revenue increased $2.6 million, or 2.7%, from the comparable period in the prior year. The growth in company-operated restaurant sales was primarily due to an increase of $3.2 million of non-comparable restaurant sales on restaurants that had not been open the fifteen months required to be included in comparable restaurant sales and an increase of $1.4 million from a 1.5% increase in company-operated comparable sales.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restaurant sales increase was partially offset by revenue declines from the closure of nine restaurants during or subsequent to the first quarter of 2018. The company-operated comparable restaurant sales increase consisted of an increase in average check size of 4.6% partially offset by a decline in transactions of 3.1%.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ectPr>
          <w:pgSz w:w="11900" w:h="16838" w:orient="portrait"/>
          <w:cols w:equalWidth="0" w:num="1">
            <w:col w:w="11420"/>
          </w:cols>
          <w:pgMar w:left="240" w:top="90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900" w:right="239" w:bottom="1440" w:gutter="0" w:footer="0" w:header="0"/>
          <w:type w:val="continuous"/>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t>For the quarter, franchise revenue increased $0.3 million, or 5.5%, from the comparable period in the prior year. This increase was primarily due to a franchise comparable restaurant sales increase of 3.2%, the opening of 11 new franchised restaurants during or after the prior year quarter, and higher franchise fees received from franchised restaurants related to their use of our point-of-sales system. This was partially offset by the closure of three franchise locations during the same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Advertising Fee Revenue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Beginning in Fiscal 2018, we implemented Topic 606,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income. The increase in franchise advertising fee revenue of $0.3 million for the quarter from the comparable period in the prior year, was due an increase in franchise locations and increased franchise comparable restaurant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quarter, food and paper costs decreased $0.1 million, or 0.3%, from the comparable period in the prior year, due to a $0.2 million decrease in food costs, partially offset by a $0.1 million increase in paper costs. The decrease in food and paper costs, for the quarter resulted primarily from lower company transactions.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quarter, food and paper costs as a percentage of company-operated restaurant revenue were 27.9%, down from 28.8% in the comparable period of the prior year. The percentage decrease for the quarter was due primarily due to an increase in pricing and a favorable sales mix, partially offset by commodity inflation.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quarter, payroll and benefit expenses increased $1.9 million, or 6.9%, from the comparable period in the prior year. The increase for the quarter was due primarily to increased labor costs resulting from new restaurants opened in fiscal 2018 and the first quarter of fiscal 2019, and the impact of the wage increases in California and Los Angeles during fiscal 2018 and the first quarter of fiscal 2019. Additionally, the increase in the quarter was negatively impacted by higher workers' compensation expense due to increased claims activity.</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quarter, payroll and benefit expenses as a percentage of company-operated restaurant revenue were 30.4%, up from 29.3% in the comparable period in the prior year. The increase was due primarily to wage increases in California and Los Angeles. Additionally, the increase in the quarter was negatively impacted by higher workers’ compensation expense due to increased claims activity. Partially offsetting these increases were positive impacts due to an increase in pricing.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quarter, occupancy and other operating expenses increased $1.3 million, or 6.0%, from the comparable period of the prior year. The increase was primarily due to a $0.6 million increase in occupancy and related costs, due primarily to additional rent, utilities and property tax, a $0.3 million increase in repair and maintenance costs, a $0.2 million increase in operating supplies, and a $0.2 million increase in customer order delivery fees.</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the quarter, occupancy and other operating expenses as a percentage of company-operated restaurant revenue were 23.9%, up from 23.2% in the comparable period of the prior year. The increase resulted primarily from the increases noted above, partially offset by pricing.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quarter, general and administrative expenses decreased $1.9 million, or 14.0%, from the comparable period in the prior year. The decrease for the quarter was due primarily to (i) a $1.5 million decrease in legal expenses related primarily to a decrease in securities class action litigation costs and (ii) a $0.6 million decrease in executive transition costs, and (iii) a $0.3 million decrease in dead site costs related to costs incurred for potential new restaurant locations that we chose not to continue to pursue. These decreases were partially offset by a $0.5 million increase in labor related costs, primarily related to an increase in estimated management bonus expenses.</w:t>
      </w:r>
    </w:p>
    <w:p>
      <w:pPr>
        <w:spacing w:after="0" w:line="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quarter, general and administrative expenses as a percentage of total revenue were 10.4% down from 12.5% in the comparable period of the prior year. The percentage decrease is primarily due to the cost decreases discussed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assets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March 27, 2019, the Company agreed in principle to sell four restaurants within the San Francisco area to an existing franchisee. Additionally, the Company agreed in principle to sell seven restaurants in the Phoenix area to another existing franchisee. The net assets were recorded to assets held for sale at the lower of carrying value or fair value less costs to sell, which resulted in a loss on held for sale assets of $4.1 million for the thirteen weeks ended March 27,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Securities Class Action Legal Expense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28, 2018, we received insurance proceeds of $1.6 million related to the reimbursement of certain legal expenses paid in prior years for the defense of securities lawsuits. See the Notes to the Condensed Consolidated Financial Statements, Note 7, Commitments and Contingencies, Legal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Closed-Store Reserves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March 28, 2018, the Company closed two restaurants in Texas, both of which were previously impaired during the third quarter of 2017, and decided not to move forward with the development of a third location in Texas resulting in a closed store reserve expense of $2.8 million.</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 During the thirteen weeks ended March 27, 2019, the Company closed one restaurant in California and one in Texas and recognized $0.3 million of closed-store reserve expense, primarily related to the amortization of ROU Assets for closed stores.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interest expense, net was consistent with the prior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Receivable Agreement</w:t>
      </w:r>
    </w:p>
    <w:p>
      <w:pPr>
        <w:spacing w:after="0" w:line="1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thirteen weeks ended March 27, 2019 and March 28, 2018, we recorded income tax receivable agreement expense of $0.2 million and income tax receivable agreement income of $0.9 million,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quarter ended March 27, 2019, we recorded an income tax provision of $0.3 million, reflecting an estimated effective tax rate of 27.7%. For the quarter ended March 28, 2018, we recorded an income tax provision of $1.9 million, reflecting an estimated effective tax rate of approximately 43.5%. The difference between the 21.0% statutory rate and the Company’s effective tax rate of 27.7% for the year-to-date ended March 27, 2019 is primarily a result of state taxes, a Work Opportunity Tax Credit benefit, the Company’s valuation allowance against certain state credits as a result of future forecasted income apportioned to the state jurisdiction, non-deductible executive compensation and changes to total expected TRA payments due to changes in future forecasted taxable income.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900" w:right="239" w:bottom="1440" w:gutter="0" w:footer="0" w:header="0"/>
        </w:sectPr>
      </w:pPr>
    </w:p>
    <w:bookmarkStart w:id="34" w:name="page35"/>
    <w:bookmarkEnd w:id="34"/>
    <w:p>
      <w:pPr>
        <w:ind w:right="20"/>
        <w:spacing w:after="0" w:line="266"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27, 2019 and March 28, 2018, there were 458 and 442 comparable restaurants, 200 and 192 company-operated and 258 and 250 franchised, respectively. Comparable restaurant sales indicate the performance of existing restaurants, since new restaurants are excluded.</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Average Unit Volumes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asset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80" w:type="dxa"/>
            <w:vAlign w:val="bottom"/>
          </w:tcPr>
          <w:p>
            <w:pPr>
              <w:spacing w:after="0"/>
              <w:rPr>
                <w:sz w:val="22"/>
                <w:szCs w:val="22"/>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49"/>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4,448</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(less):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13,202</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5,832</w:t>
            </w:r>
          </w:p>
        </w:tc>
      </w:tr>
      <w:tr>
        <w:trPr>
          <w:trHeight w:val="24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4,212</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(6,106)</w:t>
            </w:r>
          </w:p>
        </w:tc>
      </w:tr>
      <w:tr>
        <w:trPr>
          <w:trHeight w:val="24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(5,097)</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Recovery of securities lawsuits related legal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(1,634)</w:t>
            </w:r>
          </w:p>
        </w:tc>
      </w:tr>
      <w:tr>
        <w:trPr>
          <w:trHeight w:val="24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 and closed-store reserves</w:t>
            </w:r>
          </w:p>
        </w:tc>
        <w:tc>
          <w:tcPr>
            <w:tcW w:w="1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2,819</w:t>
            </w: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17,737</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108,977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105,756</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8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(6,106)</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(5,097)</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97,150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94,553</w:t>
            </w:r>
          </w:p>
        </w:tc>
      </w:tr>
      <w:tr>
        <w:trPr>
          <w:trHeight w:val="284"/>
        </w:trPr>
        <w:tc>
          <w:tcPr>
            <w:tcW w:w="8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04" w:right="239" w:bottom="1440" w:gutter="0" w:footer="0" w:header="0"/>
        </w:sectPr>
      </w:pPr>
    </w:p>
    <w:bookmarkStart w:id="36" w:name="page37"/>
    <w:bookmarkEnd w:id="36"/>
    <w:p>
      <w:pPr>
        <w:spacing w:after="0" w:line="256" w:lineRule="auto"/>
        <w:rPr>
          <w:sz w:val="20"/>
          <w:szCs w:val="20"/>
          <w:color w:val="auto"/>
        </w:rPr>
      </w:pPr>
      <w:r>
        <w:rPr>
          <w:rFonts w:ascii="Times New Roman" w:cs="Times New Roman" w:eastAsia="Times New Roman" w:hAnsi="Times New Roman"/>
          <w:sz w:val="18"/>
          <w:szCs w:val="18"/>
          <w:color w:val="auto"/>
        </w:rPr>
        <w:t>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64"/>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16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49"/>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2,529</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1,949</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888</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4,212</w:t>
            </w:r>
          </w:p>
        </w:tc>
      </w:tr>
      <w:tr>
        <w:trPr>
          <w:trHeight w:val="237"/>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9,578</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16"/>
                <w:szCs w:val="16"/>
                <w:color w:val="auto"/>
              </w:rPr>
              <w:t>(a)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Loss on disposal of assets </w:t>
            </w:r>
            <w:r>
              <w:rPr>
                <w:rFonts w:ascii="Times New Roman" w:cs="Times New Roman" w:eastAsia="Times New Roman" w:hAnsi="Times New Roman"/>
                <w:sz w:val="16"/>
                <w:szCs w:val="16"/>
                <w:color w:val="auto"/>
              </w:rPr>
              <w:t>(b)</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assets held for sale (c)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securities lawsuits related legal expense (d)</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Asset impairment and closed-store reserves (recovery) </w:t>
            </w:r>
            <w:r>
              <w:rPr>
                <w:rFonts w:ascii="Times New Roman" w:cs="Times New Roman" w:eastAsia="Times New Roman" w:hAnsi="Times New Roman"/>
                <w:sz w:val="16"/>
                <w:szCs w:val="16"/>
                <w:color w:val="auto"/>
              </w:rPr>
              <w:t>(e)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2,819</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 (income) (f)</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Securities class action legal expense </w:t>
            </w:r>
            <w:r>
              <w:rPr>
                <w:rFonts w:ascii="Times New Roman" w:cs="Times New Roman" w:eastAsia="Times New Roman" w:hAnsi="Times New Roman"/>
                <w:sz w:val="16"/>
                <w:szCs w:val="16"/>
                <w:color w:val="auto"/>
              </w:rPr>
              <w:t>(g)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3,704</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Pre-opening costs </w:t>
            </w:r>
            <w:r>
              <w:rPr>
                <w:rFonts w:ascii="Times New Roman" w:cs="Times New Roman" w:eastAsia="Times New Roman" w:hAnsi="Times New Roman"/>
                <w:sz w:val="16"/>
                <w:szCs w:val="16"/>
                <w:color w:val="auto"/>
              </w:rPr>
              <w:t>(h)</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Executive transition costs </w:t>
            </w:r>
            <w:r>
              <w:rPr>
                <w:rFonts w:ascii="Times New Roman" w:cs="Times New Roman" w:eastAsia="Times New Roman" w:hAnsi="Times New Roman"/>
                <w:sz w:val="16"/>
                <w:szCs w:val="16"/>
                <w:color w:val="auto"/>
              </w:rPr>
              <w:t>(i)</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r>
      <w:tr>
        <w:trPr>
          <w:trHeight w:val="257"/>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14,613</w:t>
            </w:r>
          </w:p>
        </w:tc>
      </w:tr>
      <w:tr>
        <w:trPr>
          <w:trHeight w:val="20"/>
        </w:trPr>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660" w:right="280" w:hanging="652"/>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ind w:left="660" w:right="200" w:hanging="652"/>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March 27, 2019, the Company agreed in principle to sell four restaurants within the San Francisco area to an existing franchisee. Additionally, the Company agreed in principle to sell seven restaurants in the Phoenix area to another existing franchisee. The net assets were recorded to assets held for sale at the lower of carrying value or fair value less costs to sell, which resulted in a loss on held for sale assets of $4.1 million for the thirteen weeks ended March 27, 2019.</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96" w:right="239" w:bottom="1440" w:gutter="0" w:footer="0" w:header="0"/>
        </w:sectPr>
      </w:pPr>
    </w:p>
    <w:bookmarkStart w:id="37" w:name="page38"/>
    <w:bookmarkEnd w:id="37"/>
    <w:p>
      <w:pPr>
        <w:jc w:val="both"/>
        <w:ind w:left="660" w:right="500" w:hanging="652"/>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March 28, 2018 we received insurance proceeds of $1.6 million, related to the reimbursement of certain legal expenses paid in prior years for the defense of securities lawsuits. See the Notes to the Condensed Consolidated Financial Statements, Note 7, Commitments and Contingencies, Legal Matters.</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assets and closing restaurants. During the thirteen weeks ended March 27, 2019, the Company recognized $0.3 million of closed-store reserve expense, primarily related to the amortization of ROU Assets for closed stores. During the thirteen weeks ended March 28, 2018, the Company closed two restaurants in Texas, both of which were previously impaired during the third quarter of 2017, and decided not to move forward with the development of a third location in Texas, which resulted in a closed-store reserve of $2.8 million. We continue to monitor the recoverability of the carrying value of the assets of several other restaurants.</w:t>
      </w:r>
    </w:p>
    <w:p>
      <w:pPr>
        <w:spacing w:after="0" w:line="2"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weeks ended March 27, 2019 and March 28, 2018, income tax receivable agreement expense (income) consisted of the amortization of interest expense and changes in estimates for actual tax returns filed, related to our total expected TRA payments.</w:t>
      </w:r>
    </w:p>
    <w:p>
      <w:pPr>
        <w:spacing w:after="0" w:line="1" w:lineRule="exact"/>
        <w:rPr>
          <w:rFonts w:ascii="Times New Roman" w:cs="Times New Roman" w:eastAsia="Times New Roman" w:hAnsi="Times New Roman"/>
          <w:sz w:val="18"/>
          <w:szCs w:val="18"/>
          <w:color w:val="auto"/>
        </w:rPr>
      </w:pPr>
    </w:p>
    <w:p>
      <w:pPr>
        <w:ind w:left="660" w:right="620" w:hanging="65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related to the defense of securities lawsuits. See Condensed Consolidated Financial Statements, "Note 7. Commitments and Contingencies-Legal Matters."</w:t>
      </w:r>
    </w:p>
    <w:p>
      <w:pPr>
        <w:ind w:left="660" w:right="20" w:hanging="65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associated with the transition of our CEO, such as executive recruiter costs, CEO sign-on bonus, and former CEO stock modification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twelve months from the filing of the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2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0" w:type="dxa"/>
            <w:vAlign w:val="bottom"/>
          </w:tcPr>
          <w:p>
            <w:pPr>
              <w:spacing w:after="0"/>
              <w:rPr>
                <w:sz w:val="19"/>
                <w:szCs w:val="19"/>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27, 2019</w:t>
            </w:r>
          </w:p>
        </w:tc>
        <w:tc>
          <w:tcPr>
            <w:tcW w:w="660" w:type="dxa"/>
            <w:vAlign w:val="bottom"/>
          </w:tcPr>
          <w:p>
            <w:pPr>
              <w:spacing w:after="0"/>
              <w:rPr>
                <w:sz w:val="19"/>
                <w:szCs w:val="19"/>
                <w:color w:val="auto"/>
              </w:rPr>
            </w:pP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March 28,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12,333</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thirteen weeks ended March 27, 2019, net cash provided by operating activities decreased by approximately $2.4 million from the comparable period of the prior year. This was due primarily to less favorable working capital fluctuations in the current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the thirteen weeks ended March 27, 2019, net cash used in investing activities decreased by $2.5 million from the comparable period of the prior year. This was due primarily to opening no new company restaurants and completing one remodel in the thirteen weeks ended March 27, 2019 compared to two new restaurants and one completed remodel in the thirteen weeks ended March 28,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t>For the year ending December 25, 2019, we expect to incur capital expenditures of $14.0 million to $19.0 million, consisting of $5.0 to $9.0 million related to new restaurants, $3.0 million related to the remodeling of existing restaurants, and $6.0 million related to major maintenance and other corporate capital expenditures.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27, 2019, net cash used in financing activities decreased by $2.0 million from the comparable period of the prior year. This was due primarily to a decrease in net prepayments of $5.0 million on the revolving debt facilities during the thirteen weeks ended March 27, 2019 compared to the thirteen weeks ended March 28, 2018. This was partially offset by a $3.0 million increase in cash outflow related to stock buybacks in the current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13, 2018, the Company refinanced the 2014 Revolver, pursuant to the 2018 Credit Agreement, which provides for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3.96% to 4.01% for the thirteen weeks ended March 27, 2019 and 3.30% to 3.40% for the thirteen weeks ended March 28,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Credit Agreement contains certain financial covenants. The Company was in compliance with the financial covenants as of March 27, 2019.</w:t>
      </w:r>
    </w:p>
    <w:p>
      <w:pPr>
        <w:spacing w:after="0" w:line="3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March 27, 2019, $8.5 million of letters of credit, and $71.0 million of the 2018 Revolver were outstanding. The amount available under the 2018 Revolver was $70.5 million at March 27,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contractual commitments outstanding on March 27, 2019, have not changed materially since our annual report on Form 10-K for the year ended December 26, 2018.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and Other Arrangements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27, 2019 and December 26, 2018, we were using $8.5 million of borrowing capacity on the 2018 Revolver for letters of credit in support of our insurance programs.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interest rate on our debt, which bears interest at USD LIBOR plus a margin between 1.25% and 2.25%. As of March 27, 2019, we had outstanding borrowings of $71.0 million and another $8.5 million of letters of credit in support of our insurance programs. A 1.0% increase in the effective interest rate applied to these borrowings would result in a pre-tax interest expense increase of $0.7 million on an annualized basis.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manage our interest rate risk through normal operating and financing activities and, when determined appropriate, through the use of derivative financial instruments.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796"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period covered by this report that has materially affected, or is reasonably likely to materially affect, our internal control over financial reporting.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900" w:right="2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33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7. Commitments and Contingencies—Legal Matters" in the accompanying "Notes to Condensed Consolidated Financial Statements"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26,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purchases of common stock under a Stock Repurchase Program (as defined below) in the quarterly period ended March 27, 2019 (in thousands, except number of shares and per share amounts):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Be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9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6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27, 2018 to January 23, 2019</w:t>
            </w:r>
          </w:p>
        </w:tc>
        <w:tc>
          <w:tcPr>
            <w:tcW w:w="1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18,075</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18,075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18,751</w:t>
            </w:r>
          </w:p>
        </w:tc>
        <w:tc>
          <w:tcPr>
            <w:tcW w:w="0" w:type="dxa"/>
            <w:vAlign w:val="bottom"/>
          </w:tcPr>
          <w:p>
            <w:pPr>
              <w:spacing w:after="0"/>
              <w:rPr>
                <w:sz w:val="1"/>
                <w:szCs w:val="1"/>
                <w:color w:val="auto"/>
              </w:rPr>
            </w:pPr>
          </w:p>
        </w:tc>
      </w:tr>
      <w:tr>
        <w:trPr>
          <w:trHeight w:val="26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24, 2019 to February 20, 2019</w:t>
            </w:r>
          </w:p>
        </w:tc>
        <w:tc>
          <w:tcPr>
            <w:tcW w:w="1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10,400</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10,400</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18,597</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21, 2019 to March 27, 2019</w:t>
            </w:r>
          </w:p>
        </w:tc>
        <w:tc>
          <w:tcPr>
            <w:tcW w:w="1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227,079</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227,079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15,636</w:t>
            </w:r>
          </w:p>
        </w:tc>
        <w:tc>
          <w:tcPr>
            <w:tcW w:w="0" w:type="dxa"/>
            <w:vAlign w:val="bottom"/>
          </w:tcPr>
          <w:p>
            <w:pPr>
              <w:spacing w:after="0"/>
              <w:rPr>
                <w:sz w:val="1"/>
                <w:szCs w:val="1"/>
                <w:color w:val="auto"/>
              </w:rPr>
            </w:pPr>
          </w:p>
        </w:tc>
      </w:tr>
      <w:tr>
        <w:trPr>
          <w:trHeight w:val="269"/>
        </w:trPr>
        <w:tc>
          <w:tcPr>
            <w:tcW w:w="410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255,554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255,554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2, 2018, the Company announced the Board of Directors had authorized a stock repurchase program (the "Stock Repurchase Program"). The Company entered into a stock repurchase plan pursuant to Rule 10b5-1 of the Exchange Act on August 28, 2018 (the "Stock Repurchase Plan"), which allows the repurchase of up to $20.0 million of the Company’s common stock. The Stock Repurchase Plan commenced purchases on November 6, 2018, and, if not terminated sooner by other provisions of the Stock Repurchase Plan, will terminate on June 26, 2019. The Stock Repurchase Plan may also be suspended or terminated at any time upon prior notice.</w:t>
      </w:r>
    </w:p>
    <w:p>
      <w:pPr>
        <w:spacing w:after="0" w:line="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Stock Repurchase Program, the Company may repurchase its common stock from time to time, in amounts and at prices that the Company deems appropriate, subject to market conditions and other considerations. The Company’s repurchases may be executed using open market purchases and/or through privately negotiated transactions.</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as discussed above in (i) Part I, Item 1, "Note 1. Basis of Presentation”, and (ii) Part I, Item 2, “Liquidity and Capital Resources - Debt and Other Obligations”, our 2018 Revolver limits the payment of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576"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680" w:type="dxa"/>
            <w:vAlign w:val="bottom"/>
          </w:tcPr>
          <w:p>
            <w:pPr>
              <w:spacing w:after="0"/>
              <w:rPr>
                <w:sz w:val="24"/>
                <w:szCs w:val="24"/>
                <w:color w:val="auto"/>
              </w:rPr>
            </w:pPr>
          </w:p>
        </w:tc>
        <w:tc>
          <w:tcPr>
            <w:tcW w:w="10080" w:type="dxa"/>
            <w:vAlign w:val="bottom"/>
            <w:gridSpan w:val="7"/>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Employment Agreement between Miguel Lozano and El Pollo Loco, Inc.</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7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680" w:type="dxa"/>
            <w:vAlign w:val="bottom"/>
          </w:tcPr>
          <w:p>
            <w:pPr>
              <w:spacing w:after="0"/>
              <w:rPr>
                <w:sz w:val="24"/>
                <w:szCs w:val="24"/>
                <w:color w:val="auto"/>
              </w:rPr>
            </w:pPr>
          </w:p>
        </w:tc>
        <w:tc>
          <w:tcPr>
            <w:tcW w:w="10080" w:type="dxa"/>
            <w:vAlign w:val="bottom"/>
            <w:gridSpan w:val="7"/>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Confidential Separation Agreement between Gus Siade and El Pollo Loco, Inc.</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7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0" w:type="dxa"/>
            <w:vAlign w:val="bottom"/>
          </w:tcPr>
          <w:p>
            <w:pPr>
              <w:spacing w:after="0"/>
              <w:rPr>
                <w:sz w:val="24"/>
                <w:szCs w:val="24"/>
                <w:color w:val="auto"/>
              </w:rPr>
            </w:pPr>
          </w:p>
        </w:tc>
        <w:tc>
          <w:tcPr>
            <w:tcW w:w="10080" w:type="dxa"/>
            <w:vAlign w:val="bottom"/>
            <w:gridSpan w:val="7"/>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Certification of Principal Executive Officer under section 302 of the Sarbanes–Oxley Act of 2002</w:t>
              </w:r>
            </w:hyperlink>
          </w:p>
        </w:tc>
      </w:tr>
      <w:tr>
        <w:trPr>
          <w:trHeight w:val="42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Certification of Principal Financial Officer under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r>
      <w:tr>
        <w:trPr>
          <w:trHeight w:val="42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8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61">
              <w:r>
                <w:rPr>
                  <w:rFonts w:ascii="Times New Roman" w:cs="Times New Roman" w:eastAsia="Times New Roman" w:hAnsi="Times New Roman"/>
                  <w:sz w:val="18"/>
                  <w:szCs w:val="18"/>
                  <w:color w:val="0000FF"/>
                  <w:w w:val="99"/>
                </w:rPr>
                <w:t>Certification of Chief Executive Officer and Chief Financial Officer under 18 U.S.C. section 1350, adopted by section 906 of the Sarbanes–</w:t>
              </w:r>
            </w:hyperlink>
          </w:p>
        </w:tc>
      </w:tr>
      <w:tr>
        <w:trPr>
          <w:trHeight w:val="196"/>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80" w:type="dxa"/>
            <w:vAlign w:val="bottom"/>
            <w:gridSpan w:val="7"/>
          </w:tcPr>
          <w:p>
            <w:pPr>
              <w:spacing w:after="0" w:line="196" w:lineRule="exact"/>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Oxley Act of 2002</w:t>
              </w:r>
            </w:hyperlink>
          </w:p>
        </w:tc>
      </w:tr>
      <w:tr>
        <w:trPr>
          <w:trHeight w:val="20"/>
        </w:trPr>
        <w:tc>
          <w:tcPr>
            <w:tcW w:w="1140" w:type="dxa"/>
            <w:vAlign w:val="bottom"/>
            <w:gridSpan w:val="2"/>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740" w:type="dxa"/>
            <w:vAlign w:val="bottom"/>
            <w:gridSpan w:val="5"/>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4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5" w:lineRule="exact"/>
        <w:rPr>
          <w:sz w:val="20"/>
          <w:szCs w:val="20"/>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900"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56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 2019</w:t>
            </w:r>
          </w:p>
        </w:tc>
        <w:tc>
          <w:tcPr>
            <w:tcW w:w="30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Bernard Acoca</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Bernard Acoca</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 2019</w:t>
            </w:r>
          </w:p>
        </w:tc>
        <w:tc>
          <w:tcPr>
            <w:tcW w:w="30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Laurance Roberts</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Laurance Roberts</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3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43</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MIGUEL LOZANO</w:t>
      </w:r>
    </w:p>
    <w:p>
      <w:pPr>
        <w:spacing w:after="0" w:line="200" w:lineRule="exact"/>
        <w:rPr>
          <w:sz w:val="20"/>
          <w:szCs w:val="20"/>
          <w:color w:val="auto"/>
        </w:rPr>
      </w:pPr>
    </w:p>
    <w:p>
      <w:pPr>
        <w:spacing w:after="0" w:line="223"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___, 2019 by and between El Pollo Loco,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Miguel Lozano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desires to employ Executive as the Company's Chief Operating Officer; and</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Executive is willing to accept such employment on the terms hereinafter set forth in this Agreement.</w:t>
      </w:r>
    </w:p>
    <w:p>
      <w:pPr>
        <w:spacing w:after="0" w:line="200" w:lineRule="exact"/>
        <w:rPr>
          <w:sz w:val="20"/>
          <w:szCs w:val="20"/>
          <w:color w:val="auto"/>
        </w:rPr>
      </w:pPr>
    </w:p>
    <w:p>
      <w:pPr>
        <w:spacing w:after="0" w:line="236"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and for other good and valuable consideration, the parties agree as follows:</w:t>
      </w:r>
    </w:p>
    <w:p>
      <w:pPr>
        <w:spacing w:after="0" w:line="37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Employment; Executive Representation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300" w:right="40" w:hanging="644"/>
        <w:spacing w:after="0" w:line="246" w:lineRule="auto"/>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Subject to the terms and conditions set forth in this Agreement, the term of Executive's employment under this Agreement shall commence on April 1, 2019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end on the 12th month anniversary of the Effective Date (the “</w:t>
      </w:r>
      <w:r>
        <w:rPr>
          <w:rFonts w:ascii="Times New Roman" w:cs="Times New Roman" w:eastAsia="Times New Roman" w:hAnsi="Times New Roman"/>
          <w:sz w:val="22"/>
          <w:szCs w:val="22"/>
          <w:u w:val="single" w:color="auto"/>
          <w:color w:val="auto"/>
        </w:rPr>
        <w:t>Initial Employment Term</w:t>
      </w:r>
      <w:r>
        <w:rPr>
          <w:rFonts w:ascii="Times New Roman" w:cs="Times New Roman" w:eastAsia="Times New Roman" w:hAnsi="Times New Roman"/>
          <w:sz w:val="22"/>
          <w:szCs w:val="22"/>
          <w:color w:val="auto"/>
        </w:rPr>
        <w:t>”) and on such date and on each subsequent anniversary of such date, the term shall, without further action by Executive or Company, be extended by an additional one-year period (each such one year term, the “</w:t>
      </w:r>
      <w:r>
        <w:rPr>
          <w:rFonts w:ascii="Times New Roman" w:cs="Times New Roman" w:eastAsia="Times New Roman" w:hAnsi="Times New Roman"/>
          <w:sz w:val="22"/>
          <w:szCs w:val="22"/>
          <w:u w:val="single" w:color="auto"/>
          <w:color w:val="auto"/>
        </w:rPr>
        <w:t>Renewal Employment Term</w:t>
      </w:r>
      <w:r>
        <w:rPr>
          <w:rFonts w:ascii="Times New Roman" w:cs="Times New Roman" w:eastAsia="Times New Roman" w:hAnsi="Times New Roman"/>
          <w:sz w:val="22"/>
          <w:szCs w:val="22"/>
          <w:color w:val="auto"/>
        </w:rPr>
        <w:t>”) subject to earlier termination as provided in this Agreement; provided, however, that either Company or Executive may, by written notice to the other given not less than 60 days prior to the scheduled expiration of the Initial Employment Term or Renewal Employment Term (a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as applicable, cause the term not to extend (the period during which Executive is employed under the terms of this Agreement, including the Initial Employment Term and all Renewal Employment Terms, is referred to herein as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Employment Term shall also terminate earlier upon termination of Executive's employment as set forth in Section 7.</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1300" w:hanging="644"/>
        <w:spacing w:after="0" w:line="252" w:lineRule="auto"/>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Representation</w:t>
      </w:r>
      <w:r>
        <w:rPr>
          <w:rFonts w:ascii="Times New Roman" w:cs="Times New Roman" w:eastAsia="Times New Roman" w:hAnsi="Times New Roman"/>
          <w:sz w:val="22"/>
          <w:szCs w:val="22"/>
          <w:color w:val="auto"/>
        </w:rPr>
        <w:t>. Executive hereby represents to the Company that the execution and delivery of this Agreement by Executive and the Company and the performance by Executive of the Executive’s duties hereunder shall not constitute a breach of, or otherwise contravene, the terms of any employment agreement or other agreement or policy to which Executive is a party or otherwise bound.</w:t>
      </w:r>
    </w:p>
    <w:p>
      <w:pPr>
        <w:spacing w:after="0" w:line="39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300" w:right="20" w:hanging="644"/>
        <w:spacing w:after="0" w:line="248" w:lineRule="auto"/>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Term, Executive shall serve as the Company’s Chief Operating Officer and shall principally perform Executive’s duties to the Company and its affiliates from the Company’s offices in the Orange County, California metropolitan area, subject to normal and customary travel requirements in the conduct of the Company’s business. Executive shall have such authorities, duties and responsibilities as the Chief Executive Officer may from time to time assign to him and reasonably consistent with those customarily performed by a chief operating officer of a company having a similar size and nature of the Company, and the Executive shall report directly to the Chief Executive Officer.</w:t>
      </w:r>
    </w:p>
    <w:p>
      <w:pPr>
        <w:spacing w:after="0" w:line="398" w:lineRule="exact"/>
        <w:rPr>
          <w:rFonts w:ascii="Times New Roman" w:cs="Times New Roman" w:eastAsia="Times New Roman" w:hAnsi="Times New Roman"/>
          <w:sz w:val="22"/>
          <w:szCs w:val="22"/>
          <w:color w:val="auto"/>
        </w:rPr>
      </w:pPr>
    </w:p>
    <w:p>
      <w:pPr>
        <w:ind w:left="1300" w:right="300" w:hanging="644"/>
        <w:spacing w:after="0" w:line="250" w:lineRule="auto"/>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Term, Executive will devote Executive’s full business time and best efforts to the performance of Executive’s duties hereunder and will not engage in any other business, profession or occupation (including in an advisory capacity, consulting capacity, or otherwise) for compensation or otherwise which would conflict with the rendition of such services either directly or indirectly, without the prior written consent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w:t>
      </w:r>
    </w:p>
    <w:p>
      <w:pPr>
        <w:spacing w:after="0" w:line="39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81" w:right="239" w:bottom="0" w:gutter="0" w:footer="0" w:header="0"/>
        </w:sectPr>
      </w:pPr>
    </w:p>
    <w:p>
      <w:pPr>
        <w:spacing w:after="0" w:line="200" w:lineRule="exact"/>
        <w:rPr>
          <w:sz w:val="20"/>
          <w:szCs w:val="20"/>
          <w:color w:val="auto"/>
        </w:rPr>
      </w:pPr>
    </w:p>
    <w:p>
      <w:pPr>
        <w:spacing w:after="0" w:line="23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Employment Term, the Company shall pay Executive a base salary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at the annual rate</w:t>
      </w:r>
    </w:p>
    <w:p>
      <w:pPr>
        <w:sectPr>
          <w:pgSz w:w="11900" w:h="16838" w:orient="portrait"/>
          <w:cols w:equalWidth="0" w:num="1">
            <w:col w:w="11420"/>
          </w:cols>
          <w:pgMar w:left="240" w:top="581" w:right="239" w:bottom="0" w:gutter="0" w:footer="0" w:header="0"/>
          <w:type w:val="continuous"/>
        </w:sectPr>
      </w:pPr>
    </w:p>
    <w:bookmarkStart w:id="44" w:name="page45"/>
    <w:bookmarkEnd w:id="44"/>
    <w:p>
      <w:pPr>
        <w:jc w:val="both"/>
        <w:ind w:left="1292" w:right="180"/>
        <w:spacing w:after="0" w:line="257" w:lineRule="auto"/>
        <w:rPr>
          <w:sz w:val="20"/>
          <w:szCs w:val="20"/>
          <w:color w:val="auto"/>
        </w:rPr>
      </w:pPr>
      <w:r>
        <w:rPr>
          <w:rFonts w:ascii="Times New Roman" w:cs="Times New Roman" w:eastAsia="Times New Roman" w:hAnsi="Times New Roman"/>
          <w:sz w:val="22"/>
          <w:szCs w:val="22"/>
          <w:color w:val="auto"/>
        </w:rPr>
        <w:t>of $325,000 (less applicable withholding taxes), payable in regular installments in accordance with the Company’s usual payment practices. Executive shall be entitled to such increases in Executive’s Base Salary, if any, as may be determined from time to time in the sole discretion of the Board.</w:t>
      </w:r>
    </w:p>
    <w:p>
      <w:pPr>
        <w:spacing w:after="0" w:line="389" w:lineRule="exact"/>
        <w:rPr>
          <w:sz w:val="20"/>
          <w:szCs w:val="20"/>
          <w:color w:val="auto"/>
        </w:rPr>
      </w:pPr>
    </w:p>
    <w:p>
      <w:pPr>
        <w:ind w:left="1292" w:hanging="644"/>
        <w:spacing w:after="0" w:line="249" w:lineRule="auto"/>
        <w:tabs>
          <w:tab w:leader="none" w:pos="129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full calendar year during the Employment Term, Executive shall be eligible to earn an annual bonus award (an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based on the achievement of specified performance goals, which shall be determined by the Board in its sole discretion within ninety (90) days following the commencement of each calendar year, with a targeted bonus equal to seventy-five percent (75%) of Executive’s then current Base Salary (the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The Annual Bonus, if any, will be paid between January 1 and March 15 of the year following the year to which it relates.</w:t>
      </w:r>
    </w:p>
    <w:p>
      <w:pPr>
        <w:spacing w:after="0" w:line="396" w:lineRule="exact"/>
        <w:rPr>
          <w:rFonts w:ascii="Times New Roman" w:cs="Times New Roman" w:eastAsia="Times New Roman" w:hAnsi="Times New Roman"/>
          <w:sz w:val="22"/>
          <w:szCs w:val="22"/>
          <w:color w:val="auto"/>
        </w:rPr>
      </w:pPr>
    </w:p>
    <w:p>
      <w:pPr>
        <w:ind w:left="1292" w:right="160" w:hanging="644"/>
        <w:spacing w:after="0" w:line="271" w:lineRule="auto"/>
        <w:tabs>
          <w:tab w:leader="none" w:pos="129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discretion of the Board, during the Employment Term, starting in 2020, Executive will be eligible to receive an annual discretionary equity grant, with the amount and terms thereof determined by the Board.</w:t>
      </w:r>
    </w:p>
    <w:p>
      <w:pPr>
        <w:spacing w:after="0" w:line="374"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 on Awards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292" w:right="420" w:hanging="644"/>
        <w:spacing w:after="0" w:line="257" w:lineRule="auto"/>
        <w:tabs>
          <w:tab w:leader="none" w:pos="129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Executive will receive the following equity grants during the Company’s annual equity grant window in 2019, typically in May (together, the “2019 Equity Grant”) with the aggregate grant-date value targeted at approximately $350,000. The 2019 Equity Grant will consist of the following:</w:t>
      </w:r>
    </w:p>
    <w:p>
      <w:pPr>
        <w:spacing w:after="0" w:line="389" w:lineRule="exact"/>
        <w:rPr>
          <w:rFonts w:ascii="Times New Roman" w:cs="Times New Roman" w:eastAsia="Times New Roman" w:hAnsi="Times New Roman"/>
          <w:sz w:val="22"/>
          <w:szCs w:val="22"/>
          <w:color w:val="auto"/>
        </w:rPr>
      </w:pPr>
    </w:p>
    <w:p>
      <w:pPr>
        <w:ind w:left="1952" w:hanging="655"/>
        <w:spacing w:after="0"/>
        <w:tabs>
          <w:tab w:leader="none" w:pos="1952"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$100,000 worth of time-vested 10-year options that will vest 25%/year;</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52" w:right="580" w:hanging="655"/>
        <w:spacing w:after="0" w:line="271" w:lineRule="auto"/>
        <w:tabs>
          <w:tab w:leader="none" w:pos="1952"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$250,000 worth of time-vested restricted stock units (or restricted shares) that will vest 25%/year; and</w:t>
      </w:r>
    </w:p>
    <w:p>
      <w:pPr>
        <w:spacing w:after="0" w:line="374" w:lineRule="exact"/>
        <w:rPr>
          <w:sz w:val="20"/>
          <w:szCs w:val="20"/>
          <w:color w:val="auto"/>
        </w:rPr>
      </w:pPr>
    </w:p>
    <w:p>
      <w:pPr>
        <w:ind w:left="652" w:right="400"/>
        <w:spacing w:after="0" w:line="271" w:lineRule="auto"/>
        <w:rPr>
          <w:sz w:val="20"/>
          <w:szCs w:val="20"/>
          <w:color w:val="auto"/>
        </w:rPr>
      </w:pPr>
      <w:r>
        <w:rPr>
          <w:rFonts w:ascii="Times New Roman" w:cs="Times New Roman" w:eastAsia="Times New Roman" w:hAnsi="Times New Roman"/>
          <w:sz w:val="22"/>
          <w:szCs w:val="22"/>
          <w:color w:val="auto"/>
        </w:rPr>
        <w:t>All the other terms of the 2019 Equity Grant will be consistent with the Company’s standard equity award practices and shall be determined in good faith by the Board.</w:t>
      </w:r>
    </w:p>
    <w:p>
      <w:pPr>
        <w:spacing w:after="0" w:line="374" w:lineRule="exact"/>
        <w:rPr>
          <w:sz w:val="20"/>
          <w:szCs w:val="20"/>
          <w:color w:val="auto"/>
        </w:rPr>
      </w:pPr>
    </w:p>
    <w:p>
      <w:pPr>
        <w:ind w:left="1292" w:right="40" w:hanging="644"/>
        <w:spacing w:after="0" w:line="252" w:lineRule="auto"/>
        <w:tabs>
          <w:tab w:leader="none" w:pos="12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Within 30 days of the Effective Date, the Company shall pay Executive a lump sum cash payment of $20,000. If Executive resigns without Good Reason or is terminated by the Company for Cause prior to the twelve month anniversary of the Effective Date, the Executive will repay such amount to the Company within 30 days of such termination.</w:t>
      </w:r>
    </w:p>
    <w:p>
      <w:pPr>
        <w:spacing w:after="0" w:line="396" w:lineRule="exact"/>
        <w:rPr>
          <w:rFonts w:ascii="Times New Roman" w:cs="Times New Roman" w:eastAsia="Times New Roman" w:hAnsi="Times New Roman"/>
          <w:sz w:val="22"/>
          <w:szCs w:val="22"/>
          <w:color w:val="auto"/>
        </w:rPr>
      </w:pPr>
    </w:p>
    <w:p>
      <w:pPr>
        <w:ind w:left="1292" w:right="340" w:hanging="644"/>
        <w:spacing w:after="0" w:line="257" w:lineRule="auto"/>
        <w:tabs>
          <w:tab w:leader="none" w:pos="12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Executive shall be covered under the Company’s directors and officers liability insurance during the Employment Term and thereafter to the same extent as such coverage is provided from time to time to similarly situated officers of the Company.</w:t>
      </w:r>
    </w:p>
    <w:p>
      <w:pPr>
        <w:spacing w:after="0" w:line="389" w:lineRule="exact"/>
        <w:rPr>
          <w:rFonts w:ascii="Times New Roman" w:cs="Times New Roman" w:eastAsia="Times New Roman" w:hAnsi="Times New Roman"/>
          <w:sz w:val="22"/>
          <w:szCs w:val="22"/>
          <w:color w:val="auto"/>
        </w:rPr>
      </w:pPr>
    </w:p>
    <w:p>
      <w:pPr>
        <w:ind w:left="652" w:right="60" w:hanging="652"/>
        <w:spacing w:after="0" w:line="248" w:lineRule="auto"/>
        <w:tabs>
          <w:tab w:leader="none" w:pos="6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Executive shall be provided, in accordance with the terms of the Company’s employee benefit plans as in effect from time to time, health insurance, retirement benefits and fringe benefits (collectively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on the same basis as those benefits are generally made available to other senior executives of the Company. Executive shall be provided with annual vacation of four (4) weeks per each twelve (12) month period and additional weeks on a basis consistent with Company policy. During the Employment Term, the Company shall provide Executive with an automobile allowance substantially similar to the allowance provided by the Company to other similarly situated senior executives of the Company.</w:t>
      </w:r>
    </w:p>
    <w:p>
      <w:pPr>
        <w:spacing w:after="0" w:line="398" w:lineRule="exact"/>
        <w:rPr>
          <w:rFonts w:ascii="Times New Roman" w:cs="Times New Roman" w:eastAsia="Times New Roman" w:hAnsi="Times New Roman"/>
          <w:sz w:val="22"/>
          <w:szCs w:val="22"/>
          <w:color w:val="auto"/>
        </w:rPr>
      </w:pPr>
    </w:p>
    <w:p>
      <w:pPr>
        <w:ind w:left="652" w:right="80" w:hanging="652"/>
        <w:spacing w:after="0" w:line="295" w:lineRule="auto"/>
        <w:tabs>
          <w:tab w:leader="none" w:pos="65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During the Employment Term, reasonable, documented business expenses incurred by Executive in the performance of Executive’s duties hereunder shall be reimbursed by the Company in accordance with Company policies.</w:t>
      </w:r>
    </w:p>
    <w:p>
      <w:pPr>
        <w:spacing w:after="0" w:line="351" w:lineRule="exact"/>
        <w:rPr>
          <w:rFonts w:ascii="Times New Roman" w:cs="Times New Roman" w:eastAsia="Times New Roman" w:hAnsi="Times New Roman"/>
          <w:sz w:val="21"/>
          <w:szCs w:val="21"/>
          <w:color w:val="auto"/>
        </w:rPr>
      </w:pPr>
    </w:p>
    <w:p>
      <w:pPr>
        <w:ind w:left="652" w:right="60" w:hanging="652"/>
        <w:spacing w:after="0" w:line="250" w:lineRule="auto"/>
        <w:tabs>
          <w:tab w:leader="none" w:pos="6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The Employment Term and Executive’s employment hereunder may be terminated early by either party at any time and for any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will be required to give the Company at least ninety (90) days advance written notice of any resignation of Executive’s employment. Notwithstanding any other provision of this Agreement, the provisions of this Section 7 shall exclusively govern Executive’s rights upon termination of employment with the Company and its affiliates prior to expiration of the Employment Term.</w:t>
      </w:r>
    </w:p>
    <w:p>
      <w:pPr>
        <w:sectPr>
          <w:pgSz w:w="11900" w:h="16838" w:orient="portrait"/>
          <w:cols w:equalWidth="0" w:num="1">
            <w:col w:w="11392"/>
          </w:cols>
          <w:pgMar w:left="248" w:top="126" w:right="259" w:bottom="0" w:gutter="0" w:footer="0" w:header="0"/>
        </w:sectPr>
      </w:pPr>
    </w:p>
    <w:p>
      <w:pPr>
        <w:spacing w:after="0" w:line="398" w:lineRule="exact"/>
        <w:rPr>
          <w:sz w:val="20"/>
          <w:szCs w:val="20"/>
          <w:color w:val="auto"/>
        </w:rPr>
      </w:pPr>
    </w:p>
    <w:p>
      <w:pPr>
        <w:ind w:left="1292" w:hanging="644"/>
        <w:spacing w:after="0"/>
        <w:tabs>
          <w:tab w:leader="none" w:pos="129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By the Company For Cause, By Executive’s Resignation without Good Reason or upon Non-Renewal of the</w:t>
      </w:r>
    </w:p>
    <w:p>
      <w:pPr>
        <w:sectPr>
          <w:pgSz w:w="11900" w:h="16838" w:orient="portrait"/>
          <w:cols w:equalWidth="0" w:num="1">
            <w:col w:w="11392"/>
          </w:cols>
          <w:pgMar w:left="248" w:top="126" w:right="259" w:bottom="0" w:gutter="0" w:footer="0" w:header="0"/>
          <w:type w:val="continuous"/>
        </w:sectPr>
      </w:pPr>
    </w:p>
    <w:bookmarkStart w:id="45" w:name="page46"/>
    <w:bookmarkEnd w:id="45"/>
    <w:p>
      <w:pPr>
        <w:ind w:left="1300"/>
        <w:spacing w:after="0"/>
        <w:rPr>
          <w:sz w:val="20"/>
          <w:szCs w:val="20"/>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960" w:right="500" w:hanging="655"/>
        <w:spacing w:after="0" w:line="271" w:lineRule="auto"/>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Term and Executive’s employment hereunder may be terminated by the Company for Cause (as defined below) or by Executive’s resignation without Good Reason (as defined below).</w:t>
      </w:r>
    </w:p>
    <w:p>
      <w:pPr>
        <w:spacing w:after="0" w:line="374" w:lineRule="exact"/>
        <w:rPr>
          <w:rFonts w:ascii="Times New Roman" w:cs="Times New Roman" w:eastAsia="Times New Roman" w:hAnsi="Times New Roman"/>
          <w:sz w:val="22"/>
          <w:szCs w:val="22"/>
          <w:color w:val="auto"/>
        </w:rPr>
      </w:pPr>
    </w:p>
    <w:p>
      <w:pPr>
        <w:ind w:left="1960" w:right="60" w:hanging="655"/>
        <w:spacing w:after="0" w:line="246" w:lineRule="auto"/>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 action by the Executive that constitute acts of (1) fraud; (2) embezzlement; (3) gross insubordination; (4) gross misconduct; (5) material dishonesty which causes material harm to the Company; (b) the Executive’s inability, failure, or refusal to perform any duty, responsibility, or obligation of his position, which (to the extent such inability, failure, or refusal to perform is curable in the judgment of the Company) is not cured by the Executive within five (5) days after receiving written notice from the Company of such inability, failure; (c) Executive's commission of a felony; (d) Executive’s substance abuse or alcohol abuse which renders the Executive unfit to perform his duties; or (e) any breach of the covenants set forth in Section 8 of this Agreement by Executive. Any voluntary termination of employment by the Executive in anticipation of an involuntary termination of the Executive’s employment by the Company for Cause shall be deemed to be a termination for Cause.</w:t>
      </w: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1960" w:right="140" w:hanging="655"/>
        <w:spacing w:after="0" w:line="257" w:lineRule="auto"/>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by the Company for Cause, if Executive resigns without Good Reason or if the Employment Term expires as a result of the Company delivering to the Executive the Non-Renewal Notice (such event, the “</w:t>
      </w:r>
      <w:r>
        <w:rPr>
          <w:rFonts w:ascii="Times New Roman" w:cs="Times New Roman" w:eastAsia="Times New Roman" w:hAnsi="Times New Roman"/>
          <w:sz w:val="22"/>
          <w:szCs w:val="22"/>
          <w:u w:val="single" w:color="auto"/>
          <w:color w:val="auto"/>
        </w:rPr>
        <w:t>Company Non-Renewal</w:t>
      </w:r>
      <w:r>
        <w:rPr>
          <w:rFonts w:ascii="Times New Roman" w:cs="Times New Roman" w:eastAsia="Times New Roman" w:hAnsi="Times New Roman"/>
          <w:sz w:val="22"/>
          <w:szCs w:val="22"/>
          <w:color w:val="auto"/>
        </w:rPr>
        <w:t>”), Executive shall be entitled to receive:</w:t>
      </w:r>
    </w:p>
    <w:p>
      <w:pPr>
        <w:spacing w:after="0" w:line="389"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Salary through the date of termination;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2600" w:right="340" w:hanging="647"/>
        <w:spacing w:after="0" w:line="271" w:lineRule="auto"/>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termination for Cause, any Annual Bonus earned but unpaid as of the date of termination for any previously completed calendar year;</w:t>
      </w:r>
    </w:p>
    <w:p>
      <w:pPr>
        <w:spacing w:after="0" w:line="374" w:lineRule="exact"/>
        <w:rPr>
          <w:rFonts w:ascii="Times New Roman" w:cs="Times New Roman" w:eastAsia="Times New Roman" w:hAnsi="Times New Roman"/>
          <w:sz w:val="22"/>
          <w:szCs w:val="22"/>
          <w:color w:val="auto"/>
        </w:rPr>
      </w:pPr>
    </w:p>
    <w:p>
      <w:pPr>
        <w:ind w:left="2600" w:right="1000" w:hanging="647"/>
        <w:spacing w:after="0" w:line="271" w:lineRule="auto"/>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any unreimbursed business expenses properly incurred by Executive in accordance with Company policy prior to the date of Executive’s termination; and</w:t>
      </w:r>
    </w:p>
    <w:p>
      <w:pPr>
        <w:spacing w:after="0" w:line="374" w:lineRule="exact"/>
        <w:rPr>
          <w:rFonts w:ascii="Times New Roman" w:cs="Times New Roman" w:eastAsia="Times New Roman" w:hAnsi="Times New Roman"/>
          <w:sz w:val="22"/>
          <w:szCs w:val="22"/>
          <w:color w:val="auto"/>
        </w:rPr>
      </w:pPr>
    </w:p>
    <w:p>
      <w:pPr>
        <w:ind w:left="2600" w:right="300" w:hanging="647"/>
        <w:spacing w:after="0" w:line="271" w:lineRule="auto"/>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Benefits, if any, as to which Executive may be entitled under the employee benefit plans of the Company;</w:t>
      </w:r>
    </w:p>
    <w:p>
      <w:pPr>
        <w:spacing w:after="0" w:line="374" w:lineRule="exact"/>
        <w:rPr>
          <w:rFonts w:ascii="Times New Roman" w:cs="Times New Roman" w:eastAsia="Times New Roman" w:hAnsi="Times New Roman"/>
          <w:sz w:val="22"/>
          <w:szCs w:val="22"/>
          <w:color w:val="auto"/>
        </w:rPr>
      </w:pPr>
    </w:p>
    <w:p>
      <w:pPr>
        <w:ind w:left="2600" w:right="60" w:hanging="647"/>
        <w:spacing w:after="0" w:line="250" w:lineRule="auto"/>
        <w:tabs>
          <w:tab w:leader="none" w:pos="2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amounts or benefits due under any applicable plan, program, agreement or arrangement of the Company or its affiliates or pursuant to applicable law (the amounts described in clauses (A) through (E) hereof being referred to as the “</w:t>
      </w:r>
      <w:r>
        <w:rPr>
          <w:rFonts w:ascii="Times New Roman" w:cs="Times New Roman" w:eastAsia="Times New Roman" w:hAnsi="Times New Roman"/>
          <w:sz w:val="22"/>
          <w:szCs w:val="22"/>
          <w:u w:val="single" w:color="auto"/>
          <w:color w:val="auto"/>
        </w:rPr>
        <w:t>Accrued Rights</w:t>
      </w:r>
      <w:r>
        <w:rPr>
          <w:rFonts w:ascii="Times New Roman" w:cs="Times New Roman" w:eastAsia="Times New Roman" w:hAnsi="Times New Roman"/>
          <w:sz w:val="22"/>
          <w:szCs w:val="22"/>
          <w:color w:val="auto"/>
        </w:rPr>
        <w:t>”). The Accrued Rights under this Section 7 shall in all events be paid in accordance with the Company’s normal payroll procedures, expense reimbursement procedures or plan terms, as applicable.</w:t>
      </w:r>
    </w:p>
    <w:p>
      <w:pPr>
        <w:spacing w:after="0" w:line="398" w:lineRule="exact"/>
        <w:rPr>
          <w:sz w:val="20"/>
          <w:szCs w:val="20"/>
          <w:color w:val="auto"/>
        </w:rPr>
      </w:pPr>
    </w:p>
    <w:p>
      <w:pPr>
        <w:jc w:val="both"/>
        <w:ind w:right="480"/>
        <w:spacing w:after="0" w:line="257" w:lineRule="auto"/>
        <w:rPr>
          <w:sz w:val="20"/>
          <w:szCs w:val="20"/>
          <w:color w:val="auto"/>
        </w:rPr>
      </w:pPr>
      <w:r>
        <w:rPr>
          <w:rFonts w:ascii="Times New Roman" w:cs="Times New Roman" w:eastAsia="Times New Roman" w:hAnsi="Times New Roman"/>
          <w:sz w:val="22"/>
          <w:szCs w:val="22"/>
          <w:color w:val="auto"/>
        </w:rPr>
        <w:t>Following such termination of Executive’s employment by Company Non-Renewal, the Company for Cause or resignation by Executive without Good Reason, except as set forth in this Section 7(a), Executive shall have no further rights to any contract damages, other compensation or any other benefits under this Agreement.</w:t>
      </w:r>
    </w:p>
    <w:p>
      <w:pPr>
        <w:spacing w:after="0" w:line="389"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line="260" w:lineRule="auto"/>
        <w:tabs>
          <w:tab w:leader="none" w:pos="196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Employment Term and Executive’s employment hereunder shall terminate upon Executive’s death or if Executive (A)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or disability plan, covering employees of the Company or an affiliate of the Company (such incapacity is hereinafter referred to as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w:t>
      </w:r>
    </w:p>
    <w:p>
      <w:pPr>
        <w:spacing w:after="0" w:line="3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21"/>
          <w:szCs w:val="21"/>
          <w:color w:val="auto"/>
        </w:rPr>
        <w:t>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w:t>
      </w:r>
    </w:p>
    <w:p>
      <w:pPr>
        <w:sectPr>
          <w:pgSz w:w="11900" w:h="16838" w:orient="portrait"/>
          <w:cols w:equalWidth="0" w:num="1">
            <w:col w:w="11400"/>
          </w:cols>
          <w:pgMar w:left="240" w:top="126" w:right="259" w:bottom="0" w:gutter="0" w:footer="0" w:header="0"/>
        </w:sectPr>
      </w:pPr>
    </w:p>
    <w:bookmarkStart w:id="46" w:name="page47"/>
    <w:bookmarkEnd w:id="46"/>
    <w:p>
      <w:pPr>
        <w:ind w:right="80"/>
        <w:spacing w:after="0" w:line="271" w:lineRule="auto"/>
        <w:rPr>
          <w:sz w:val="20"/>
          <w:szCs w:val="20"/>
          <w:color w:val="auto"/>
        </w:rPr>
      </w:pPr>
      <w:r>
        <w:rPr>
          <w:rFonts w:ascii="Times New Roman" w:cs="Times New Roman" w:eastAsia="Times New Roman" w:hAnsi="Times New Roman"/>
          <w:sz w:val="22"/>
          <w:szCs w:val="22"/>
          <w:color w:val="auto"/>
        </w:rPr>
        <w:t>shall select a third who shall make such determination in writing. The determination of Disability made in writing to the Company and Executive shall be final and conclusive for all purposes of the Agreement.</w:t>
      </w:r>
    </w:p>
    <w:p>
      <w:pPr>
        <w:spacing w:after="0" w:line="374" w:lineRule="exact"/>
        <w:rPr>
          <w:sz w:val="20"/>
          <w:szCs w:val="20"/>
          <w:color w:val="auto"/>
        </w:rPr>
      </w:pPr>
    </w:p>
    <w:p>
      <w:pPr>
        <w:ind w:left="1960" w:right="800" w:hanging="655"/>
        <w:spacing w:after="0" w:line="271" w:lineRule="auto"/>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Executive’s employment hereunder for either Disability or death, Executive or Executive’s estate (as the case may be) shall be entitled to receive:</w:t>
      </w:r>
    </w:p>
    <w:p>
      <w:pPr>
        <w:spacing w:after="0" w:line="374"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Rights; and</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2600" w:hanging="647"/>
        <w:spacing w:after="0" w:line="248" w:lineRule="auto"/>
        <w:tabs>
          <w:tab w:leader="none" w:pos="26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if any, that the Executive would have been entitled to receive pursuant to Section 3(b) hereof in respect of the year in which such termination occurs based upon the actual achievement of the performance goals, multiplied by a fraction the numerator of which is the number of days Executive is employed by the Company in such year and the denominator of which is the total number of days in such year, payable when such Annual Bonus would have otherwise been payable in accordance with Section 3(b) had the Executive’s employment not terminated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w:t>
      </w:r>
    </w:p>
    <w:p>
      <w:pPr>
        <w:spacing w:after="0" w:line="39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Following Executive's termination of employment due to death or Disability, except as set forth in this Section 7(b), Executive or Executive’s estate (as the case may be) shall have no further rights to any contract damages, other compensation or any other benefits under this Agreement.</w:t>
      </w:r>
    </w:p>
    <w:p>
      <w:pPr>
        <w:spacing w:after="0" w:line="389"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Without Cause or by Executive’s Resignation with Good Reason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right="60" w:hanging="655"/>
        <w:spacing w:after="0" w:line="271" w:lineRule="auto"/>
        <w:tabs>
          <w:tab w:leader="none" w:pos="19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Term and Executive’s employment hereunder may be terminated by the Company without Cause or by Executive with Good Reason.</w:t>
      </w:r>
    </w:p>
    <w:p>
      <w:pPr>
        <w:spacing w:after="0" w:line="37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2600" w:right="180" w:hanging="647"/>
        <w:spacing w:after="0" w:line="271" w:lineRule="auto"/>
        <w:tabs>
          <w:tab w:leader="none" w:pos="260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relocation, without his consent and other than for a temporary work assignment, by the Company outside Orange County, California;</w:t>
      </w:r>
    </w:p>
    <w:p>
      <w:pPr>
        <w:spacing w:after="0" w:line="374" w:lineRule="exact"/>
        <w:rPr>
          <w:rFonts w:ascii="Times New Roman" w:cs="Times New Roman" w:eastAsia="Times New Roman" w:hAnsi="Times New Roman"/>
          <w:sz w:val="22"/>
          <w:szCs w:val="22"/>
          <w:color w:val="auto"/>
        </w:rPr>
      </w:pPr>
    </w:p>
    <w:p>
      <w:pPr>
        <w:ind w:left="2600" w:right="200" w:hanging="647"/>
        <w:spacing w:after="0" w:line="271" w:lineRule="auto"/>
        <w:tabs>
          <w:tab w:leader="none" w:pos="260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Executive’s authority, duties, title or responsibilities as set forth in Section 2(a) hereof;</w:t>
      </w:r>
    </w:p>
    <w:p>
      <w:pPr>
        <w:spacing w:after="0" w:line="374" w:lineRule="exact"/>
        <w:rPr>
          <w:rFonts w:ascii="Times New Roman" w:cs="Times New Roman" w:eastAsia="Times New Roman" w:hAnsi="Times New Roman"/>
          <w:sz w:val="22"/>
          <w:szCs w:val="22"/>
          <w:color w:val="auto"/>
        </w:rPr>
      </w:pPr>
    </w:p>
    <w:p>
      <w:pPr>
        <w:ind w:left="2600" w:right="260" w:hanging="647"/>
        <w:spacing w:after="0" w:line="271" w:lineRule="auto"/>
        <w:tabs>
          <w:tab w:leader="none" w:pos="260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of Executive’s Base Salary (as increased from time to time) as set forth in Section 3(a) hereof;</w:t>
      </w:r>
    </w:p>
    <w:p>
      <w:pPr>
        <w:spacing w:after="0" w:line="374" w:lineRule="exact"/>
        <w:rPr>
          <w:rFonts w:ascii="Times New Roman" w:cs="Times New Roman" w:eastAsia="Times New Roman" w:hAnsi="Times New Roman"/>
          <w:sz w:val="22"/>
          <w:szCs w:val="22"/>
          <w:color w:val="auto"/>
        </w:rPr>
      </w:pPr>
    </w:p>
    <w:p>
      <w:pPr>
        <w:ind w:left="2600" w:right="600" w:hanging="647"/>
        <w:spacing w:after="0" w:line="271" w:lineRule="auto"/>
        <w:tabs>
          <w:tab w:leader="none" w:pos="260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failure of the Company to provide or cause to be provided to Executive any of the Employee Benefits described in Section 5 hereof; or</w:t>
      </w:r>
    </w:p>
    <w:p>
      <w:pPr>
        <w:spacing w:after="0" w:line="374" w:lineRule="exact"/>
        <w:rPr>
          <w:rFonts w:ascii="Times New Roman" w:cs="Times New Roman" w:eastAsia="Times New Roman" w:hAnsi="Times New Roman"/>
          <w:sz w:val="22"/>
          <w:szCs w:val="22"/>
          <w:color w:val="auto"/>
        </w:rPr>
      </w:pPr>
    </w:p>
    <w:p>
      <w:pPr>
        <w:ind w:left="2600" w:right="140" w:hanging="647"/>
        <w:spacing w:after="0" w:line="249" w:lineRule="auto"/>
        <w:tabs>
          <w:tab w:leader="none" w:pos="260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requirement that Executive report to anyone other than the Chief Executive Officer or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events described in clauses (A) through (E) of this Section 7(c)(ii) shall constitute Good Reason unless Executive shall have notified the Company in writing describing the event which constitutes Good Reason within thirty (30) days of the initial occurrence of such event and then only if the Company shall have failed to cure such event within thirty (30) days after the Company’s receipt of such written notice.</w:t>
      </w:r>
    </w:p>
    <w:p>
      <w:pPr>
        <w:spacing w:after="0" w:line="396" w:lineRule="exact"/>
        <w:rPr>
          <w:rFonts w:ascii="Times New Roman" w:cs="Times New Roman" w:eastAsia="Times New Roman" w:hAnsi="Times New Roman"/>
          <w:sz w:val="22"/>
          <w:szCs w:val="22"/>
          <w:color w:val="auto"/>
        </w:rPr>
      </w:pPr>
    </w:p>
    <w:p>
      <w:pPr>
        <w:ind w:left="1960" w:right="240" w:hanging="655"/>
        <w:spacing w:after="0" w:line="271" w:lineRule="auto"/>
        <w:tabs>
          <w:tab w:leader="none" w:pos="19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by the Company without Cause (other than by reason of death or Disability), by Executive with Good Reason, Executive shall be entitled to receive:</w:t>
      </w:r>
    </w:p>
    <w:p>
      <w:pPr>
        <w:spacing w:after="0" w:line="374"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Rights;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2600" w:right="80" w:hanging="647"/>
        <w:spacing w:after="0" w:line="295" w:lineRule="auto"/>
        <w:tabs>
          <w:tab w:leader="none" w:pos="2600"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Executive’s execution of a general release of claims in a form reasonably determined by the Company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the expiration of the applicable revocation period with respect to such</w:t>
      </w:r>
    </w:p>
    <w:p>
      <w:pPr>
        <w:sectPr>
          <w:pgSz w:w="11900" w:h="16838" w:orient="portrait"/>
          <w:cols w:equalWidth="0" w:num="1">
            <w:col w:w="11360"/>
          </w:cols>
          <w:pgMar w:left="240" w:top="126" w:right="299" w:bottom="0" w:gutter="0" w:footer="0" w:header="0"/>
        </w:sectPr>
      </w:pPr>
    </w:p>
    <w:bookmarkStart w:id="47" w:name="page48"/>
    <w:bookmarkEnd w:id="47"/>
    <w:p>
      <w:pPr>
        <w:spacing w:after="0" w:line="77" w:lineRule="exact"/>
        <w:rPr>
          <w:sz w:val="20"/>
          <w:szCs w:val="20"/>
          <w:color w:val="auto"/>
        </w:rPr>
      </w:pPr>
    </w:p>
    <w:p>
      <w:pPr>
        <w:ind w:left="2600" w:right="960"/>
        <w:spacing w:after="0" w:line="271" w:lineRule="auto"/>
        <w:rPr>
          <w:sz w:val="20"/>
          <w:szCs w:val="20"/>
          <w:color w:val="auto"/>
        </w:rPr>
      </w:pPr>
      <w:r>
        <w:rPr>
          <w:rFonts w:ascii="Times New Roman" w:cs="Times New Roman" w:eastAsia="Times New Roman" w:hAnsi="Times New Roman"/>
          <w:sz w:val="22"/>
          <w:szCs w:val="22"/>
          <w:color w:val="auto"/>
        </w:rPr>
        <w:t>Release within sixty (60) days following the date of termination and Executive’s continued compliance with the provisions of Section 8 and 9, the Pro-Rata Bonus;</w:t>
      </w:r>
    </w:p>
    <w:p>
      <w:pPr>
        <w:spacing w:after="0" w:line="374" w:lineRule="exact"/>
        <w:rPr>
          <w:sz w:val="20"/>
          <w:szCs w:val="20"/>
          <w:color w:val="auto"/>
        </w:rPr>
      </w:pPr>
    </w:p>
    <w:p>
      <w:pPr>
        <w:ind w:left="2600" w:right="20" w:hanging="647"/>
        <w:spacing w:after="0" w:line="237" w:lineRule="auto"/>
        <w:tabs>
          <w:tab w:leader="none" w:pos="26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Executive’s execution of a Release, the expiration of the applicable revocation period with respect to such Release within sixty (60) days following the date of termination and Executive’s continued compliance with the provisions of Section 8 and 9, continued payment of the Base Salary in accordance with the Company's normal payroll practices for a period of twelve (12) months following the date of such termination, which shall commence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such termination (with the first payment equal to the cumulative amount that would have been paid in such initial sixty (60) day period); and</w:t>
      </w:r>
    </w:p>
    <w:p>
      <w:pPr>
        <w:spacing w:after="0" w:line="200" w:lineRule="exact"/>
        <w:rPr>
          <w:sz w:val="20"/>
          <w:szCs w:val="20"/>
          <w:color w:val="auto"/>
        </w:rPr>
      </w:pPr>
    </w:p>
    <w:p>
      <w:pPr>
        <w:spacing w:after="0" w:line="21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Following Executive’s termination of employment by the Company without Cause (other than by reason of Executive’s death or Disability) or by Executive’s resignation with Good Reason, except as set forth in this Section 7(c), Executive shall have no further rights to any contract damages, other compensation or any other benefits under this Agreement or under any other plans, programs or arrangements of the Company or its affiliates.</w:t>
      </w:r>
    </w:p>
    <w:p>
      <w:pPr>
        <w:spacing w:after="0" w:line="396" w:lineRule="exact"/>
        <w:rPr>
          <w:sz w:val="20"/>
          <w:szCs w:val="20"/>
          <w:color w:val="auto"/>
        </w:rPr>
      </w:pPr>
    </w:p>
    <w:p>
      <w:pPr>
        <w:ind w:left="1300" w:right="140" w:hanging="644"/>
        <w:spacing w:after="0" w:line="249" w:lineRule="auto"/>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purported termination of employment by the Company or by Executive (other than due to Executive’s death) shall be communicated by written Notice of Termination to the other party hereto in accordance with Section 12(g) hereof.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396" w:lineRule="exact"/>
        <w:rPr>
          <w:rFonts w:ascii="Times New Roman" w:cs="Times New Roman" w:eastAsia="Times New Roman" w:hAnsi="Times New Roman"/>
          <w:sz w:val="22"/>
          <w:szCs w:val="22"/>
          <w:color w:val="auto"/>
        </w:rPr>
      </w:pPr>
    </w:p>
    <w:p>
      <w:pPr>
        <w:ind w:left="660" w:right="20" w:hanging="652"/>
        <w:spacing w:after="0" w:line="252"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Non-Interference/Non-Solicitation</w:t>
      </w:r>
      <w:r>
        <w:rPr>
          <w:rFonts w:ascii="Times New Roman" w:cs="Times New Roman" w:eastAsia="Times New Roman" w:hAnsi="Times New Roman"/>
          <w:sz w:val="22"/>
          <w:szCs w:val="22"/>
          <w:color w:val="auto"/>
        </w:rPr>
        <w:t>. Executive acknowledges and recognizes that in the course of performing services for the Company, Executive will have access to certain confidential and proprietary information of the Company and its affiliates that is extremely valuable to the Company and its affiliates and is not known to the general public. Accordingly, Executive agrees as follows:</w:t>
      </w:r>
    </w:p>
    <w:p>
      <w:pPr>
        <w:spacing w:after="0" w:line="396" w:lineRule="exact"/>
        <w:rPr>
          <w:rFonts w:ascii="Times New Roman" w:cs="Times New Roman" w:eastAsia="Times New Roman" w:hAnsi="Times New Roman"/>
          <w:sz w:val="22"/>
          <w:szCs w:val="22"/>
          <w:color w:val="auto"/>
        </w:rPr>
      </w:pPr>
    </w:p>
    <w:p>
      <w:pPr>
        <w:ind w:left="1540" w:hanging="891"/>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(a)Executive agrees that during the term of employment and until the first anniversary of the date of termination of Executive's employment with the Company or any subsidiary of the Company, as the case may be (the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the Executive will not directly or indirectly, use any Company Confidential Information (as defined in Section 9) to interfere with business relationships (whether formed before or after the date of this Agreement) between the Company or any of its affiliates and customers, suppliers, partners, members or investors of the Company or its affiliates.</w:t>
      </w:r>
    </w:p>
    <w:p>
      <w:pPr>
        <w:spacing w:after="0" w:line="396" w:lineRule="exact"/>
        <w:rPr>
          <w:rFonts w:ascii="Times New Roman" w:cs="Times New Roman" w:eastAsia="Times New Roman" w:hAnsi="Times New Roman"/>
          <w:sz w:val="22"/>
          <w:szCs w:val="22"/>
          <w:color w:val="auto"/>
        </w:rPr>
      </w:pPr>
    </w:p>
    <w:p>
      <w:pPr>
        <w:ind w:left="1560" w:hanging="905"/>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(b)Executive further agrees that during the Restricted Period, Executive will not, directly or indirectly, (i) solicit or encourage any employee of the Company or its affiliates to leave the employment of the Company or its affiliates, or (ii) solicit or encourage to cease to work with the Company or its affiliates any consultant then under contract with the Company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general advertising not directed specifically at employees of the Company or any affiliate shall not be deemed to violate this Section 8(b).</w:t>
      </w:r>
    </w:p>
    <w:p>
      <w:pPr>
        <w:spacing w:after="0" w:line="397" w:lineRule="exact"/>
        <w:rPr>
          <w:rFonts w:ascii="Times New Roman" w:cs="Times New Roman" w:eastAsia="Times New Roman" w:hAnsi="Times New Roman"/>
          <w:sz w:val="22"/>
          <w:szCs w:val="22"/>
          <w:color w:val="auto"/>
        </w:rPr>
      </w:pPr>
    </w:p>
    <w:p>
      <w:pPr>
        <w:ind w:left="1540" w:right="20" w:hanging="891"/>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 is expressly understood and agreed that although Executive and the Company consider the restrictions contained in this Section 8 to be reasonable, if a final judicial determination is made by a court of competent jurisdiction that any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660" w:right="60" w:hanging="652"/>
        <w:spacing w:after="0" w:line="260" w:lineRule="auto"/>
        <w:tabs>
          <w:tab w:leader="none" w:pos="6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and Cooperation</w:t>
      </w:r>
      <w:r>
        <w:rPr>
          <w:rFonts w:ascii="Times New Roman" w:cs="Times New Roman" w:eastAsia="Times New Roman" w:hAnsi="Times New Roman"/>
          <w:sz w:val="21"/>
          <w:szCs w:val="21"/>
          <w:color w:val="auto"/>
        </w:rPr>
        <w:t>. Executive will not at any time (whether during or after Executive's employment with the Company) disclose or use for Executive's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of any subsidiary or affiliate of the Company (“</w:t>
      </w:r>
      <w:r>
        <w:rPr>
          <w:rFonts w:ascii="Times New Roman" w:cs="Times New Roman" w:eastAsia="Times New Roman" w:hAnsi="Times New Roman"/>
          <w:sz w:val="21"/>
          <w:szCs w:val="21"/>
          <w:u w:val="single" w:color="auto"/>
          <w:color w:val="auto"/>
        </w:rPr>
        <w:t>Company Confidential Information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information which is not unique to the Company or which is generally known to the industry or the public other than as a result of Executive's breach of this covenant;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the foregoing shall not apply when Executive is</w:t>
      </w:r>
    </w:p>
    <w:p>
      <w:pPr>
        <w:sectPr>
          <w:pgSz w:w="11900" w:h="16915" w:orient="portrait"/>
          <w:cols w:equalWidth="0" w:num="1">
            <w:col w:w="11420"/>
          </w:cols>
          <w:pgMar w:left="240" w:top="126" w:right="239" w:bottom="0" w:gutter="0" w:footer="0" w:header="0"/>
        </w:sectPr>
      </w:pPr>
    </w:p>
    <w:bookmarkStart w:id="48" w:name="page49"/>
    <w:bookmarkEnd w:id="48"/>
    <w:p>
      <w:pPr>
        <w:ind w:left="652" w:right="40"/>
        <w:spacing w:after="0" w:line="257" w:lineRule="auto"/>
        <w:rPr>
          <w:sz w:val="20"/>
          <w:szCs w:val="20"/>
          <w:color w:val="auto"/>
        </w:rPr>
      </w:pPr>
      <w:r>
        <w:rPr>
          <w:rFonts w:ascii="Times New Roman" w:cs="Times New Roman" w:eastAsia="Times New Roman" w:hAnsi="Times New Roman"/>
          <w:sz w:val="21"/>
          <w:szCs w:val="21"/>
          <w:color w:val="auto"/>
        </w:rPr>
        <w:t>required to divulge, disclose or make accessible such information by a court of competent jurisdiction or an individual duly appointed thereby, by any administrative body or legislative body (including a committee thereof) having supervisory authority over the business of the Company, or by any administrative body or legislative body (including a committee thereof) with jurisdiction to order Executive to divulge, disclose or make accessible such information. Executive agrees that upon termination of Executive's employment with the Company for any reason, he will return to the Company immediately all memoranda, books, papers, plans, information, letters and other data, and all copies thereof or therefrom, in any way relating to the business of the Company and its affiliates and/or containing any Company Confidential Information, except that he may retain personal notes, notebooks and diaries that do not contain Company Confidential Information of the type described in the preceding sentence. Executive further agrees that he will not retain or use for Executive's account at any time any trade names, trademark or other proprietary business designation used or owned in connection with the business of the Company or its affiliates. Except to the extent that it could reasonably be expected to materially and unreasonably interfere with the Executive's professional and personal responsibilities and commitments, upon reasonable notice from the Company to the Executive, Executive agrees to cooperate, both during and after the Employment Term, at the Company’s sole cost and expense (including reasonable, necessary and documented legal fees to the extent not otherwise paid by insurance), with respect to matters of which Executive has knowledge.</w:t>
      </w:r>
    </w:p>
    <w:p>
      <w:pPr>
        <w:spacing w:after="0" w:line="200" w:lineRule="exact"/>
        <w:rPr>
          <w:sz w:val="20"/>
          <w:szCs w:val="20"/>
          <w:color w:val="auto"/>
        </w:rPr>
      </w:pPr>
    </w:p>
    <w:p>
      <w:pPr>
        <w:spacing w:after="0" w:line="202" w:lineRule="exact"/>
        <w:rPr>
          <w:sz w:val="20"/>
          <w:szCs w:val="20"/>
          <w:color w:val="auto"/>
        </w:rPr>
      </w:pPr>
    </w:p>
    <w:p>
      <w:pPr>
        <w:ind w:left="652" w:hanging="652"/>
        <w:spacing w:after="0"/>
        <w:tabs>
          <w:tab w:leader="none" w:pos="6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 TRADE SECRETS ACT.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292" w:right="300" w:hanging="644"/>
        <w:spacing w:after="0" w:line="250"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to the contrary, Executive shall not be prohibited from reporting possible violations of federal or state law or regulation to any governmental agency or entity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397" w:lineRule="exact"/>
        <w:rPr>
          <w:rFonts w:ascii="Times New Roman" w:cs="Times New Roman" w:eastAsia="Times New Roman" w:hAnsi="Times New Roman"/>
          <w:sz w:val="22"/>
          <w:szCs w:val="22"/>
          <w:color w:val="auto"/>
        </w:rPr>
      </w:pPr>
    </w:p>
    <w:p>
      <w:pPr>
        <w:ind w:left="1292" w:hanging="644"/>
        <w:spacing w:after="0" w:line="248"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1833(b) of the Defend Trade Secrets Act of 2016, Executive acknowledges that he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Agreement is intended to conflict with Section 1833(b) of the Defend Trade Secrets Act of 2016 or create liability for disclosures of trade secrets that are expressly allowed by such section.</w:t>
      </w:r>
    </w:p>
    <w:p>
      <w:pPr>
        <w:spacing w:after="0" w:line="398" w:lineRule="exact"/>
        <w:rPr>
          <w:rFonts w:ascii="Times New Roman" w:cs="Times New Roman" w:eastAsia="Times New Roman" w:hAnsi="Times New Roman"/>
          <w:sz w:val="22"/>
          <w:szCs w:val="22"/>
          <w:color w:val="auto"/>
        </w:rPr>
      </w:pPr>
    </w:p>
    <w:p>
      <w:pPr>
        <w:ind w:left="652" w:right="140" w:hanging="652"/>
        <w:spacing w:after="0" w:line="249" w:lineRule="auto"/>
        <w:tabs>
          <w:tab w:leader="none" w:pos="6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Executive acknowledges and agrees that the Company's remedies at law for a breach or threatened breach of any of the provisions of Section 8 or Section 9 would be inadequate and, in recognition of this fact, Executive agrees that, in the event of such a breach or threatened breach, in addition to any remedies at law, the Company,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39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292" w:right="420" w:hanging="644"/>
        <w:spacing w:after="0" w:line="271"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California, without regard to conflicts of laws principles thereof.</w:t>
      </w:r>
    </w:p>
    <w:p>
      <w:pPr>
        <w:spacing w:after="0" w:line="374" w:lineRule="exact"/>
        <w:rPr>
          <w:rFonts w:ascii="Times New Roman" w:cs="Times New Roman" w:eastAsia="Times New Roman" w:hAnsi="Times New Roman"/>
          <w:sz w:val="22"/>
          <w:szCs w:val="22"/>
          <w:color w:val="auto"/>
        </w:rPr>
      </w:pPr>
    </w:p>
    <w:p>
      <w:pPr>
        <w:ind w:left="1292" w:hanging="644"/>
        <w:spacing w:after="0" w:line="249"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Agreement/Amendments</w:t>
      </w:r>
      <w:r>
        <w:rPr>
          <w:rFonts w:ascii="Times New Roman" w:cs="Times New Roman" w:eastAsia="Times New Roman" w:hAnsi="Times New Roman"/>
          <w:sz w:val="22"/>
          <w:szCs w:val="22"/>
          <w:color w:val="auto"/>
        </w:rPr>
        <w:t>. This Agreement 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This Agreement supersedes any other agreements or representations, oral or otherwise, express or implied, with respect to the subject matter hereof which have been made by either party. This Agreement may not be altered, modified, or amended except by written instrument signed by the parties hereto.</w:t>
      </w:r>
    </w:p>
    <w:p>
      <w:pPr>
        <w:spacing w:after="0" w:line="396" w:lineRule="exact"/>
        <w:rPr>
          <w:rFonts w:ascii="Times New Roman" w:cs="Times New Roman" w:eastAsia="Times New Roman" w:hAnsi="Times New Roman"/>
          <w:sz w:val="22"/>
          <w:szCs w:val="22"/>
          <w:color w:val="auto"/>
        </w:rPr>
      </w:pPr>
    </w:p>
    <w:p>
      <w:pPr>
        <w:ind w:left="1292" w:right="40" w:hanging="644"/>
        <w:spacing w:after="0" w:line="257"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389" w:lineRule="exact"/>
        <w:rPr>
          <w:rFonts w:ascii="Times New Roman" w:cs="Times New Roman" w:eastAsia="Times New Roman" w:hAnsi="Times New Roman"/>
          <w:sz w:val="22"/>
          <w:szCs w:val="22"/>
          <w:color w:val="auto"/>
        </w:rPr>
      </w:pPr>
    </w:p>
    <w:p>
      <w:pPr>
        <w:ind w:left="1292" w:right="320" w:hanging="644"/>
        <w:spacing w:after="0" w:line="257" w:lineRule="auto"/>
        <w:tabs>
          <w:tab w:leader="none" w:pos="12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ectPr>
          <w:pgSz w:w="11900" w:h="16838" w:orient="portrait"/>
          <w:cols w:equalWidth="0" w:num="1">
            <w:col w:w="11412"/>
          </w:cols>
          <w:pgMar w:left="248" w:top="126" w:right="239" w:bottom="0" w:gutter="0" w:footer="0" w:header="0"/>
        </w:sectPr>
      </w:pPr>
    </w:p>
    <w:bookmarkStart w:id="49" w:name="page50"/>
    <w:bookmarkEnd w:id="49"/>
    <w:p>
      <w:pPr>
        <w:ind w:left="1300" w:right="100" w:hanging="644"/>
        <w:spacing w:after="0" w:line="249"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shall not be assignable by Executive. This Agreement may be assigned by the Company to a company which is a successor in interest to substantially all of the business operations of the Company. Such assignment shall become effective when the Company notifies the Executive of such assignment or at such later date as may be specified in such notice. Upon such assignment, the rights and obligations of the Company hereunder shall become the rights and obligations of such successor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assignee expressly assumes the obligations, rights and privileges of this Agreement.</w:t>
      </w:r>
    </w:p>
    <w:p>
      <w:pPr>
        <w:spacing w:after="0" w:line="396" w:lineRule="exact"/>
        <w:rPr>
          <w:rFonts w:ascii="Times New Roman" w:cs="Times New Roman" w:eastAsia="Times New Roman" w:hAnsi="Times New Roman"/>
          <w:sz w:val="22"/>
          <w:szCs w:val="22"/>
          <w:color w:val="auto"/>
        </w:rPr>
      </w:pPr>
    </w:p>
    <w:p>
      <w:pPr>
        <w:ind w:left="1300" w:right="160" w:hanging="644"/>
        <w:spacing w:after="0" w:line="271"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 This Agreement shall inure to the benefit of and be binding upon personal or legal representatives, executors, administrators, successors, heirs, distributes, devises and legatees.</w:t>
      </w:r>
    </w:p>
    <w:p>
      <w:pPr>
        <w:spacing w:after="0" w:line="374" w:lineRule="exact"/>
        <w:rPr>
          <w:rFonts w:ascii="Times New Roman" w:cs="Times New Roman" w:eastAsia="Times New Roman" w:hAnsi="Times New Roman"/>
          <w:sz w:val="22"/>
          <w:szCs w:val="22"/>
          <w:color w:val="auto"/>
        </w:rPr>
      </w:pPr>
    </w:p>
    <w:p>
      <w:pPr>
        <w:ind w:left="1300" w:right="420" w:hanging="644"/>
        <w:spacing w:after="0" w:line="250" w:lineRule="auto"/>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Agreement, or to such other address as either party may have furnished to the other in writing in accordance herewith, except that notice of change of address shall be effective only upon receipt.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El Pollo Loco,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3535 Harbor Boulevard, Suite 100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Costa Mesa, CA 92626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President and Chief Executive Officer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Vice President, Legal.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Executive: To the most recent address of Executive set forth in the personnel records of the Company.</w:t>
      </w:r>
    </w:p>
    <w:p>
      <w:pPr>
        <w:spacing w:after="0" w:line="220" w:lineRule="exact"/>
        <w:rPr>
          <w:sz w:val="20"/>
          <w:szCs w:val="20"/>
          <w:color w:val="auto"/>
        </w:rPr>
      </w:pPr>
    </w:p>
    <w:p>
      <w:pPr>
        <w:ind w:left="1300" w:right="380" w:hanging="644"/>
        <w:spacing w:after="0" w:line="271" w:lineRule="auto"/>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may withhold from any amounts payable under this Agreement such Federal, state and local taxes as may be required to be withheld pursuant to any applicable law or regulation.</w:t>
      </w:r>
    </w:p>
    <w:p>
      <w:pPr>
        <w:spacing w:after="0" w:line="374" w:lineRule="exact"/>
        <w:rPr>
          <w:rFonts w:ascii="Times New Roman" w:cs="Times New Roman" w:eastAsia="Times New Roman" w:hAnsi="Times New Roman"/>
          <w:sz w:val="22"/>
          <w:szCs w:val="22"/>
          <w:color w:val="auto"/>
        </w:rPr>
      </w:pPr>
    </w:p>
    <w:p>
      <w:pPr>
        <w:ind w:left="1300" w:hanging="644"/>
        <w:spacing w:after="0" w:line="244" w:lineRule="auto"/>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of the Code until the Executive has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during the six-month period immediately following an Executive’s separation from service shall instead be paid on the first business day after the date that is six months following the Executive’s separation from service (or, if earlier, the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1300" w:right="500" w:hanging="644"/>
        <w:spacing w:after="0" w:line="271" w:lineRule="auto"/>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of which shall be an original, with the same effect as if the signatures thereto and hereto were upon the same instrument.</w:t>
      </w:r>
    </w:p>
    <w:p>
      <w:pPr>
        <w:sectPr>
          <w:pgSz w:w="11900" w:h="16838" w:orient="portrait"/>
          <w:cols w:equalWidth="0" w:num="1">
            <w:col w:w="11400"/>
          </w:cols>
          <w:pgMar w:left="240" w:top="450" w:right="259" w:bottom="1440" w:gutter="0" w:footer="0" w:header="0"/>
        </w:sectPr>
      </w:pPr>
    </w:p>
    <w:bookmarkStart w:id="50" w:name="page51"/>
    <w:bookmarkEnd w:id="50"/>
    <w:p>
      <w:pPr>
        <w:ind w:left="400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-13970</wp:posOffset>
            </wp:positionV>
            <wp:extent cx="18522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Miguel Lozano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EL POLLO LOCO, INC.</w:t>
      </w:r>
    </w:p>
    <w:p>
      <w:pPr>
        <w:spacing w:after="0" w:line="200" w:lineRule="exact"/>
        <w:rPr>
          <w:sz w:val="20"/>
          <w:szCs w:val="20"/>
          <w:color w:val="auto"/>
        </w:rPr>
      </w:pPr>
    </w:p>
    <w:p>
      <w:pPr>
        <w:spacing w:after="0" w:line="2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-13970</wp:posOffset>
            </wp:positionV>
            <wp:extent cx="274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640"/>
          </w:cols>
          <w:pgMar w:left="900" w:top="558"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10.32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SEPARATION AGREEMENT AND RELEASE</w:t>
      </w:r>
    </w:p>
    <w:p>
      <w:pPr>
        <w:spacing w:after="0" w:line="200" w:lineRule="exact"/>
        <w:rPr>
          <w:sz w:val="20"/>
          <w:szCs w:val="20"/>
          <w:color w:val="auto"/>
        </w:rPr>
      </w:pPr>
    </w:p>
    <w:p>
      <w:pPr>
        <w:spacing w:after="0" w:line="234"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2"/>
          <w:szCs w:val="22"/>
          <w:color w:val="auto"/>
        </w:rPr>
        <w:t>This Confidential Separation Agreement and Release (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by and between Gus Siade (“</w:t>
      </w:r>
      <w:r>
        <w:rPr>
          <w:rFonts w:ascii="Times New Roman" w:cs="Times New Roman" w:eastAsia="Times New Roman" w:hAnsi="Times New Roman"/>
          <w:sz w:val="22"/>
          <w:szCs w:val="22"/>
          <w:b w:val="1"/>
          <w:bCs w:val="1"/>
          <w:i w:val="1"/>
          <w:iCs w:val="1"/>
          <w:color w:val="auto"/>
        </w:rPr>
        <w:t>Siade</w:t>
      </w:r>
      <w:r>
        <w:rPr>
          <w:rFonts w:ascii="Times New Roman" w:cs="Times New Roman" w:eastAsia="Times New Roman" w:hAnsi="Times New Roman"/>
          <w:sz w:val="22"/>
          <w:szCs w:val="22"/>
          <w:color w:val="auto"/>
        </w:rPr>
        <w:t>”), individually, and El Pollo Loco, Inc. (hereinafter known as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El Pollo Loco</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8" w:lineRule="exact"/>
        <w:rPr>
          <w:sz w:val="20"/>
          <w:szCs w:val="20"/>
          <w:color w:val="auto"/>
        </w:rPr>
      </w:pPr>
    </w:p>
    <w:p>
      <w:pPr>
        <w:jc w:val="both"/>
        <w:ind w:firstLine="656"/>
        <w:spacing w:after="0" w:line="260" w:lineRule="auto"/>
        <w:tabs>
          <w:tab w:leader="none" w:pos="150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Siade worked for El Pollo Loco as the Senior Vice President, Operations (“</w:t>
      </w:r>
      <w:r>
        <w:rPr>
          <w:rFonts w:ascii="Times New Roman" w:cs="Times New Roman" w:eastAsia="Times New Roman" w:hAnsi="Times New Roman"/>
          <w:sz w:val="22"/>
          <w:szCs w:val="22"/>
          <w:b w:val="1"/>
          <w:bCs w:val="1"/>
          <w:i w:val="1"/>
          <w:iCs w:val="1"/>
          <w:color w:val="auto"/>
        </w:rPr>
        <w:t>SVP, Operations</w:t>
      </w:r>
      <w:r>
        <w:rPr>
          <w:rFonts w:ascii="Times New Roman" w:cs="Times New Roman" w:eastAsia="Times New Roman" w:hAnsi="Times New Roman"/>
          <w:sz w:val="22"/>
          <w:szCs w:val="22"/>
          <w:color w:val="auto"/>
        </w:rPr>
        <w:t>”) and, as result of the elimination of the SVP, Operations position, on January 22, 2019 it was confirmed that Siade’s employment with the Company will be separated effective February 1, 2019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firstLine="656"/>
        <w:spacing w:after="0" w:line="252" w:lineRule="auto"/>
        <w:tabs>
          <w:tab w:leader="none" w:pos="149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January 22, 2019 this Agreement was provided to Siade and is open for his consideration for twenty-two (22) calendar days </w:t>
      </w:r>
      <w:r>
        <w:rPr>
          <w:rFonts w:ascii="Times New Roman" w:cs="Times New Roman" w:eastAsia="Times New Roman" w:hAnsi="Times New Roman"/>
          <w:sz w:val="22"/>
          <w:szCs w:val="22"/>
          <w:b w:val="1"/>
          <w:bCs w:val="1"/>
          <w:color w:val="auto"/>
        </w:rPr>
        <w:t>until February 13, 2019,</w:t>
      </w:r>
      <w:r>
        <w:rPr>
          <w:rFonts w:ascii="Times New Roman" w:cs="Times New Roman" w:eastAsia="Times New Roman" w:hAnsi="Times New Roman"/>
          <w:sz w:val="22"/>
          <w:szCs w:val="22"/>
          <w:color w:val="auto"/>
        </w:rPr>
        <w:t xml:space="preserve"> and shall become null and void if not executed by Siade by or before that deadline. The </w:t>
      </w:r>
      <w:r>
        <w:rPr>
          <w:rFonts w:ascii="Times New Roman" w:cs="Times New Roman" w:eastAsia="Times New Roman" w:hAnsi="Times New Roman"/>
          <w:sz w:val="22"/>
          <w:szCs w:val="22"/>
          <w:b w:val="1"/>
          <w:bCs w:val="1"/>
          <w:color w:val="auto"/>
        </w:rPr>
        <w:t xml:space="preserve">earliest </w:t>
      </w:r>
      <w:r>
        <w:rPr>
          <w:rFonts w:ascii="Times New Roman" w:cs="Times New Roman" w:eastAsia="Times New Roman" w:hAnsi="Times New Roman"/>
          <w:sz w:val="22"/>
          <w:szCs w:val="22"/>
          <w:color w:val="auto"/>
        </w:rPr>
        <w:t>Siade can sign this Agreement is on</w:t>
      </w:r>
      <w:r>
        <w:rPr>
          <w:rFonts w:ascii="Times New Roman" w:cs="Times New Roman" w:eastAsia="Times New Roman" w:hAnsi="Times New Roman"/>
          <w:sz w:val="22"/>
          <w:szCs w:val="22"/>
          <w:b w:val="1"/>
          <w:bCs w:val="1"/>
          <w:color w:val="auto"/>
        </w:rPr>
        <w:t xml:space="preserve"> February 1, 2019</w:t>
      </w:r>
      <w:r>
        <w:rPr>
          <w:rFonts w:ascii="Times New Roman" w:cs="Times New Roman" w:eastAsia="Times New Roman" w:hAnsi="Times New Roman"/>
          <w:sz w:val="22"/>
          <w:szCs w:val="22"/>
          <w:color w:val="auto"/>
        </w:rPr>
        <w:t>, and the Company’s obligations will not be triggered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signed before the Separation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48" w:lineRule="auto"/>
        <w:tabs>
          <w:tab w:leader="none" w:pos="149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Siade understands and agrees that he has been paid all earned and accrued benefits, wages, expenses, and amounts to which he is entitled at the time of execution of this Agreement. Siade understands the aforementioned payments are not consideration for this Agreement. Siade will also receive any bonus earned under the El Pollo Loco 2018 Incentive Plan (“</w:t>
      </w:r>
      <w:r>
        <w:rPr>
          <w:rFonts w:ascii="Times New Roman" w:cs="Times New Roman" w:eastAsia="Times New Roman" w:hAnsi="Times New Roman"/>
          <w:sz w:val="22"/>
          <w:szCs w:val="22"/>
          <w:b w:val="1"/>
          <w:bCs w:val="1"/>
          <w:i w:val="1"/>
          <w:iCs w:val="1"/>
          <w:color w:val="auto"/>
        </w:rPr>
        <w:t>2018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Bonus Plan</w:t>
      </w:r>
      <w:r>
        <w:rPr>
          <w:rFonts w:ascii="Times New Roman" w:cs="Times New Roman" w:eastAsia="Times New Roman" w:hAnsi="Times New Roman"/>
          <w:sz w:val="22"/>
          <w:szCs w:val="22"/>
          <w:color w:val="auto"/>
        </w:rPr>
        <w:t>”), which is also not consideration for this Agreement and will be paid at the time earned and distributed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to its Support Center employees, consistent with the terms of the 2018 Bonus Plan. Siade understands and acknowledges that he is not entitled to any further compensation or payments, other than what is expressly set forth herein as consideration for his agreement to the terms of this Agreement.</w:t>
      </w:r>
    </w:p>
    <w:p>
      <w:pPr>
        <w:spacing w:after="0" w:line="182" w:lineRule="exact"/>
        <w:rPr>
          <w:rFonts w:ascii="Times New Roman" w:cs="Times New Roman" w:eastAsia="Times New Roman" w:hAnsi="Times New Roman"/>
          <w:sz w:val="22"/>
          <w:szCs w:val="22"/>
          <w:color w:val="auto"/>
        </w:rPr>
      </w:pPr>
    </w:p>
    <w:p>
      <w:pPr>
        <w:jc w:val="both"/>
        <w:ind w:firstLine="656"/>
        <w:spacing w:after="0" w:line="257" w:lineRule="auto"/>
        <w:tabs>
          <w:tab w:leader="none" w:pos="158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Siade also holds stock, shares and/or options, other securities or rights to purchase shares of the Company’s capital stock pursuant to the Company’s Omnibus Equity Incentive Plan and its related plan documents (collectively,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subject to certain vesting requirements and other terms and conditions set forth in the Option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48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way of this Agreement, the Company has elected to offer Siade benefits to which he would not otherwise be entitled. Based upon the foregoing, and in consideration of the mutual promises contained in this Agreement, the El Pollo Loco and Siade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agree the Company will offer consideration to Siade in exchange for his agreement to the terms of their Agreement, as set forth below. Any Company shares of Siade will be governed under the terms of the existing plan agreement for the distribution of those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8" w:lineRule="exact"/>
        <w:rPr>
          <w:sz w:val="20"/>
          <w:szCs w:val="20"/>
          <w:color w:val="auto"/>
        </w:rPr>
      </w:pPr>
    </w:p>
    <w:p>
      <w:pPr>
        <w:jc w:val="both"/>
        <w:ind w:firstLine="656"/>
        <w:spacing w:after="0" w:line="254" w:lineRule="auto"/>
        <w:tabs>
          <w:tab w:leader="none" w:pos="145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of this Agreement shall be the day on which Siade executes this Agreement in accordance with its terms (on or after the Separation Date and before February 13, 2019). The Company’s obligations under this Agreement are not triggered until ten (10) business days after the Effective Date, and on the condition there has been no revocation of the Agreement, including any pursuant to Paragraph 14.</w:t>
      </w:r>
    </w:p>
    <w:p>
      <w:pPr>
        <w:spacing w:after="0" w:line="177" w:lineRule="exact"/>
        <w:rPr>
          <w:rFonts w:ascii="Times New Roman" w:cs="Times New Roman" w:eastAsia="Times New Roman" w:hAnsi="Times New Roman"/>
          <w:sz w:val="22"/>
          <w:szCs w:val="22"/>
          <w:color w:val="auto"/>
        </w:rPr>
      </w:pPr>
    </w:p>
    <w:p>
      <w:pPr>
        <w:jc w:val="both"/>
        <w:ind w:firstLine="656"/>
        <w:spacing w:after="0" w:line="253" w:lineRule="auto"/>
        <w:tabs>
          <w:tab w:leader="none" w:pos="108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Subject to Siade’s compliance with the terms and conditions of this Agreement, El Pollo Loco shall provide to Siade up to a total gross sum of Two-hundred eighty-one thousand eight-hundred seventy-six Dollars ($281,876) less any applicable taxes and withholding under state and federal law (“</w:t>
      </w:r>
      <w:r>
        <w:rPr>
          <w:rFonts w:ascii="Times New Roman" w:cs="Times New Roman" w:eastAsia="Times New Roman" w:hAnsi="Times New Roman"/>
          <w:sz w:val="22"/>
          <w:szCs w:val="22"/>
          <w:b w:val="1"/>
          <w:bCs w:val="1"/>
          <w:i w:val="1"/>
          <w:iCs w:val="1"/>
          <w:color w:val="auto"/>
        </w:rPr>
        <w:t>Consideration</w:t>
      </w:r>
      <w:r>
        <w:rPr>
          <w:rFonts w:ascii="Times New Roman" w:cs="Times New Roman" w:eastAsia="Times New Roman" w:hAnsi="Times New Roman"/>
          <w:sz w:val="22"/>
          <w:szCs w:val="22"/>
          <w:color w:val="auto"/>
        </w:rPr>
        <w:t>”), in consideration for Siade’s agreement to the terms of this Agreement, as specified below and assuming the Agreement is not revoked or breached by Siade. The Consideration shall be issued by way of two (2) Company checks and paid out as follows:</w:t>
      </w:r>
    </w:p>
    <w:p>
      <w:pPr>
        <w:spacing w:after="0" w:line="179" w:lineRule="exact"/>
        <w:rPr>
          <w:rFonts w:ascii="Times New Roman" w:cs="Times New Roman" w:eastAsia="Times New Roman" w:hAnsi="Times New Roman"/>
          <w:sz w:val="22"/>
          <w:szCs w:val="22"/>
          <w:color w:val="auto"/>
        </w:rPr>
      </w:pPr>
    </w:p>
    <w:p>
      <w:pPr>
        <w:jc w:val="both"/>
        <w:ind w:firstLine="1305"/>
        <w:spacing w:after="0" w:line="249" w:lineRule="auto"/>
        <w:tabs>
          <w:tab w:leader="none" w:pos="198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check in the gross amount of One-hundred-forty thousand nine-hundred thirty-eight Dollars ($140,938.00) (“</w:t>
      </w:r>
      <w:r>
        <w:rPr>
          <w:rFonts w:ascii="Times New Roman" w:cs="Times New Roman" w:eastAsia="Times New Roman" w:hAnsi="Times New Roman"/>
          <w:sz w:val="22"/>
          <w:szCs w:val="22"/>
          <w:b w:val="1"/>
          <w:bCs w:val="1"/>
          <w:i w:val="1"/>
          <w:iCs w:val="1"/>
          <w:color w:val="auto"/>
        </w:rPr>
        <w:t>Check One</w:t>
      </w:r>
      <w:r>
        <w:rPr>
          <w:rFonts w:ascii="Times New Roman" w:cs="Times New Roman" w:eastAsia="Times New Roman" w:hAnsi="Times New Roman"/>
          <w:sz w:val="22"/>
          <w:szCs w:val="22"/>
          <w:color w:val="auto"/>
        </w:rPr>
        <w:t>”), less any applicable taxes and withholding (issued along with a Form W-2), made payable to Gus Siade, assuming there has been no breach or revocation of this Agreement in any form (including no revocation pursuant to Paragraph 14) by Siade, and delivered to Siade on or before fifteen (15) business days after El Pollo Loco’s receipt of this original fully executed Agreement and the Effective Date, in accordance with the terms of this Agreement, as full and complete consideration for Siade’s agreement to the terms of this Agreement;</w:t>
      </w:r>
    </w:p>
    <w:p>
      <w:pPr>
        <w:spacing w:after="0" w:line="18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color w:val="auto"/>
        </w:rPr>
        <w:t>____________</w:t>
      </w:r>
    </w:p>
    <w:p>
      <w:pPr>
        <w:sectPr>
          <w:pgSz w:w="11900" w:h="16838" w:orient="portrait"/>
          <w:cols w:equalWidth="0" w:num="1">
            <w:col w:w="11420"/>
          </w:cols>
          <w:pgMar w:left="240" w:top="365" w:right="239"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INITIAL HERE</w:t>
      </w:r>
    </w:p>
    <w:p>
      <w:pPr>
        <w:sectPr>
          <w:pgSz w:w="11900" w:h="16838" w:orient="portrait"/>
          <w:cols w:equalWidth="0" w:num="1">
            <w:col w:w="11420"/>
          </w:cols>
          <w:pgMar w:left="240" w:top="365" w:right="239" w:bottom="0" w:gutter="0" w:footer="0" w:header="0"/>
          <w:type w:val="continuous"/>
        </w:sectPr>
      </w:pPr>
    </w:p>
    <w:bookmarkStart w:id="52" w:name="page53"/>
    <w:bookmarkEnd w:id="52"/>
    <w:p>
      <w:pPr>
        <w:jc w:val="both"/>
        <w:ind w:firstLine="1305"/>
        <w:spacing w:after="0" w:line="247" w:lineRule="auto"/>
        <w:tabs>
          <w:tab w:leader="none" w:pos="192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check in the gross amount of One-hundred forty thousand nine-hundred thirty-eight Dollars ($140,938.00) (“</w:t>
      </w:r>
      <w:r>
        <w:rPr>
          <w:rFonts w:ascii="Times New Roman" w:cs="Times New Roman" w:eastAsia="Times New Roman" w:hAnsi="Times New Roman"/>
          <w:sz w:val="22"/>
          <w:szCs w:val="22"/>
          <w:b w:val="1"/>
          <w:bCs w:val="1"/>
          <w:i w:val="1"/>
          <w:iCs w:val="1"/>
          <w:color w:val="auto"/>
        </w:rPr>
        <w:t>Check Two</w:t>
      </w:r>
      <w:r>
        <w:rPr>
          <w:rFonts w:ascii="Times New Roman" w:cs="Times New Roman" w:eastAsia="Times New Roman" w:hAnsi="Times New Roman"/>
          <w:sz w:val="22"/>
          <w:szCs w:val="22"/>
          <w:color w:val="auto"/>
        </w:rPr>
        <w:t>”), less any applicable taxes and withholding (issued along with a Form W-2), made payable to Gus Siade and delivered to him on or before August 30, 2019, in further consideration for Siade’s agreement to the terms of this Agreement, and on the condition the following has occurred: (1) Siade’s execution of the Final Severance Release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in July of 2019 and ensures its delivery to the Company, to the attention of Edye Austin, Vice President, Legal of the Company by or before July 31, 2019, (2) Siade’s continued compliance with the terms of this Agreement and the Final Severance Release, without revocation; and (3) confirmation that no claim(s) or litigation has been initiated by Siade or anyone acting on his behalf against the Company and the Released Parties.</w:t>
      </w:r>
    </w:p>
    <w:p>
      <w:pPr>
        <w:spacing w:after="0" w:line="18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color w:val="auto"/>
        </w:rPr>
        <w:t>____________</w:t>
      </w:r>
    </w:p>
    <w:p>
      <w:pPr>
        <w:spacing w:after="0" w:line="200" w:lineRule="exact"/>
        <w:rPr>
          <w:sz w:val="20"/>
          <w:szCs w:val="20"/>
          <w:color w:val="auto"/>
        </w:rPr>
      </w:pPr>
    </w:p>
    <w:p>
      <w:pPr>
        <w:spacing w:after="0" w:line="3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INITIAL HERE</w:t>
      </w:r>
    </w:p>
    <w:p>
      <w:pPr>
        <w:spacing w:after="0" w:line="264" w:lineRule="exact"/>
        <w:rPr>
          <w:sz w:val="20"/>
          <w:szCs w:val="20"/>
          <w:color w:val="auto"/>
        </w:rPr>
      </w:pPr>
    </w:p>
    <w:p>
      <w:pPr>
        <w:jc w:val="both"/>
        <w:ind w:firstLine="656"/>
        <w:spacing w:after="0" w:line="255" w:lineRule="auto"/>
        <w:tabs>
          <w:tab w:leader="none" w:pos="112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specified in Paragraph 2 shall be made by Company checks of El Pollo Loco, Inc. Siade also understands Checks One and Two are designated as wages and will be reported by Siade on a Form W-2. Further, Siade acknowledges, understands and agrees that Check One alone is sufficient consideration for his agreement to the terms of this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Agreement, and any subsequent breach of his obligations under this Agreement or the Final Severance Release Agreement relieves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and forever excuses the Company of its obligation to render any further payment to him, including Check Two. ____________</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color w:val="auto"/>
        </w:rPr>
        <w:t>INITIAL HERE</w:t>
      </w:r>
    </w:p>
    <w:p>
      <w:pPr>
        <w:spacing w:after="0" w:line="200" w:lineRule="exact"/>
        <w:rPr>
          <w:sz w:val="20"/>
          <w:szCs w:val="20"/>
          <w:color w:val="auto"/>
        </w:rPr>
      </w:pPr>
    </w:p>
    <w:p>
      <w:pPr>
        <w:spacing w:after="0" w:line="280" w:lineRule="exact"/>
        <w:rPr>
          <w:sz w:val="20"/>
          <w:szCs w:val="20"/>
          <w:color w:val="auto"/>
        </w:rPr>
      </w:pPr>
    </w:p>
    <w:p>
      <w:pPr>
        <w:ind w:right="20" w:firstLine="656"/>
        <w:spacing w:after="0" w:line="284" w:lineRule="auto"/>
        <w:tabs>
          <w:tab w:leader="none" w:pos="101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Each Party shall bear his or its own attorneys’ fees (if any), costs, and any other expenses incurred in connection with the subject matter of this Agreement.</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9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Notwithstanding the tax deductions set forth in Paragraph 2 above, Siade shall pay in full when due, and shall be solely responsible for, any and all federal, state, or local income taxes that are or may be assessed against his or on his behalf relating to the Consideration payments received by Siade pursuant to this Agreement, as well as all interest or penalties that may be owed in connection with such taxes. Siade is not relying on any representations or conduct of El Pollo Loco with respect to the adequacy of the withholdings. Siade further agrees to indemnify and hold harmless El Pollo Loco from any and all claims related to or arising from each of his responsibilities to pay taxes associated with the Consideration or the manner in which payment has been allocated for purposes of this Agreement.</w:t>
      </w:r>
    </w:p>
    <w:p>
      <w:pPr>
        <w:spacing w:after="0" w:line="181"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In consideration for the mutual promises and covenants undertaken herein, Siade does hereby, for himself and for his heirs, attorneys, legal representatives, agents, successors-in-interest and assigns, irrevocably and unconditionally releases and forever discharges El Pollo Loco as well as its parent companies, subsidiaries, affiliates, predecessors, successors or assigns, shareholders, members, partners, officers, attorneys, agents and employees (the “</w:t>
      </w:r>
      <w:r>
        <w:rPr>
          <w:rFonts w:ascii="Times New Roman" w:cs="Times New Roman" w:eastAsia="Times New Roman" w:hAnsi="Times New Roman"/>
          <w:sz w:val="21"/>
          <w:szCs w:val="21"/>
          <w:b w:val="1"/>
          <w:bCs w:val="1"/>
          <w:i w:val="1"/>
          <w:iCs w:val="1"/>
          <w:color w:val="auto"/>
        </w:rPr>
        <w:t>Released Parties</w:t>
      </w:r>
      <w:r>
        <w:rPr>
          <w:rFonts w:ascii="Times New Roman" w:cs="Times New Roman" w:eastAsia="Times New Roman" w:hAnsi="Times New Roman"/>
          <w:sz w:val="21"/>
          <w:szCs w:val="21"/>
          <w:color w:val="auto"/>
        </w:rPr>
        <w:t>”), from any and all causes of action, claims, actions, rights, judgments, obligations, damages, demands, accountings or liabilities of whatever kind and character, which he has or may have against the Released Parties by reason of, or arising out of, touching upon, or concerning Siade’s relationship with El Pollo Loco, or any and all other matters of whatever kind, nature or description, whether known or unknown, occurring prior to the date of execution of this Agreement. This release specifically includes, but is not limited to, any and all claims for breach of contract or implied contract, fraud, breach of fiduciary duty, breach of the covenant of good faith and fair dealing, inducement of breach, intentional or negligent misrepresentation, conspiracy, tortious denial of contract, interference with proprietary interests, failure to pay wages, bonuses, benefits, vacation pay, severance pay or other compensation of any sort, negligence, negligent hiring, retention or supervision, defamation, unlawful efforts to prevent relationship, violation of constitutional rights, discrimination or harassment on the basis of race, color, sex, sexual orientation, national origin, religion, age (including but not limited to claims arising under the Age Discrimination in Employment Act and Older Worker Benefit Protection Act, 29 U.S.C. § 621, et seq.), disability, medical condition or marital status, and/or violation of any statutes, rules, regulations or ordinances, whether federal, state or local, including, but not limited to, Title VII of the Civil Rights Act of 1964, the California Fair Employment and Housing Act, the California Family Rights Act, and qui tam actions pursuant to any federal, state or local statute, rule, regulation or ordinance. Siade has confirmed he has no claims of any kind against the Company, and has not been precluded by this or any other agreement for discussing the facts of a claim of sexual harassment, discrimination or retaliation. Nothing in this Agreement shall preclude Siade from filing a charge with a government agency or cooperating in an investigation conducted by a government agency, including the Department of Fair Employment and Housing, and the Equal Employment Opportunity Commission. However, Siade agrees except with respect to proceedings before the Securities and Exchange Commission, he is waiving his right to any monetary damages or other equitable relief as a result of any such proceedings.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Mistakes in Fact; Voluntary Consent</w:t>
      </w:r>
      <w:r>
        <w:rPr>
          <w:rFonts w:ascii="Times New Roman" w:cs="Times New Roman" w:eastAsia="Times New Roman" w:hAnsi="Times New Roman"/>
          <w:sz w:val="22"/>
          <w:szCs w:val="22"/>
          <w:color w:val="auto"/>
        </w:rPr>
        <w:t>. Siade expressly and knowingly acknowledges that, after the execution of this Agreement, he may discover facts different from or in addition to those that he now knows or believes to be true with respect to the claims released in this Agreement. Nonetheless, this Agreement shall be and remain in full force and effect in all respects,</w:t>
      </w:r>
    </w:p>
    <w:p>
      <w:pPr>
        <w:sectPr>
          <w:pgSz w:w="11900" w:h="16838" w:orient="portrait"/>
          <w:cols w:equalWidth="0" w:num="1">
            <w:col w:w="11420"/>
          </w:cols>
          <w:pgMar w:left="240" w:top="126" w:right="239" w:bottom="0" w:gutter="0" w:footer="0" w:header="0"/>
        </w:sectPr>
      </w:pPr>
    </w:p>
    <w:bookmarkStart w:id="53" w:name="page54"/>
    <w:bookmarkEnd w:id="53"/>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such different or additional facts and Siade intends to fully, finally, and forever settle and release those claims released in this Agreement. In furtherance of such intention, the release given in this Agreement shall be and remain in effect as a full and complete release of such claims, notwithstanding the discovery and existence of any additional or different claims or facts. Similarly, in entering into this Agreement, Siade assumes the risk of misrepresentations, concealments, or mistakes, and if he should subsequently discover that any fact relied upon in entering into this Agreement was untrue, that any fact was concealed, or that her understanding of the facts or law was incorrect, he shall not be entitled to set aside this Agreement or the settlement reflected in this Agreement or be entitled to recover any damages on that account.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Section 1542 of the California Civil Code</w:t>
      </w:r>
      <w:r>
        <w:rPr>
          <w:rFonts w:ascii="Times New Roman" w:cs="Times New Roman" w:eastAsia="Times New Roman" w:hAnsi="Times New Roman"/>
          <w:sz w:val="22"/>
          <w:szCs w:val="22"/>
          <w:color w:val="auto"/>
        </w:rPr>
        <w:t>. Siade expressly waives any and all rights and benefits conferred upon him by Section 1542 of the California Civil Code, which states as follows:</w:t>
      </w:r>
    </w:p>
    <w:p>
      <w:pPr>
        <w:spacing w:after="0" w:line="36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THE RELEASING PARTY DOES NOT KNOW OR SUSPECT TO EXIST IN HIS OR HER FAVOR AT THE TIME OF EXECUTING THE RELEASE, AND THAT, IF KNOWN BY HIM OR HER, WOULD HAVE MATERIALLY AFFECTED HIS OR HER SETTLEMENT WITH THE DEBTOR OR RELEASED PARTY.</w:t>
      </w:r>
    </w:p>
    <w:p>
      <w:pPr>
        <w:spacing w:after="0" w:line="39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Accordingly, Siade knowingly, voluntarily and expressly waives any rights and benefits arising under Section 1542 of the California Civil Code and any other statute or principle of similar effect.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Covenant of Siade</w:t>
      </w:r>
      <w:r>
        <w:rPr>
          <w:rFonts w:ascii="Times New Roman" w:cs="Times New Roman" w:eastAsia="Times New Roman" w:hAnsi="Times New Roman"/>
          <w:sz w:val="22"/>
          <w:szCs w:val="22"/>
          <w:color w:val="auto"/>
        </w:rPr>
        <w:t>. Siade represents and covenants he has not revealed to anyone any trade secrets or confidential or proprietary information of the Company or Released Parties, not otherwise available to the public. The Parties understand and agree that notwithstanding the provisions of this Agreement, Siade will remain bound by the confidentiality provisions of this Agreement, as specified in Paragraph 7, below, with respect to non-public information gained by him during his employment.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No Lawsuits</w:t>
      </w:r>
      <w:r>
        <w:rPr>
          <w:rFonts w:ascii="Times New Roman" w:cs="Times New Roman" w:eastAsia="Times New Roman" w:hAnsi="Times New Roman"/>
          <w:sz w:val="22"/>
          <w:szCs w:val="22"/>
          <w:color w:val="auto"/>
        </w:rPr>
        <w:t>. Siade confirms he has filed no lawsuit and no charge against the Released Parties, including any charge with any government agency including but not limited to the EEOC or the DFEH, related to his employment. Siade further confirms that he has no such claims nor has he notified the Company of any such claims. In the event that any claim released herein is at any time in the future prosecuted by Siade, or by any person, entity or administrative agency on behalf of Siade, Siade shall pay any amounts to the Company received by him as a result of such future prosecution of any claims released herein.</w:t>
      </w:r>
    </w:p>
    <w:p>
      <w:pPr>
        <w:spacing w:after="0" w:line="17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2"/>
          <w:szCs w:val="22"/>
          <w:color w:val="auto"/>
        </w:rPr>
        <w:t>___________</w:t>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INITIAL HERE</w:t>
      </w:r>
    </w:p>
    <w:p>
      <w:pPr>
        <w:spacing w:after="0" w:line="200" w:lineRule="exact"/>
        <w:rPr>
          <w:sz w:val="20"/>
          <w:szCs w:val="20"/>
          <w:color w:val="auto"/>
        </w:rPr>
      </w:pPr>
    </w:p>
    <w:p>
      <w:pPr>
        <w:spacing w:after="0" w:line="319" w:lineRule="exact"/>
        <w:rPr>
          <w:sz w:val="20"/>
          <w:szCs w:val="20"/>
          <w:color w:val="auto"/>
        </w:rPr>
      </w:pPr>
    </w:p>
    <w:p>
      <w:pPr>
        <w:jc w:val="both"/>
        <w:ind w:firstLine="656"/>
        <w:spacing w:after="0" w:line="245" w:lineRule="auto"/>
        <w:tabs>
          <w:tab w:leader="none" w:pos="10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Siade agrees he will not disclose to others (i) the fact or terms of this Agreement, (ii) the amounts referenced in this Agreement, or (iii) the fact of the payment of these amounts, except that he may disclose such facts to his spouse, attorneys, accountants, insurers or other professional advisors to whom the disclosure is necessary to effect the purpose for which the professional has been consulted, provided that they each agree to be bound by this confidentiality provision. Nothing contained in this paragraph shall preclude Siade from revealing or describing his employment with the Company to prospective employers; provided however, such disclosure shall not violated Paragraph 10, and not disparage the Company. The confidentiality obligations contained in this paragraph shall be in addition to any other confidentiality agreements between the Company and Siade. Notwithstanding the foregoing, nothing in this Agreement shall be construed as precluding disclosure required and compelled by law. In the event Siade is required and compelled by law to disclose any such matters, he will first give fifteen (15) days advance written notice (or, in the event that it is not possible to provide fifteen (15) days written notice, as much written notice as is possible under the circumstances) to the Company so that the Company may present and preserve any objections that it may have to such disclosure and/or seek an appropriate protective order. </w:t>
      </w:r>
      <w:r>
        <w:rPr>
          <w:rFonts w:ascii="Times New Roman" w:cs="Times New Roman" w:eastAsia="Times New Roman" w:hAnsi="Times New Roman"/>
          <w:sz w:val="22"/>
          <w:szCs w:val="22"/>
          <w:b w:val="1"/>
          <w:bCs w:val="1"/>
          <w:color w:val="auto"/>
        </w:rPr>
        <w:t>The Parties acknowledge and agree this Paragraph 7 is a 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inducement to the Parties entering into this Agreement, and further acknowledge and agree that any breach of this Paragraph by Siade, Siade’s representatives, and/or Siade’s family members, shall be subject to a claim for damages or equitable relief (or both). The Parties acknowledge and agree that any such disclosure of the facts or terms of this Agreement shall be subject to a claim for damages including but not limited to liquidated damages in a sum equal to $1,000 per violation and/or injunctive relief.</w:t>
      </w: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Written notices pursuant to this Agreement shall be directed as follows:</w:t>
      </w:r>
    </w:p>
    <w:p>
      <w:pPr>
        <w:spacing w:after="0" w:line="200" w:lineRule="exact"/>
        <w:rPr>
          <w:sz w:val="20"/>
          <w:szCs w:val="20"/>
          <w:color w:val="auto"/>
        </w:rPr>
      </w:pP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If to El Pollo Loco:</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Edye Austin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El Pollo Loco,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3535 Harbor Blvd., Suite 100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Costa Mesa, CA 92626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No.: (714) 599-5593</w:t>
      </w:r>
    </w:p>
    <w:p>
      <w:pPr>
        <w:sectPr>
          <w:pgSz w:w="11900" w:h="16838" w:orient="portrait"/>
          <w:cols w:equalWidth="0" w:num="1">
            <w:col w:w="11420"/>
          </w:cols>
          <w:pgMar w:left="240" w:top="126" w:right="239" w:bottom="0" w:gutter="0" w:footer="0" w:header="0"/>
        </w:sectPr>
      </w:pPr>
    </w:p>
    <w:bookmarkStart w:id="54" w:name="page55"/>
    <w:bookmarkEnd w:id="54"/>
    <w:p>
      <w:pPr>
        <w:ind w:left="644"/>
        <w:spacing w:after="0"/>
        <w:rPr>
          <w:sz w:val="20"/>
          <w:szCs w:val="20"/>
          <w:color w:val="auto"/>
        </w:rPr>
      </w:pPr>
      <w:r>
        <w:rPr>
          <w:rFonts w:ascii="Times New Roman" w:cs="Times New Roman" w:eastAsia="Times New Roman" w:hAnsi="Times New Roman"/>
          <w:sz w:val="22"/>
          <w:szCs w:val="22"/>
          <w:i w:val="1"/>
          <w:iCs w:val="1"/>
          <w:color w:val="auto"/>
        </w:rPr>
        <w:t>If to Siade</w:t>
      </w:r>
    </w:p>
    <w:p>
      <w:pPr>
        <w:spacing w:after="0" w:line="22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Gus Siade</w:t>
      </w:r>
    </w:p>
    <w:p>
      <w:pPr>
        <w:spacing w:after="0" w:line="2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26183 Quartz Mesa Lane</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Valencia, CA 91381</w:t>
      </w:r>
    </w:p>
    <w:p>
      <w:pPr>
        <w:spacing w:after="0" w:line="236" w:lineRule="exact"/>
        <w:rPr>
          <w:sz w:val="20"/>
          <w:szCs w:val="20"/>
          <w:color w:val="auto"/>
        </w:rPr>
      </w:pPr>
    </w:p>
    <w:p>
      <w:pPr>
        <w:jc w:val="both"/>
        <w:ind w:left="-656" w:firstLine="656"/>
        <w:spacing w:after="0" w:line="250" w:lineRule="auto"/>
        <w:tabs>
          <w:tab w:leader="none" w:pos="38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Siade agrees that he will assist the Company in defending or prosecuting any claim which arose or may arise or continue after Siade’s employment ends. Such assistance shall include, but not be limited to Siade being reasonably available as a witness for the Company regardless of the location of the deposition, arbitration or trial, being reasonably available to be prepared for testimony, and providing the Company and its counsel with information, documents or other material within Siade’s knowledge related to Siade’s employment or pertinent to the claim. The Company agrees to reimburse Siade for reasonable out-of-pocket expenses only (including travel) actually incurred by Siade in providing assistance at Siade’s request pursuant to this provision.</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44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Siade agrees that he will not knowingly disparage the Company, the Released Parties, or any past or present (as of the time any statement is made) officer, director or employee of the Company, or otherwise make statements whether or not such statements are thought to be (or are) true with respect to the Company’s business or human resources practices, policies and procedures, and whether or not such statements are made publicly, privately, subject to confidentiality obligations, or otherwise, which could tend to harm or injure the personal or business reputation, or business, of the Released Parties, and whether or not such statements are made to any present employee, officer or director of the Company or Released Parties or to someone outside of the Company. This Paragraph 10 does not apply to Siade’s statements to his attorneys or physicians or to any statements required by law.</w:t>
      </w:r>
    </w:p>
    <w:p>
      <w:pPr>
        <w:spacing w:after="0" w:line="182"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46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Neutral Reference</w:t>
      </w:r>
      <w:r>
        <w:rPr>
          <w:rFonts w:ascii="Times New Roman" w:cs="Times New Roman" w:eastAsia="Times New Roman" w:hAnsi="Times New Roman"/>
          <w:sz w:val="22"/>
          <w:szCs w:val="22"/>
          <w:color w:val="auto"/>
        </w:rPr>
        <w:t>. All reference requests for Siade should be directed to the Work Number l-800-996-7566. Inquiries may also be referred to the Work Number’s website, www.worknumber.com. The Company acknowledges and agrees that for all references directed to the Work Number, it will limit information to Siade’s prospective employers to the fact that Siade was employed by the Company, the dates of his employment, the last job title and position Siade held.</w:t>
      </w:r>
    </w:p>
    <w:p>
      <w:pPr>
        <w:spacing w:after="0" w:line="172"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El Pollo Loco Documents</w:t>
      </w:r>
      <w:r>
        <w:rPr>
          <w:rFonts w:ascii="Times New Roman" w:cs="Times New Roman" w:eastAsia="Times New Roman" w:hAnsi="Times New Roman"/>
          <w:sz w:val="22"/>
          <w:szCs w:val="22"/>
          <w:color w:val="auto"/>
        </w:rPr>
        <w:t>. Siade represents and warrants he does not possess any documents or materials belonging to the Company and he will deliver to the Company all originals and copies in his possession, custody or control, all documents and materials, of whatever nature, belonging to El Pollo Loco, its products and/or its services, and/or Siade’s employment with the Company, no later than two (2) days after the Effective Date. Excluded from this production will be Siade’s personnel files and pay records.</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53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ADEA Waiver</w:t>
      </w:r>
      <w:r>
        <w:rPr>
          <w:rFonts w:ascii="Times New Roman" w:cs="Times New Roman" w:eastAsia="Times New Roman" w:hAnsi="Times New Roman"/>
          <w:sz w:val="22"/>
          <w:szCs w:val="22"/>
          <w:color w:val="auto"/>
        </w:rPr>
        <w:t>. Siade specifically agrees and acknowledges that: (a) his waiver of rights under this Agreement is knowing and voluntary as required under the Age Discrimination in Employment Act, 29 U.S.C. § 621 et. seq. and the Older Workers Benefit Protection Act; (b) he understands the terms of this Agreement; (c) El Pollo Loco advises Siade to consult with an attorney prior to executing this Agreement; (d) the Company has given him a period of up to twenty-one (21) days within which to consider this Agreement; (e) following his execution of this Agreement, he has seven (7) days in which to revoke his agreement to this Agreement as specified in Paragraph 14 and that, if he chooses not to so revoke, the Agreement shall then become effective and enforceable and the payment and extension of benefits listed above shall then be made to him in accordance with the terms of this Agreement; and (f) nothing in this Agreement shall be construed to prohibit him from filing a charge or complaint, including a challenge to the validity of the waiver provision of this Agreement, with a government agency or participating in any investigation conducted a government agency. However, Siade agrees, except with respect to any proceedings before the Securities and Exchange Commission, he is waiving the right to monetary damages or other equitable or monetary relief as a result of such proceedings.</w:t>
      </w:r>
    </w:p>
    <w:p>
      <w:pPr>
        <w:spacing w:after="0" w:line="184"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53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Siade may revoke this Agreement and his release of claims, insofar as it extends to potential claims under the Age Discrimination in Employment Act, by informing El Pollo Loco of his intent to revoke his release within seven (7) calendar days following his execution of this Agreement. Siade understands that any such revocation must be in writing and delivered by hand or by certified mail - return receipt requested - within the applicable period to Edye Austin, 3535 Harbor Blvd., Suite 100, Costa Mesa, CA 92626. Siade understands that if Siade exercises his right to revoke, then El Pollo Loco will have no obligations under this Agreement to Siade or to others whose rights derive from him. The Agreement shall not become effective or enforceable, until the seven (7) day revocation period identified above has expired and in accordance with the Effective Date set forth herein. The terms of this Agreement shall be open for acceptance by Siade for a period of twenty-one (21) calendar days, and Siade understands that he should, and El Pollo Loco hereby advises him to, consult with legal counsel regarding the releases contained herein and to consider whether to accept El Pollo Loco’s offer and sign the Agreement. In the event Siade revokes this Agreement pursuant to this Paragraph 14, any such revocation is limited to any claim under the ADEA and this Agreement is otherwise enforceable in exchange for consideration of One Hundred Dollars ($100).</w:t>
      </w:r>
    </w:p>
    <w:p>
      <w:pPr>
        <w:spacing w:after="0" w:line="184"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Future Employment with El Pollo Loco</w:t>
      </w:r>
      <w:r>
        <w:rPr>
          <w:rFonts w:ascii="Times New Roman" w:cs="Times New Roman" w:eastAsia="Times New Roman" w:hAnsi="Times New Roman"/>
          <w:sz w:val="22"/>
          <w:szCs w:val="22"/>
          <w:color w:val="auto"/>
        </w:rPr>
        <w:t>. Except as otherwise set forth herein, El Pollo Loco and Siade mutually agree that Siade will not in the future knowingly apply, or be considered, for employment with El Pollo Loco or any of El Pollo Loco’s current or future parents, or subsidiaries.</w:t>
      </w:r>
    </w:p>
    <w:p>
      <w:pPr>
        <w:sectPr>
          <w:pgSz w:w="11900" w:h="16838" w:orient="portrait"/>
          <w:cols w:equalWidth="0" w:num="1">
            <w:col w:w="10764"/>
          </w:cols>
          <w:pgMar w:left="896" w:top="338" w:right="239" w:bottom="0" w:gutter="0" w:footer="0" w:header="0"/>
        </w:sectPr>
      </w:pPr>
    </w:p>
    <w:bookmarkStart w:id="55" w:name="page56"/>
    <w:bookmarkEnd w:id="55"/>
    <w:p>
      <w:pPr>
        <w:jc w:val="both"/>
        <w:ind w:firstLine="656"/>
        <w:spacing w:after="0" w:line="257" w:lineRule="auto"/>
        <w:tabs>
          <w:tab w:leader="none" w:pos="10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Attorneys’ Fees</w:t>
      </w:r>
      <w:r>
        <w:rPr>
          <w:rFonts w:ascii="Times New Roman" w:cs="Times New Roman" w:eastAsia="Times New Roman" w:hAnsi="Times New Roman"/>
          <w:sz w:val="22"/>
          <w:szCs w:val="22"/>
          <w:color w:val="auto"/>
        </w:rPr>
        <w:t>. Without in any way limiting the generality of the foregoing, in the event that any action, suit, or other proceeding is instituted to enforce or interpret this Agreement, or to remedy, prevent or obtain relief from a breach of this Agreement, the prevailing party shall recover all of such party’s costs and fees (including but not limited to attorneys’ fees) incurred in each and every such action, suit, or other proceeding.</w:t>
      </w:r>
    </w:p>
    <w:p>
      <w:pPr>
        <w:spacing w:after="0" w:line="172"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Terms</w:t>
      </w:r>
      <w:r>
        <w:rPr>
          <w:rFonts w:ascii="Times New Roman" w:cs="Times New Roman" w:eastAsia="Times New Roman" w:hAnsi="Times New Roman"/>
          <w:sz w:val="22"/>
          <w:szCs w:val="22"/>
          <w:color w:val="auto"/>
        </w:rPr>
        <w:t>. Each of the Parties to this Agreement further represents, warrants, and agrees as follows: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Independent Advice from Counsel</w:t>
      </w:r>
      <w:r>
        <w:rPr>
          <w:rFonts w:ascii="Times New Roman" w:cs="Times New Roman" w:eastAsia="Times New Roman" w:hAnsi="Times New Roman"/>
          <w:sz w:val="22"/>
          <w:szCs w:val="22"/>
          <w:color w:val="auto"/>
        </w:rPr>
        <w:t>. Each of the Parties has had opportunity to receive independent legal advice from legal counsel of such party’s choice prior to executing this Agreement. The terms of this Agreement are contractual, not a mere recital, and are the result of negotiations between the Parties, and no party shall be deemed the drafter of this Agreement.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Non-Reliance on Other Parties</w:t>
      </w:r>
      <w:r>
        <w:rPr>
          <w:rFonts w:ascii="Times New Roman" w:cs="Times New Roman" w:eastAsia="Times New Roman" w:hAnsi="Times New Roman"/>
          <w:sz w:val="22"/>
          <w:szCs w:val="22"/>
          <w:color w:val="auto"/>
        </w:rPr>
        <w:t>. Except for statements expressly set forth in this Agreement and the Consulting Agreement, no party has made any statement or representation to any other party regarding a fact relied on by the other party in entering into this Agreement, and no party has relied on any statement, representation, or promise of any other party, or of any representative or attorney for any other party, in executing this Agreement or in making the settlement provided for in this Agreement.</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u w:val="single" w:color="auto"/>
          <w:color w:val="auto"/>
        </w:rPr>
        <w:t>Negotiated Agreement</w:t>
      </w:r>
      <w:r>
        <w:rPr>
          <w:rFonts w:ascii="Times New Roman" w:cs="Times New Roman" w:eastAsia="Times New Roman" w:hAnsi="Times New Roman"/>
          <w:sz w:val="22"/>
          <w:szCs w:val="22"/>
          <w:color w:val="auto"/>
        </w:rPr>
        <w:t>. The terms of this Agreement are contractual, not a mere recital, and are the result of negotiations between the Parties. Accordingly, no party shall be deemed the drafter of this Agreement.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of this Agreement should be held to be void, voidable, unlawful, or for any other reason unenforceable, the Parties hereto shall mutually agree upon a new provision to replace the provision held void, voidable, unlawful or unenforceable. In the event that it is not possible as a matter of law to replace any such provision, the remaining provisions or portions of this Agreement shall remain in full force and effect.</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 modification of this Agreement, shall be binding upon any party to this Agreement unless made in writing and signed by such party or by a duly authorized officer or agent of such party.</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u w:val="single" w:color="auto"/>
          <w:color w:val="auto"/>
        </w:rPr>
        <w:t>Accord and Satisfaction</w:t>
      </w:r>
      <w:r>
        <w:rPr>
          <w:rFonts w:ascii="Times New Roman" w:cs="Times New Roman" w:eastAsia="Times New Roman" w:hAnsi="Times New Roman"/>
          <w:sz w:val="22"/>
          <w:szCs w:val="22"/>
          <w:color w:val="auto"/>
        </w:rPr>
        <w:t>. In entering into this Agreement and the consideration provided for in this Agreement, the Parties recognize that no facts or representations are ever absolutely certain. Except for the Consulting Agreement between the Parties, this Agreement is intended to be final and binding between the Parties hereto, and is further intended to be effective as a full and final accord and satisfaction between them.</w:t>
      </w:r>
    </w:p>
    <w:p>
      <w:pPr>
        <w:spacing w:after="0" w:line="17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inure to the benefit of and shall be binding upon the heirs, successors and assigns of the Parties hereto and each of them.</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u w:val="single" w:color="auto"/>
          <w:color w:val="auto"/>
        </w:rPr>
        <w:t>Applicable Law; Venue</w:t>
      </w:r>
      <w:r>
        <w:rPr>
          <w:rFonts w:ascii="Times New Roman" w:cs="Times New Roman" w:eastAsia="Times New Roman" w:hAnsi="Times New Roman"/>
          <w:sz w:val="22"/>
          <w:szCs w:val="22"/>
          <w:color w:val="auto"/>
        </w:rPr>
        <w:t>. This Agreement shall be construed in accordance with, and governed by, the laws of the State of California without taking into account conflict of law principles. Any action to enforce, interpret or evade the terms of this Agreement shall be exclusively brought in the United States District Court, for Central District Court of California.</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a single, integrated written contract expressing the entire Agreement of the Parties concerning the subject matter referred to in this Agreement. No covenants, agreements, representations, or warranties of any kind whatsoever, whether express or implied in law or fact, have been made by any party to this Agreement, except as specifically set forth in this Agreement. All prior and contemporaneous discussions, negotiations, and agreements have been and are merged and integrated into, and are superseded by, this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u w:val="single" w:color="auto"/>
          <w:color w:val="auto"/>
        </w:rPr>
        <w:t>No Transfer/Assignment of Claims</w:t>
      </w:r>
      <w:r>
        <w:rPr>
          <w:rFonts w:ascii="Times New Roman" w:cs="Times New Roman" w:eastAsia="Times New Roman" w:hAnsi="Times New Roman"/>
          <w:sz w:val="22"/>
          <w:szCs w:val="22"/>
          <w:color w:val="auto"/>
        </w:rPr>
        <w:t>. Siade warrants and represents that he has not assigned or transferred or purported to assign or transfer to any person or entity all or any part of or any interest in any claim released under this Agreement. Siade agrees that he is solely responsible for the satisfaction of any assignment or lien to any lien holder.</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u w:val="single" w:color="auto"/>
          <w:color w:val="auto"/>
        </w:rPr>
        <w:t>Knowing and Voluntary Agreement</w:t>
      </w:r>
      <w:r>
        <w:rPr>
          <w:rFonts w:ascii="Times New Roman" w:cs="Times New Roman" w:eastAsia="Times New Roman" w:hAnsi="Times New Roman"/>
          <w:sz w:val="22"/>
          <w:szCs w:val="22"/>
          <w:color w:val="auto"/>
        </w:rPr>
        <w:t>. Each Party acknowledges that he or it is entering into this Agreement knowingly and voluntarily after having had an opportunity to negotiate with regard to the terms of this Agreement, to receive advice with regard to it, to carefully read and consider its terms, and to make such investigation of the facts pertaining to the settlement and this Agreement and of all matters pertaining to this Agreement as such party deems necessary or desirable.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and delivered in any number of counterparts or copies (“</w:t>
      </w:r>
      <w:r>
        <w:rPr>
          <w:rFonts w:ascii="Times New Roman" w:cs="Times New Roman" w:eastAsia="Times New Roman" w:hAnsi="Times New Roman"/>
          <w:sz w:val="22"/>
          <w:szCs w:val="22"/>
          <w:b w:val="1"/>
          <w:bCs w:val="1"/>
          <w:i w:val="1"/>
          <w:iCs w:val="1"/>
          <w:color w:val="auto"/>
        </w:rPr>
        <w:t>counterpart</w:t>
      </w:r>
      <w:r>
        <w:rPr>
          <w:rFonts w:ascii="Times New Roman" w:cs="Times New Roman" w:eastAsia="Times New Roman" w:hAnsi="Times New Roman"/>
          <w:sz w:val="22"/>
          <w:szCs w:val="22"/>
          <w:color w:val="auto"/>
        </w:rPr>
        <w:t>”) by the Parties to this Agreement. When each party has signed and delivered at least one counterpart to the other party to this Agreement, each counterpart shall be deemed an original and, taken together, shall constitute one and the same Agreement, which shall be binding and effective as to the Parties to this Agreement.</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SIADE ACKNOWLEDGES AND AGREES THAT HE HAS CAREFULLY READ AND VOLUNTARILY SIGNED THIS AGREEMENT, THAT HE WAS PROVIDED OPPORTUNITY TO REVIEW THIS AGREEMENT FOR AT LEAST 21-DAYS AND AN OPPORTUNITY TO CONSULT WITH AN ATTORNEY OF HIS CHOICE, AND THAT SIADE SIGNS THIS AGREEMENT WITH THE INTENT OF RELEASING EL POLLO LOCO AND THE RELEASED PARTIES FROM ANY AND ALL CLAIMS.</w:t>
      </w:r>
    </w:p>
    <w:p>
      <w:pPr>
        <w:sectPr>
          <w:pgSz w:w="11900" w:h="16838" w:orient="portrait"/>
          <w:cols w:equalWidth="0" w:num="1">
            <w:col w:w="11420"/>
          </w:cols>
          <w:pgMar w:left="240" w:top="126" w:right="239" w:bottom="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approved and executed this Agreement on the dates specified below.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AGREEING PARTIES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__,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-13970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Gus Siade</w:t>
      </w:r>
    </w:p>
    <w:p>
      <w:pPr>
        <w:spacing w:after="0" w:line="200" w:lineRule="exact"/>
        <w:rPr>
          <w:sz w:val="20"/>
          <w:szCs w:val="20"/>
          <w:color w:val="auto"/>
        </w:rPr>
      </w:pPr>
    </w:p>
    <w:p>
      <w:pPr>
        <w:spacing w:after="0" w:line="212"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2"/>
          <w:szCs w:val="22"/>
          <w:color w:val="auto"/>
        </w:rPr>
        <w:t>Dated: February __, 2019</w:t>
      </w:r>
      <w:r>
        <w:rPr>
          <w:sz w:val="20"/>
          <w:szCs w:val="20"/>
          <w:color w:val="auto"/>
        </w:rPr>
        <w:tab/>
      </w:r>
      <w:r>
        <w:rPr>
          <w:rFonts w:ascii="Times New Roman" w:cs="Times New Roman" w:eastAsia="Times New Roman" w:hAnsi="Times New Roman"/>
          <w:sz w:val="21"/>
          <w:szCs w:val="21"/>
          <w:color w:val="auto"/>
        </w:rPr>
        <w:t>EL POLLO LOCO, INC.</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-13970</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-29210</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-29210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FINAL SEVERANCE RELEASE</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THIS FINAL SEVERANCE RELEASE SHALL BE VALID ONLY IF EXECUTED BY SIADE IN JULY OF 2019 AND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DELIVERED TO THE COMPANY BY OR BEFORE JULY 31, 2019, WITHOUT REVOCATION.</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By executing this this Final Severance Release (“</w:t>
      </w:r>
      <w:r>
        <w:rPr>
          <w:rFonts w:ascii="Times New Roman" w:cs="Times New Roman" w:eastAsia="Times New Roman" w:hAnsi="Times New Roman"/>
          <w:sz w:val="22"/>
          <w:szCs w:val="22"/>
          <w:b w:val="1"/>
          <w:bCs w:val="1"/>
          <w:i w:val="1"/>
          <w:iCs w:val="1"/>
          <w:color w:val="auto"/>
        </w:rPr>
        <w:t>Final Release</w:t>
      </w:r>
      <w:r>
        <w:rPr>
          <w:rFonts w:ascii="Times New Roman" w:cs="Times New Roman" w:eastAsia="Times New Roman" w:hAnsi="Times New Roman"/>
          <w:sz w:val="22"/>
          <w:szCs w:val="22"/>
          <w:color w:val="auto"/>
        </w:rPr>
        <w:t>”) I reaffirm the representations, release of all claims waiver of known and unknown claims, including but not limited to the general release of all claims against the Company and Company Parties arising out of payment of my incentive compensation under the 2018 Bonus Plan or any other issues arising after my Separation Date, in exchange for Check Two which is being provided as additional consideration for this Final Release and my continued compliance with my Confidential Separation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which I previously executed. I confirm that I continue to comply with the terms of that Agreement. This Final Release does not in any way impact my existing contractual obligations under that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Rather, this Final Release confirms my agreement to further release the Company of any and all claims arising after my Separation Date, including payment of any incentive compensation under the 2018 Bonus Plan. Specifically, I acknowledge that consistent with and subject to Paragraph 6 of the Agreement, here in this Final Release I hereby release El Pollo Loco for any claims arising after my Separation Date and in consideration for the promises made herein, and Check Two to be provided by the Company, I irrevocably and unconditionally releases and forever discharges El Pollo Loco as well as its parent companies, subsidiaries, affiliates, predecessors, successors or assigns, shareholders, members, partners, officers, attorneys, agents and employees (the “</w:t>
      </w:r>
      <w:r>
        <w:rPr>
          <w:rFonts w:ascii="Times New Roman" w:cs="Times New Roman" w:eastAsia="Times New Roman" w:hAnsi="Times New Roman"/>
          <w:sz w:val="21"/>
          <w:szCs w:val="21"/>
          <w:b w:val="1"/>
          <w:bCs w:val="1"/>
          <w:i w:val="1"/>
          <w:iCs w:val="1"/>
          <w:color w:val="auto"/>
        </w:rPr>
        <w:t>Released Parties</w:t>
      </w:r>
      <w:r>
        <w:rPr>
          <w:rFonts w:ascii="Times New Roman" w:cs="Times New Roman" w:eastAsia="Times New Roman" w:hAnsi="Times New Roman"/>
          <w:sz w:val="21"/>
          <w:szCs w:val="21"/>
          <w:color w:val="auto"/>
        </w:rPr>
        <w:t>”), from any and all causes of action, claims, actions, rights, judgments, obligations, damages, demands, accountings or liabilities of whatever kind and character, which he has or may have against the Released Parties by reason of, or arising out of, touching upon, or concerning my relationship with El Pollo Loco, or any and all other matters of whatever kind, nature or description, whether known or unknown, occurring prior to the date of execution of this Final Release and the Agreement. This release specifically includes, but is not limited to, any and all claims for breach of contract or implied contract, fraud, breach of fiduciary duty, breach of the covenant of good faith and fair dealing, inducement of breach, intentional or negligent misrepresentation, conspiracy, tortious denial of contract, interference with proprietary interests, failure to pay payments of any kind, or other compensation of any sort, negligence, negligent hiring, retention or supervision, defamation, unlawful efforts to prevent relationship, violation of constitutional rights, discrimination or harassment on the basis of race, color, sex, sexual orientation, national origin, religion, age (including but not limited to claims arising under the Age Discrimination in Employment Act and Older Worker Benefit Protection Act, 29 U.S.C. § 621, et seq.), disability, medical condition or marital status, and/or violation of any statutes, rules, regulations or ordinances, whether federal, state or local, including, but not limited to, Title VII of the Civil Rights Act of 1964, the California Fair Employment and Housing Act, the California Family Rights Act, and qui tam actions pursuant to any federal, state or local statute, rule, regulation or ordinance. I understand that nothing in this Final Release and the Agreement shall preclude me from filing a charge with a government agency or cooperating in an investigation conducted by a government agency, including the Department of Fair Employment and Housing, and the Equal Employment Opportunity Commission. However, I agree except with respect to proceedings before the Securities and Exchange Commission, I am waiving my right to any monetary damages or other equitable relief as a result of any such proceedings. I also confirm I have not filed any lawsuit or charge against the Company or Released Parties, and I further confirm that I have no such claims.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limiting the generality of the above, I specifically acknowledge and agree that all rights under Section 1542 of the California Civil Code are expressly waived, and any rights of similar effect under any other state or common law are equally waived. That section provides:</w:t>
      </w:r>
    </w:p>
    <w:p>
      <w:pPr>
        <w:spacing w:after="0" w:line="200" w:lineRule="exact"/>
        <w:rPr>
          <w:sz w:val="20"/>
          <w:szCs w:val="20"/>
          <w:color w:val="auto"/>
        </w:rPr>
      </w:pPr>
    </w:p>
    <w:p>
      <w:pPr>
        <w:spacing w:after="0" w:line="216"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THE RELEASING PARTY DOES NOT KNOW OR SUSPECT TO EXIST IN HIS OR HER FAVOR AT THE TIME OF EXECUTING THE</w:t>
      </w:r>
    </w:p>
    <w:p>
      <w:pPr>
        <w:sectPr>
          <w:pgSz w:w="11900" w:h="16838" w:orient="portrait"/>
          <w:cols w:equalWidth="0" w:num="1">
            <w:col w:w="11420"/>
          </w:cols>
          <w:pgMar w:left="240" w:top="122" w:right="239" w:bottom="0" w:gutter="0" w:footer="0" w:header="0"/>
        </w:sectPr>
      </w:pPr>
    </w:p>
    <w:bookmarkStart w:id="57" w:name="page58"/>
    <w:bookmarkEnd w:id="57"/>
    <w:p>
      <w:pPr>
        <w:ind w:left="660" w:right="20"/>
        <w:spacing w:after="0" w:line="271" w:lineRule="auto"/>
        <w:rPr>
          <w:sz w:val="20"/>
          <w:szCs w:val="20"/>
          <w:color w:val="auto"/>
        </w:rPr>
      </w:pPr>
      <w:r>
        <w:rPr>
          <w:rFonts w:ascii="Times New Roman" w:cs="Times New Roman" w:eastAsia="Times New Roman" w:hAnsi="Times New Roman"/>
          <w:sz w:val="22"/>
          <w:szCs w:val="22"/>
          <w:color w:val="auto"/>
        </w:rPr>
        <w:t>RELEASE, AND THAT, IF KNOWN BY HIM OR HER, WOULD HAVE MATERIALLY AFFECTED HIS OR HER SETTLEMENT WITH THE DEBTOR OR RELEASED PARTY.</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 further understand and acknowledge that pursuant to Paragraphs 13 and 14 of the Agreement, here for this Final Release I again specifically agree and acknowledge that: (a) my waiver of rights under this Final Release is knowing and voluntary as required under the Age Discrimination in Employment Act, 29 U.S.C. § 621 et. seq. and the Older Workers Benefit Protection Act;</w:t>
      </w:r>
    </w:p>
    <w:p>
      <w:pPr>
        <w:spacing w:after="0" w:line="3" w:lineRule="exact"/>
        <w:rPr>
          <w:sz w:val="20"/>
          <w:szCs w:val="20"/>
          <w:color w:val="auto"/>
        </w:rPr>
      </w:pPr>
    </w:p>
    <w:p>
      <w:pPr>
        <w:jc w:val="both"/>
        <w:ind w:firstLine="8"/>
        <w:spacing w:after="0" w:line="256" w:lineRule="auto"/>
        <w:tabs>
          <w:tab w:leader="none" w:pos="32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understand the terms of this Final Release; (c) the Company advised me to consult with an attorney prior to executing this Final Release; (d) the Company has given me a period of up to twenty-one (21) days within which to consider this Agreement; (e) following my execution of this Final Release, I have seven (7) days in which to revoke my agreement to this Agreement as specified in Paragraph 14 and that, if I choose not to so revoke, the Final Release shall then become effective and enforceable and the payment and extension of benefits listed above shall then be made to me in accordance with the terms of this Final Release and Agreement; and (f) nothing in this Agreement shall be construed to prohibit me from filing a charge or complaint, including a challenge to the validity of the waiver provision of this Agreement, with a government agency or participating in any investigation conducted a government agency. However, I agree, except with respect to any proceedings before the Securities and Exchange Commission, I am waiving the right to monetary damages or other equitable or monetary relief as a result of such proceedings. As specified in Paragraph 14 of the Agreement, I may revoke my release of claims, insofar as it extends to potential claims under the Age Discrimination in Employment Act, by informing the Company of my intent to revoke my release within seven (7) calendar days following my execution of this Final Release, and any such revocation would be limited only to revocation of the release as applied to claims related to my Consulting Work and would not otherwise impact my obligations and duties under the Agreement since I received Check One as consideration for my agreement to the terms of the Agreement. I also understand that any such revocation must comply with the terms and procedures set forth in Paragraph 14 of the Agreement and be delivered to Edye Austin, 3535 Harbor Blvd, Suite 100, Costa Mesa, CA 92626. The terms of this Agreement shall be open for acceptance by me for a period of twenty-one (21) days, and I understand that I should and the Company hereby advises me to, consult with legal counsel regarding the releases contained herein and to consider whether to accept the Company’s offer and sign this Final Release.</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also affirm and agree that I have been paid all amounts due and owing as of the date of execution, including but not limited to, all salary, incentive compensation or other wages or benefits, that I earned for services through the date of execution. I further understand and agree the aforementioned Check Two is not compensation for any past services provided, and agree I am not entitled to any payments or benefits from the Company other than those expressly set forth herein.</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I HAVE VOLUNTARILY RE-AFFIRMED THE SEPARATION AGREEMENT AND FINAL SEVERANCE RELEASE, I HAD AN OPPORTUNITY TO CONSULT WITH AN ATTORNEY OF MY CHOICE, I HAD AT LEAST 21 DAYS IN WHICH TO REVIEW THIS, AND I KNOWINGLY INTEND TO RELEASE THE COMPANY AND COMPANY PARTIES FROM ANY AND ALL CLAIMS.</w:t>
      </w:r>
    </w:p>
    <w:p>
      <w:pPr>
        <w:spacing w:after="0" w:line="200" w:lineRule="exact"/>
        <w:rPr>
          <w:sz w:val="20"/>
          <w:szCs w:val="20"/>
          <w:color w:val="auto"/>
        </w:rPr>
      </w:pPr>
    </w:p>
    <w:p>
      <w:pPr>
        <w:spacing w:after="0" w:line="232"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2"/>
          <w:szCs w:val="22"/>
          <w:color w:val="auto"/>
        </w:rPr>
        <w:t>Dated: _____________________</w:t>
        <w:tab/>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-13970</wp:posOffset>
            </wp:positionV>
            <wp:extent cx="274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Gus Siade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6"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20" w:firstLine="8"/>
        <w:spacing w:after="0" w:line="266"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20" w:firstLine="8"/>
        <w:spacing w:after="0" w:line="282" w:lineRule="auto"/>
        <w:tabs>
          <w:tab w:leader="none" w:pos="2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Bernard Acoca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20" w:firstLine="8"/>
        <w:spacing w:after="0" w:line="266"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20" w:firstLine="8"/>
        <w:spacing w:after="0" w:line="282"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Bernard Acoca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7"/>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lowerRoman"/>
      <w:start w:val="1"/>
    </w:lvl>
  </w:abstractNum>
  <w:abstractNum w:abstractNumId="9">
    <w:nsid w:val="7C3DBD3D"/>
    <w:multiLevelType w:val="hybridMultilevel"/>
    <w:lvl w:ilvl="0">
      <w:lvlJc w:val="left"/>
      <w:lvlText w:val="%1."/>
      <w:numFmt w:val="decimal"/>
      <w:start w:val="10"/>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842"/>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4"/>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lvl w:ilvl="1">
      <w:lvlJc w:val="left"/>
      <w:lvlText w:val="(%2)"/>
      <w:numFmt w:val="lowerLetter"/>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77465F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7724C67E"/>
    <w:multiLevelType w:val="hybridMultilevel"/>
    <w:lvl w:ilvl="0">
      <w:lvlJc w:val="left"/>
      <w:lvlText w:val="%1"/>
      <w:numFmt w:val="decimal"/>
      <w:start w:val="1"/>
    </w:lvl>
    <w:lvl w:ilvl="1">
      <w:lvlJc w:val="left"/>
      <w:lvlText w:val="(%2)"/>
      <w:numFmt w:val="lowerLetter"/>
      <w:start w:val="2"/>
    </w:lvl>
  </w:abstractNum>
  <w:abstractNum w:abstractNumId="23">
    <w:nsid w:val="5C482A97"/>
    <w:multiLevelType w:val="hybridMultilevel"/>
    <w:lvl w:ilvl="0">
      <w:lvlJc w:val="left"/>
      <w:lvlText w:val="%1."/>
      <w:numFmt w:val="decimal"/>
      <w:start w:val="5"/>
    </w:lvl>
    <w:lvl w:ilvl="1">
      <w:lvlJc w:val="left"/>
      <w:lvlText w:val="%2"/>
      <w:numFmt w:val="lowerLetter"/>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Roman"/>
      <w:start w:val="1"/>
    </w:lvl>
    <w:lvl w:ilvl="1">
      <w:lvlJc w:val="left"/>
      <w:lvlText w:val="(%2)"/>
      <w:numFmt w:val="upperLetter"/>
      <w:start w:val="1"/>
    </w:lvl>
  </w:abstractNum>
  <w:abstractNum w:abstractNumId="26">
    <w:nsid w:val="51EAD36B"/>
    <w:multiLevelType w:val="hybridMultilevel"/>
    <w:lvl w:ilvl="0">
      <w:lvlJc w:val="left"/>
      <w:lvlText w:val="(%1)"/>
      <w:numFmt w:val="lowerLetter"/>
      <w:start w:val="2"/>
    </w:lvl>
    <w:lvl w:ilvl="1">
      <w:lvlJc w:val="left"/>
      <w:lvlText w:val="(%2)"/>
      <w:numFmt w:val="lowerRoman"/>
      <w:start w:val="1"/>
    </w:lvl>
  </w:abstractNum>
  <w:abstractNum w:abstractNumId="27">
    <w:nsid w:val="2D517796"/>
    <w:multiLevelType w:val="hybridMultilevel"/>
    <w:lvl w:ilvl="0">
      <w:lvlJc w:val="left"/>
      <w:lvlText w:val="(%1)"/>
      <w:numFmt w:val="lowerRoman"/>
      <w:start w:val="2"/>
    </w:lvl>
    <w:lvl w:ilvl="1">
      <w:lvlJc w:val="left"/>
      <w:lvlText w:val="(%2)"/>
      <w:numFmt w:val="upperLetter"/>
      <w:start w:val="1"/>
    </w:lvl>
  </w:abstractNum>
  <w:abstractNum w:abstractNumId="28">
    <w:nsid w:val="580BD78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9">
    <w:nsid w:val="153EA438"/>
    <w:multiLevelType w:val="hybridMultilevel"/>
    <w:lvl w:ilvl="0">
      <w:lvlJc w:val="left"/>
      <w:lvlText w:val="(%1)"/>
      <w:numFmt w:val="upperLetter"/>
      <w:start w:val="3"/>
    </w:lvl>
  </w:abstractNum>
  <w:abstractNum w:abstractNumId="30">
    <w:nsid w:val="3855585C"/>
    <w:multiLevelType w:val="hybridMultilevel"/>
    <w:lvl w:ilvl="0">
      <w:lvlJc w:val="left"/>
      <w:lvlText w:val="%1"/>
      <w:numFmt w:val="decimal"/>
      <w:start w:val="1"/>
    </w:lvl>
    <w:lvl w:ilvl="1">
      <w:lvlJc w:val="left"/>
      <w:lvlText w:val="(%2)"/>
      <w:numFmt w:val="lowerLetter"/>
      <w:start w:val="4"/>
    </w:lvl>
  </w:abstractNum>
  <w:abstractNum w:abstractNumId="31">
    <w:nsid w:val="70A64E2A"/>
    <w:multiLevelType w:val="hybridMultilevel"/>
    <w:lvl w:ilvl="0">
      <w:lvlJc w:val="left"/>
      <w:lvlText w:val="%1."/>
      <w:numFmt w:val="decimal"/>
      <w:start w:val="8"/>
    </w:lvl>
    <w:lvl w:ilvl="1">
      <w:lvlJc w:val="left"/>
      <w:lvlText w:val="%2"/>
      <w:numFmt w:val="lowerLetter"/>
      <w:start w:val="1"/>
    </w:lvl>
  </w:abstractNum>
  <w:abstractNum w:abstractNumId="32">
    <w:nsid w:val="6A2342EC"/>
    <w:multiLevelType w:val="hybridMultilevel"/>
    <w:lvl w:ilvl="0">
      <w:lvlJc w:val="left"/>
      <w:lvlText w:val="%1."/>
      <w:numFmt w:val="decimal"/>
      <w:start w:val="10"/>
    </w:lvl>
    <w:lvl w:ilvl="1">
      <w:lvlJc w:val="left"/>
      <w:lvlText w:val="(%2)"/>
      <w:numFmt w:val="lowerLetter"/>
      <w:start w:val="1"/>
    </w:lvl>
  </w:abstractNum>
  <w:abstractNum w:abstractNumId="33">
    <w:nsid w:val="2A487CB0"/>
    <w:multiLevelType w:val="hybridMultilevel"/>
    <w:lvl w:ilvl="0">
      <w:lvlJc w:val="left"/>
      <w:lvlText w:val="(%1)"/>
      <w:numFmt w:val="lowerLetter"/>
      <w:start w:val="5"/>
    </w:lvl>
  </w:abstractNum>
  <w:abstractNum w:abstractNumId="34">
    <w:nsid w:val="1D4ED43B"/>
    <w:multiLevelType w:val="hybridMultilevel"/>
    <w:lvl w:ilvl="0">
      <w:lvlJc w:val="left"/>
      <w:lvlText w:val="(%1)"/>
      <w:numFmt w:val="lowerLetter"/>
      <w:start w:val="8"/>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decimal"/>
      <w:start w:val="1"/>
    </w:lvl>
    <w:lvl w:ilvl="1">
      <w:lvlJc w:val="left"/>
      <w:lvlText w:val="(%2)"/>
      <w:numFmt w:val="lowerLetter"/>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decimal"/>
      <w:start w:val="3"/>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decimal"/>
      <w:start w:val="7"/>
    </w:lvl>
  </w:abstractNum>
  <w:abstractNum w:abstractNumId="41">
    <w:nsid w:val="6DE91B18"/>
    <w:multiLevelType w:val="hybridMultilevel"/>
    <w:lvl w:ilvl="0">
      <w:lvlJc w:val="left"/>
      <w:lvlText w:val="%1."/>
      <w:numFmt w:val="decimal"/>
      <w:start w:val="9"/>
    </w:lvl>
  </w:abstractNum>
  <w:abstractNum w:abstractNumId="42">
    <w:nsid w:val="38437FDB"/>
    <w:multiLevelType w:val="hybridMultilevel"/>
    <w:lvl w:ilvl="0">
      <w:lvlJc w:val="left"/>
      <w:lvlText w:val="%1."/>
      <w:numFmt w:val="decimal"/>
      <w:start w:val="16"/>
    </w:lvl>
  </w:abstractNum>
  <w:abstractNum w:abstractNumId="43">
    <w:nsid w:val="7644A45C"/>
    <w:multiLevelType w:val="hybridMultilevel"/>
    <w:lvl w:ilvl="0">
      <w:lvlJc w:val="left"/>
      <w:lvlText w:val="(%1)"/>
      <w:numFmt w:val="lowerLetter"/>
      <w:start w:val="2"/>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5"/>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5"/>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2019-12-28T13:01:13Z</dcterms:created>
  <dcterms:modified xsi:type="dcterms:W3CDTF">2019-12-28T13:01:13Z</dcterms:modified>
</cp:coreProperties>
</file>