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40"/>
        <w:ind w:left="0" w:right="0" w:hanging="0"/>
        <w:jc w:val="center"/>
        <w:rPr/>
      </w:pPr>
      <w:bookmarkStart w:id="0" w:name="loco-20260507x8k.htm"/>
      <w:bookmarkStart w:id="1" w:name="ksloco20260507x8k"/>
      <w:bookmarkEnd w:id="0"/>
      <w:bookmarkEnd w:id="1"/>
      <w:r>
        <w:rPr/>
        <w:t>​</w:t>
      </w:r>
    </w:p>
    <w:p>
      <w:pPr>
        <w:pStyle w:val="TextBody"/>
        <w:bidi w:val="0"/>
        <w:spacing w:before="0" w:after="4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2" w:name="_c30204b0_42cc_4fc9_bf44_8279713db493"/>
      <w:bookmarkEnd w:id="2"/>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Report (Date of earliest event reported): May 7, 2026</w:t>
      </w:r>
    </w:p>
    <w:p>
      <w:pPr>
        <w:pStyle w:val="TextBody"/>
        <w:bidi w:val="0"/>
        <w:spacing w:before="0" w:after="4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EL POLLO LOCO HOLDINGS, INC.</w:t>
      </w:r>
    </w:p>
    <w:p>
      <w:pPr>
        <w:pStyle w:val="TextBody"/>
        <w:bidi w:val="0"/>
        <w:spacing w:before="0" w:after="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40"/>
        <w:ind w:left="0" w:right="0" w:hanging="0"/>
        <w:jc w:val="left"/>
        <w:rPr/>
      </w:pPr>
      <w:r>
        <w:rPr/>
        <w:t>​</w:t>
      </w:r>
    </w:p>
    <w:p>
      <w:pPr>
        <w:pStyle w:val="Normal"/>
        <w:bidi w:val="0"/>
        <w:spacing w:before="0" w:after="0"/>
        <w:jc w:val="left"/>
        <w:rPr>
          <w:sz w:val="4"/>
          <w:szCs w:val="4"/>
        </w:rPr>
      </w:pPr>
      <w:r>
        <w:rPr>
          <w:sz w:val="4"/>
          <w:szCs w:val="4"/>
        </w:rPr>
      </w:r>
      <w:bookmarkStart w:id="3" w:name="Tc_DHaPkBsRpkagHUASMaFfQw_3_2"/>
      <w:bookmarkStart w:id="4" w:name="Tc_oZ3Soqp1oka95N9xr7uN5Q_3_1"/>
      <w:bookmarkStart w:id="5" w:name="Tc_gV8HkWhwYUaMWyC4o8KXVA_3_0"/>
      <w:bookmarkStart w:id="6" w:name="_1b9f1018_5316_4e98_a775_8754ce05bbc8"/>
      <w:bookmarkStart w:id="7" w:name="Tc_DHaPkBsRpkagHUASMaFfQw_3_2"/>
      <w:bookmarkStart w:id="8" w:name="Tc_oZ3Soqp1oka95N9xr7uN5Q_3_1"/>
      <w:bookmarkStart w:id="9" w:name="Tc_gV8HkWhwYUaMWyC4o8KXVA_3_0"/>
      <w:bookmarkStart w:id="10" w:name="_1b9f1018_5316_4e98_a775_8754ce05bbc8"/>
      <w:bookmarkEnd w:id="7"/>
      <w:bookmarkEnd w:id="8"/>
      <w:bookmarkEnd w:id="9"/>
      <w:bookmarkEnd w:id="10"/>
    </w:p>
    <w:tbl>
      <w:tblPr>
        <w:tblW w:w="5088" w:type="dxa"/>
        <w:jc w:val="left"/>
        <w:tblInd w:w="0" w:type="dxa"/>
        <w:tblLayout w:type="fixed"/>
        <w:tblCellMar>
          <w:top w:w="0" w:type="dxa"/>
          <w:left w:w="0" w:type="dxa"/>
          <w:bottom w:w="0" w:type="dxa"/>
          <w:right w:w="0" w:type="dxa"/>
        </w:tblCellMar>
      </w:tblPr>
      <w:tblGrid>
        <w:gridCol w:w="2251"/>
        <w:gridCol w:w="118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53110" cy="175260"/>
                      <wp:effectExtent l="0" t="0" r="0" b="0"/>
                      <wp:wrapNone/>
                      <wp:docPr id="2" name="Frame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40"/>
              <w:ind w:left="0" w:right="0" w:hanging="0"/>
              <w:jc w:val="left"/>
              <w:rPr/>
            </w:pPr>
            <w:r>
              <w:rPr/>
              <w:t>​</w:t>
            </w:r>
          </w:p>
        </w:tc>
        <w:tc>
          <w:tcPr>
            <w:tcW w:w="1186" w:type="dxa"/>
            <w:tcBorders/>
            <w:vAlign w:val="center"/>
          </w:tcPr>
          <w:p>
            <w:pPr>
              <w:pStyle w:val="TableContents"/>
              <w:bidi w:val="0"/>
              <w:spacing w:before="0" w:after="40"/>
              <w:ind w:left="0" w:right="0" w:hanging="0"/>
              <w:jc w:val="left"/>
              <w:rPr/>
            </w:pPr>
            <w:r>
              <w:rPr/>
              <w:t>​</w:t>
            </w:r>
          </w:p>
        </w:tc>
        <w:tc>
          <w:tcPr>
            <w:tcW w:w="1651" w:type="dxa"/>
            <w:tcBorders/>
            <w:vAlign w:val="center"/>
          </w:tcPr>
          <w:p>
            <w:pPr>
              <w:pStyle w:val="TableContents"/>
              <w:bidi w:val="0"/>
              <w:spacing w:before="0" w:after="40"/>
              <w:ind w:left="0" w:right="0" w:hanging="0"/>
              <w:jc w:val="left"/>
              <w:rPr/>
            </w:pPr>
            <w:r>
              <w:rPr/>
              <w:t>​</w:t>
            </w:r>
          </w:p>
        </w:tc>
      </w:tr>
      <w:tr>
        <w:trPr/>
        <w:tc>
          <w:tcPr>
            <w:tcW w:w="225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c>
          <w:tcPr>
            <w:tcW w:w="11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001-36556</w:t>
            </w:r>
          </w:p>
        </w:tc>
        <w:tc>
          <w:tcPr>
            <w:tcW w:w="1651"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20-3563182</w:t>
            </w:r>
          </w:p>
        </w:tc>
      </w:tr>
      <w:tr>
        <w:trPr/>
        <w:tc>
          <w:tcPr>
            <w:tcW w:w="2251" w:type="dxa"/>
            <w:tcBorders/>
            <w:vAlign w:val="center"/>
          </w:tcPr>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(State or other jurisdiction</w:t>
              <w:br/>
              <w:t>of incorporation)</w:t>
            </w:r>
          </w:p>
        </w:tc>
        <w:tc>
          <w:tcPr>
            <w:tcW w:w="1186"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1651"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Normal"/>
        <w:bidi w:val="0"/>
        <w:spacing w:before="0" w:after="0"/>
        <w:jc w:val="left"/>
        <w:rPr>
          <w:sz w:val="4"/>
          <w:szCs w:val="4"/>
        </w:rPr>
      </w:pPr>
      <w:r>
        <w:rPr>
          <w:sz w:val="4"/>
          <w:szCs w:val="4"/>
        </w:rPr>
      </w:r>
      <w:bookmarkStart w:id="11" w:name="Tc_iQRoc0h6MEykLP1WwCG2Og_2_1"/>
      <w:bookmarkStart w:id="12" w:name="Tc_-nfIL1CA_UOa_pOYS3u5fw_2_0"/>
      <w:bookmarkStart w:id="13" w:name="Tc_WB663BB-Dk6zrlyZkRJdbQ_1_0"/>
      <w:bookmarkStart w:id="14" w:name="_8e9453ad_03ab_40c2_8417_4fa53f8fe8fa"/>
      <w:bookmarkStart w:id="15" w:name="Tc_iQRoc0h6MEykLP1WwCG2Og_2_1"/>
      <w:bookmarkStart w:id="16" w:name="Tc_-nfIL1CA_UOa_pOYS3u5fw_2_0"/>
      <w:bookmarkStart w:id="17" w:name="Tc_WB663BB-Dk6zrlyZkRJdbQ_1_0"/>
      <w:bookmarkStart w:id="18" w:name="_8e9453ad_03ab_40c2_8417_4fa53f8fe8fa"/>
      <w:bookmarkEnd w:id="15"/>
      <w:bookmarkEnd w:id="16"/>
      <w:bookmarkEnd w:id="17"/>
      <w:bookmarkEnd w:id="18"/>
    </w:p>
    <w:tbl>
      <w:tblPr>
        <w:tblW w:w="5852" w:type="dxa"/>
        <w:jc w:val="left"/>
        <w:tblInd w:w="0" w:type="dxa"/>
        <w:tblLayout w:type="fixed"/>
        <w:tblCellMar>
          <w:top w:w="0" w:type="dxa"/>
          <w:left w:w="0" w:type="dxa"/>
          <w:bottom w:w="0" w:type="dxa"/>
          <w:right w:w="0" w:type="dxa"/>
        </w:tblCellMar>
      </w:tblPr>
      <w:tblGrid>
        <w:gridCol w:w="4816"/>
        <w:gridCol w:w="103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058160" cy="175260"/>
                      <wp:effectExtent l="0" t="0" r="0" b="0"/>
                      <wp:wrapNone/>
                      <wp:docPr id="4" name="Frame4"/>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5" name="Frame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r>
      <w:tr>
        <w:trPr/>
        <w:tc>
          <w:tcPr>
            <w:tcW w:w="481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575 Anton Boulevard, Suite 1100, Costa Mesa, California</w:t>
            </w:r>
          </w:p>
        </w:tc>
        <w:tc>
          <w:tcPr>
            <w:tcW w:w="1036" w:type="dxa"/>
            <w:tcBorders>
              <w:bottom w:val="single" w:sz="8"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92626</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Registrant’s telephone number, including area code: (714) 599-5000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N/A</w:t>
      </w:r>
    </w:p>
    <w:p>
      <w:pPr>
        <w:pStyle w:val="TextBody"/>
        <w:bidi w:val="0"/>
        <w:spacing w:before="0" w:after="4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Times New Roman;Times;serif" w:hAnsi="Times New Roman;Times;serif"/>
          <w:sz w:val="20"/>
        </w:rPr>
        <w:t>Soliciting material pursuant to Rule 14a-2 under the Exchange Act (17 CFR 240.14a-12)</w:t>
      </w:r>
    </w:p>
    <w:p>
      <w:pPr>
        <w:pStyle w:val="TextBody"/>
        <w:bidi w:val="0"/>
        <w:spacing w:before="0" w:after="120"/>
        <w:ind w:left="0" w:right="0" w:hanging="0"/>
        <w:jc w:val="left"/>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40"/>
        <w:ind w:left="0" w:right="0" w:hanging="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4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40"/>
        <w:ind w:left="0" w:right="0" w:hanging="0"/>
        <w:jc w:val="left"/>
        <w:rPr/>
      </w:pPr>
      <w:r>
        <w:rPr/>
        <w:t>​</w:t>
      </w:r>
    </w:p>
    <w:p>
      <w:pPr>
        <w:pStyle w:val="Normal"/>
        <w:bidi w:val="0"/>
        <w:spacing w:before="0" w:after="0"/>
        <w:jc w:val="left"/>
        <w:rPr>
          <w:sz w:val="4"/>
          <w:szCs w:val="4"/>
        </w:rPr>
      </w:pPr>
      <w:r>
        <w:rPr>
          <w:sz w:val="4"/>
          <w:szCs w:val="4"/>
        </w:rPr>
      </w:r>
      <w:bookmarkStart w:id="19" w:name="Tc_nOqmKopFCkCqVOdRvNn0Gg_3_2"/>
      <w:bookmarkStart w:id="20" w:name="Tc_Jjtld9Od8UysI0Cj5be5Ew_2_2"/>
      <w:bookmarkStart w:id="21" w:name="Tc_c4y7_V6iVU2aZeSomDGZ4g_1_2"/>
      <w:bookmarkStart w:id="22" w:name="Tc_3zkbpHOilkqB0CTymknBkA_1_1"/>
      <w:bookmarkStart w:id="23" w:name="Tc_fy3XN94m9U2w3kQFKv9_SA_1_0"/>
      <w:bookmarkStart w:id="24" w:name="_92840323_4b0e_4d66_8f20_4d4151630a97"/>
      <w:bookmarkStart w:id="25" w:name="Tc_nOqmKopFCkCqVOdRvNn0Gg_3_2"/>
      <w:bookmarkStart w:id="26" w:name="Tc_Jjtld9Od8UysI0Cj5be5Ew_2_2"/>
      <w:bookmarkStart w:id="27" w:name="Tc_c4y7_V6iVU2aZeSomDGZ4g_1_2"/>
      <w:bookmarkStart w:id="28" w:name="Tc_3zkbpHOilkqB0CTymknBkA_1_1"/>
      <w:bookmarkStart w:id="29" w:name="Tc_fy3XN94m9U2w3kQFKv9_SA_1_0"/>
      <w:bookmarkStart w:id="30" w:name="_92840323_4b0e_4d66_8f20_4d4151630a97"/>
      <w:bookmarkEnd w:id="25"/>
      <w:bookmarkEnd w:id="26"/>
      <w:bookmarkEnd w:id="27"/>
      <w:bookmarkEnd w:id="28"/>
      <w:bookmarkEnd w:id="29"/>
      <w:bookmarkEnd w:id="30"/>
    </w:p>
    <w:tbl>
      <w:tblPr>
        <w:tblW w:w="10205" w:type="dxa"/>
        <w:jc w:val="left"/>
        <w:tblInd w:w="0" w:type="dxa"/>
        <w:tblLayout w:type="fixed"/>
        <w:tblCellMar>
          <w:top w:w="0" w:type="dxa"/>
          <w:left w:w="0" w:type="dxa"/>
          <w:bottom w:w="0" w:type="dxa"/>
          <w:right w:w="0" w:type="dxa"/>
        </w:tblCellMar>
      </w:tblPr>
      <w:tblGrid>
        <w:gridCol w:w="5240"/>
        <w:gridCol w:w="1537"/>
        <w:gridCol w:w="3428"/>
      </w:tblGrid>
      <w:tr>
        <w:trPr/>
        <w:tc>
          <w:tcPr>
            <w:tcW w:w="5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327400" cy="175260"/>
                      <wp:effectExtent l="0" t="0" r="0" b="0"/>
                      <wp:wrapNone/>
                      <wp:docPr id="6" name="Frame6"/>
                      <a:graphic xmlns:a="http://schemas.openxmlformats.org/drawingml/2006/main">
                        <a:graphicData uri="http://schemas.microsoft.com/office/word/2010/wordprocessingShape">
                          <wps:wsp>
                            <wps:cNvSpPr txBox="1"/>
                            <wps:spPr>
                              <a:xfrm>
                                <a:off x="0" y="0"/>
                                <a:ext cx="332740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1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5995" cy="175260"/>
                      <wp:effectExtent l="0" t="0" r="0" b="0"/>
                      <wp:wrapNone/>
                      <wp:docPr id="7" name="Frame7"/>
                      <a:graphic xmlns:a="http://schemas.openxmlformats.org/drawingml/2006/main">
                        <a:graphicData uri="http://schemas.microsoft.com/office/word/2010/wordprocessingShape">
                          <wps:wsp>
                            <wps:cNvSpPr txBox="1"/>
                            <wps:spPr>
                              <a:xfrm>
                                <a:off x="0" y="0"/>
                                <a:ext cx="975995"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c>
          <w:tcPr>
            <w:tcW w:w="3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76780" cy="175260"/>
                      <wp:effectExtent l="0" t="0" r="0" b="0"/>
                      <wp:wrapNone/>
                      <wp:docPr id="8" name="Frame8"/>
                      <a:graphic xmlns:a="http://schemas.openxmlformats.org/drawingml/2006/main">
                        <a:graphicData uri="http://schemas.microsoft.com/office/word/2010/wordprocessingShape">
                          <wps:wsp>
                            <wps:cNvSpPr txBox="1"/>
                            <wps:spPr>
                              <a:xfrm>
                                <a:off x="0" y="0"/>
                                <a:ext cx="217678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r>
      <w:tr>
        <w:trPr/>
        <w:tc>
          <w:tcPr>
            <w:tcW w:w="5240"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7"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428"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5240"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537"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LOCO</w:t>
            </w:r>
          </w:p>
        </w:tc>
        <w:tc>
          <w:tcPr>
            <w:tcW w:w="3428"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r>
        <w:trPr/>
        <w:tc>
          <w:tcPr>
            <w:tcW w:w="5240"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Rights to Purchase Series A Preferred Stock, par value $0.01 per share</w:t>
            </w:r>
          </w:p>
        </w:tc>
        <w:tc>
          <w:tcPr>
            <w:tcW w:w="1537"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40"/>
              <w:ind w:left="0" w:right="0" w:hanging="0"/>
              <w:jc w:val="center"/>
              <w:rPr/>
            </w:pPr>
            <w:r>
              <w:rPr/>
              <w:t>​</w:t>
            </w:r>
          </w:p>
        </w:tc>
        <w:tc>
          <w:tcPr>
            <w:tcW w:w="3428" w:type="dxa"/>
            <w:tcBorders>
              <w:top w:val="single" w:sz="8" w:space="0" w:color="000000"/>
              <w:left w:val="single" w:sz="8" w:space="0" w:color="000000"/>
              <w:bottom w:val="single" w:sz="8" w:space="0" w:color="000000"/>
              <w:right w:val="single" w:sz="8" w:space="0" w:color="000000"/>
            </w:tcBorders>
            <w:tcMar>
              <w:top w:w="28" w:type="dxa"/>
              <w:left w:w="50" w:type="dxa"/>
              <w:bottom w:w="28" w:type="dxa"/>
              <w:right w:w="50"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4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12b- 2 of the Securities Exchange Act of 1934 (§ 240.12b-2 of this chapter). Emerging growth company ☐</w:t>
      </w:r>
    </w:p>
    <w:p>
      <w:pPr>
        <w:pStyle w:val="TextBody"/>
        <w:bidi w:val="0"/>
        <w:spacing w:before="0" w:after="4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0"/>
        <w:ind w:left="0" w:right="0" w:hanging="0"/>
        <w:jc w:val="left"/>
        <w:rPr/>
      </w:pPr>
      <w:r>
        <w:rPr/>
        <w:t>​</w:t>
      </w:r>
    </w:p>
    <w:p>
      <w:pPr>
        <w:pStyle w:val="TextBody"/>
        <w:pBdr>
          <w:top w:val="single" w:sz="8" w:space="1" w:color="000000"/>
          <w:bottom w:val="single" w:sz="24" w:space="1" w:color="000000"/>
        </w:pBdr>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1" w:name="_df61f86b_dac0_47ae_9bae_dc44584d3395"/>
      <w:bookmarkEnd w:id="31"/>
      <w:r>
        <w:rPr>
          <w:rFonts w:ascii="Times New Roman;Times;serif" w:hAnsi="Times New Roman;Times;serif"/>
          <w:b/>
          <w:sz w:val="20"/>
        </w:rPr>
        <w:t>Item 2.02 Results of Operations and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7, 2026, El Pollo Loco Holdings, Inc. (the “Company”) issued a press release announcing certain financial results for its first quarter ended April 1, 2026. The press release is attached hereto as Exhibit 99.1 and is incorporated herein by reference.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Exhibit 99.1 attached hereto shall not be deemed “filed” for purposes of Section 18 of the Securities Exchange Act of 1934 (the “Exchange Act”) or otherwise subject to the liabilities of that section and shall not be incorporated by reference into any filing of the Company under the Securities Act of 1933 or the Exchange Act, regardless of any general incorporation language in such filing, except as shall be expressly set forth by specific reference in any such filing.</w:t>
      </w:r>
    </w:p>
    <w:p>
      <w:pPr>
        <w:pStyle w:val="TextBody"/>
        <w:bidi w:val="0"/>
        <w:spacing w:before="0" w:after="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32" w:name="_e34a3f50_3823_45c3_a517_b6c177153ea9"/>
      <w:bookmarkEnd w:id="32"/>
      <w:r>
        <w:rPr>
          <w:rFonts w:ascii="Times New Roman;Times;serif" w:hAnsi="Times New Roman;Times;serif"/>
          <w:b/>
          <w:sz w:val="20"/>
        </w:rPr>
        <w:t>Item 9.01 Financial Statements and Exhibits.</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40"/>
        <w:ind w:left="0" w:right="0" w:hanging="0"/>
        <w:jc w:val="left"/>
        <w:rPr/>
      </w:pPr>
      <w:r>
        <w:rPr/>
        <w:t>​</w:t>
      </w:r>
    </w:p>
    <w:tbl>
      <w:tblPr>
        <w:tblW w:w="8313" w:type="dxa"/>
        <w:jc w:val="left"/>
        <w:tblInd w:w="0" w:type="dxa"/>
        <w:tblLayout w:type="fixed"/>
        <w:tblCellMar>
          <w:top w:w="0" w:type="dxa"/>
          <w:left w:w="0" w:type="dxa"/>
          <w:bottom w:w="28" w:type="dxa"/>
          <w:right w:w="0" w:type="dxa"/>
        </w:tblCellMar>
      </w:tblPr>
      <w:tblGrid>
        <w:gridCol w:w="1426"/>
        <w:gridCol w:w="286"/>
        <w:gridCol w:w="6601"/>
      </w:tblGrid>
      <w:tr>
        <w:trPr/>
        <w:tc>
          <w:tcPr>
            <w:tcW w:w="142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286" w:type="dxa"/>
            <w:tcBorders>
              <w:bottom w:val="single" w:sz="8" w:space="0" w:color="000000"/>
            </w:tcBorders>
            <w:vAlign w:val="center"/>
          </w:tcPr>
          <w:p>
            <w:pPr>
              <w:pStyle w:val="TableContents"/>
              <w:bidi w:val="0"/>
              <w:spacing w:before="0" w:after="0"/>
              <w:ind w:left="0" w:right="0" w:hanging="0"/>
              <w:jc w:val="left"/>
              <w:rPr/>
            </w:pPr>
            <w:r>
              <w:rPr/>
              <w:t>  ​ ​</w:t>
            </w:r>
          </w:p>
        </w:tc>
        <w:tc>
          <w:tcPr>
            <w:tcW w:w="660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286" w:type="dxa"/>
            <w:tcBorders/>
            <w:tcMar>
              <w:bottom w:w="0" w:type="dxa"/>
            </w:tcMar>
            <w:vAlign w:val="center"/>
          </w:tcPr>
          <w:p>
            <w:pPr>
              <w:pStyle w:val="TableContents"/>
              <w:bidi w:val="0"/>
              <w:spacing w:before="0" w:after="40"/>
              <w:ind w:left="0" w:right="0" w:hanging="0"/>
              <w:jc w:val="left"/>
              <w:rPr/>
            </w:pPr>
            <w:r>
              <w:rPr/>
              <w:t>​</w:t>
            </w:r>
          </w:p>
        </w:tc>
        <w:tc>
          <w:tcPr>
            <w:tcW w:w="6601" w:type="dxa"/>
            <w:tcBorders/>
            <w:tcMar>
              <w:bottom w:w="0" w:type="dxa"/>
            </w:tcMar>
            <w:vAlign w:val="center"/>
          </w:tcPr>
          <w:p>
            <w:pPr>
              <w:pStyle w:val="TableContents"/>
              <w:bidi w:val="0"/>
              <w:spacing w:before="0" w:after="0"/>
              <w:ind w:left="0" w:right="0" w:hanging="0"/>
              <w:jc w:val="left"/>
              <w:rPr/>
            </w:pPr>
            <w:hyperlink w:anchor="loco-20260507xex99d1.htm">
              <w:r>
                <w:rPr>
                  <w:rStyle w:val="InternetLink"/>
                  <w:rFonts w:ascii="Times New Roman;Times;serif" w:hAnsi="Times New Roman;Times;serif"/>
                  <w:b w:val="false"/>
                  <w:i w:val="false"/>
                  <w:caps w:val="false"/>
                  <w:smallCaps w:val="false"/>
                  <w:sz w:val="20"/>
                </w:rPr>
                <w:t>Earnings press release, dated May 7, 2026</w:t>
              </w:r>
            </w:hyperlink>
          </w:p>
        </w:tc>
      </w:tr>
      <w:tr>
        <w:trPr/>
        <w:tc>
          <w:tcPr>
            <w:tcW w:w="14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86" w:type="dxa"/>
            <w:tcBorders/>
            <w:tcMar>
              <w:bottom w:w="0" w:type="dxa"/>
            </w:tcMar>
            <w:vAlign w:val="center"/>
          </w:tcPr>
          <w:p>
            <w:pPr>
              <w:pStyle w:val="TableContents"/>
              <w:bidi w:val="0"/>
              <w:spacing w:before="0" w:after="40"/>
              <w:ind w:left="0" w:right="0" w:hanging="0"/>
              <w:jc w:val="left"/>
              <w:rPr/>
            </w:pPr>
            <w:r>
              <w:rPr/>
              <w:t>​</w:t>
            </w:r>
          </w:p>
        </w:tc>
        <w:tc>
          <w:tcPr>
            <w:tcW w:w="660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33" w:name="_4a175b5e_b945_4edf_b6f7_20d26f175794"/>
      <w:bookmarkEnd w:id="33"/>
      <w:r>
        <w:rPr>
          <w:rFonts w:ascii="Times New Roman;Times;serif" w:hAnsi="Times New Roman;Times;serif"/>
          <w:b/>
          <w:sz w:val="20"/>
        </w:rPr>
        <w:t>SIGNATURES</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40"/>
        <w:ind w:left="0" w:right="0" w:hanging="0"/>
        <w:jc w:val="left"/>
        <w:rPr/>
      </w:pPr>
      <w:r>
        <w:rPr/>
        <w:t>​</w:t>
      </w:r>
    </w:p>
    <w:tbl>
      <w:tblPr>
        <w:tblW w:w="2476" w:type="dxa"/>
        <w:jc w:val="left"/>
        <w:tblInd w:w="0" w:type="dxa"/>
        <w:tblLayout w:type="fixed"/>
        <w:tblCellMar>
          <w:top w:w="0" w:type="dxa"/>
          <w:left w:w="0" w:type="dxa"/>
          <w:bottom w:w="0" w:type="dxa"/>
          <w:right w:w="0" w:type="dxa"/>
        </w:tblCellMar>
      </w:tblPr>
      <w:tblGrid>
        <w:gridCol w:w="247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572260" cy="175260"/>
                      <wp:effectExtent l="0" t="0" r="0" b="0"/>
                      <wp:wrapNone/>
                      <wp:docPr id="9" name="Frame9"/>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pPr>
                            <w:r>
                              <w:rPr/>
                              <w:t>​</w:t>
                            </w:r>
                          </w:p>
                        </w:txbxContent>
                      </v:textbox>
                      <w10:wrap type="none"/>
                    </v:rect>
                  </w:pict>
                </mc:Fallback>
              </mc:AlternateConten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 Pollo Loco Holdings, Inc.</w:t>
            </w:r>
          </w:p>
        </w:tc>
      </w:tr>
      <w:tr>
        <w:trPr/>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476" w:type="dxa"/>
            <w:tcBorders/>
            <w:vAlign w:val="center"/>
          </w:tcPr>
          <w:p>
            <w:pPr>
              <w:pStyle w:val="TableContents"/>
              <w:bidi w:val="0"/>
              <w:spacing w:before="0" w:after="4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7, 2026</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tbl>
      <w:tblPr>
        <w:tblW w:w="2026" w:type="dxa"/>
        <w:jc w:val="left"/>
        <w:tblInd w:w="0" w:type="dxa"/>
        <w:tblLayout w:type="fixed"/>
        <w:tblCellMar>
          <w:top w:w="0" w:type="dxa"/>
          <w:left w:w="0" w:type="dxa"/>
          <w:bottom w:w="0" w:type="dxa"/>
          <w:right w:w="0" w:type="dxa"/>
        </w:tblCellMar>
      </w:tblPr>
      <w:tblGrid>
        <w:gridCol w:w="202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86510" cy="293370"/>
                      <wp:effectExtent l="0" t="0" r="0" b="0"/>
                      <wp:wrapNone/>
                      <wp:docPr id="10" name="Frame10"/>
                      <a:graphic xmlns:a="http://schemas.openxmlformats.org/drawingml/2006/main">
                        <a:graphicData uri="http://schemas.microsoft.com/office/word/2010/wordprocessingShape">
                          <wps:wsp>
                            <wps:cNvSpPr txBox="1"/>
                            <wps:spPr>
                              <a:xfrm>
                                <a:off x="0" y="0"/>
                                <a:ext cx="1286510" cy="293370"/>
                              </a:xfrm>
                              <a:prstGeom prst="rect"/>
                              <a:solidFill>
                                <a:srgbClr val="FFFFFF"/>
                              </a:solidFill>
                            </wps:spPr>
                            <wps:txbx>
                              <w:txbxContent>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Interim Chief Executive Officer and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left"/>
                              <w:rPr>
                                <w:rFonts w:ascii="Times New Roman;Times;serif" w:hAnsi="Times New Roman;Times;serif"/>
                                <w:sz w:val="20"/>
                              </w:rPr>
                            </w:pPr>
                            <w:r>
                              <w:rPr>
                                <w:rFonts w:ascii="Times New Roman;Times;serif" w:hAnsi="Times New Roman;Times;serif"/>
                                <w:sz w:val="20"/>
                              </w:rPr>
                              <w:t>Interim Chief Executive Officer and</w:t>
                            </w:r>
                          </w:p>
                        </w:txbxContent>
                      </v:textbox>
                      <w10:wrap type="none"/>
                    </v:rect>
                  </w:pict>
                </mc:Fallback>
              </mc:AlternateConten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Ira Fils</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Ira Fils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4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34" w:name="loco-20260507xex99d1.htm"/>
      <w:bookmarkStart w:id="35" w:name="ksloco20260507xex99d1"/>
      <w:bookmarkEnd w:id="34"/>
      <w:bookmarkEnd w:id="35"/>
      <w:r>
        <w:rPr>
          <w:rFonts w:ascii="Times New Roman;Times;serif" w:hAnsi="Times New Roman;Times;serif"/>
          <w:b/>
          <w:sz w:val="20"/>
        </w:rPr>
        <w:t>Exhibit 99.1</w:t>
      </w:r>
      <w:r>
        <w:br w:type="page"/>
      </w:r>
    </w:p>
    <w:p>
      <w:pPr>
        <w:pStyle w:val="TextBody"/>
        <w:bidi w:val="0"/>
        <w:spacing w:before="0" w:after="0"/>
        <w:ind w:left="0" w:right="0" w:hanging="0"/>
        <w:jc w:val="left"/>
        <w:rPr/>
      </w:pPr>
      <w:r>
        <w:rPr/>
        <w:drawing>
          <wp:inline distT="0" distB="0" distL="0" distR="0">
            <wp:extent cx="1334135" cy="15335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
                    <a:stretch>
                      <a:fillRect/>
                    </a:stretch>
                  </pic:blipFill>
                  <pic:spPr bwMode="auto">
                    <a:xfrm>
                      <a:off x="0" y="0"/>
                      <a:ext cx="1334135" cy="1533525"/>
                    </a:xfrm>
                    <a:prstGeom prst="rect">
                      <a:avLst/>
                    </a:prstGeom>
                  </pic:spPr>
                </pic:pic>
              </a:graphicData>
            </a:graphic>
          </wp:inline>
        </w:drawing>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 Announces First Quarter 2026 Financial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Raises 2026 Full-Year Outlook</w:t>
      </w:r>
    </w:p>
    <w:p>
      <w:pPr>
        <w:pStyle w:val="TextBody"/>
        <w:bidi w:val="0"/>
        <w:spacing w:before="0" w:after="24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COSTA MESA, CA – May 7, 2026 –</w:t>
      </w:r>
      <w:r>
        <w:rPr>
          <w:rFonts w:ascii="Times New Roman;Times;serif" w:hAnsi="Times New Roman;Times;serif"/>
          <w:sz w:val="20"/>
        </w:rPr>
        <w:t xml:space="preserve"> El Pollo Loco Holdings, Inc. (Nasdaq: LOCO) (the “Company”) today announced financial results for the 13-week period ended April 1, 2026.</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Highlights for the first quarter ended April 1, 2026 compared to the first quarter ended March 26, 2025 were as follows:</w:t>
      </w:r>
    </w:p>
    <w:tbl>
      <w:tblPr>
        <w:tblW w:w="5418" w:type="dxa"/>
        <w:jc w:val="left"/>
        <w:tblInd w:w="0" w:type="dxa"/>
        <w:tblLayout w:type="fixed"/>
        <w:tblCellMar>
          <w:top w:w="0" w:type="dxa"/>
          <w:left w:w="0" w:type="dxa"/>
          <w:bottom w:w="0" w:type="dxa"/>
          <w:right w:w="0" w:type="dxa"/>
        </w:tblCellMar>
      </w:tblPr>
      <w:tblGrid>
        <w:gridCol w:w="23"/>
        <w:gridCol w:w="170"/>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Total revenue</w:t>
            </w:r>
            <w:r>
              <w:rPr>
                <w:caps w:val="false"/>
                <w:smallCaps w:val="false"/>
              </w:rPr>
              <w:t xml:space="preserve"> </w:t>
            </w:r>
            <w:r>
              <w:rPr>
                <w:rFonts w:ascii="Times New Roman;Times;serif" w:hAnsi="Times New Roman;Times;serif"/>
                <w:b w:val="false"/>
                <w:i w:val="false"/>
                <w:caps w:val="false"/>
                <w:smallCaps w:val="false"/>
                <w:sz w:val="20"/>
              </w:rPr>
              <w:t xml:space="preserve">was $126.2 million compared to $119.2 million. </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System-wide comparable restaurant sales</w:t>
            </w:r>
            <w:r>
              <w:rPr>
                <w:rFonts w:ascii="Times New Roman;Times;serif" w:hAnsi="Times New Roman;Times;serif"/>
                <w:b/>
                <w:i w:val="false"/>
                <w:caps w:val="false"/>
                <w:smallCaps w:val="false"/>
                <w:sz w:val="15"/>
              </w:rPr>
              <w:t>(1)</w:t>
            </w:r>
            <w:r>
              <w:rPr>
                <w:caps w:val="false"/>
                <w:smallCaps w:val="false"/>
              </w:rPr>
              <w:t xml:space="preserve"> </w:t>
            </w:r>
            <w:r>
              <w:rPr>
                <w:rFonts w:ascii="Times New Roman;Times;serif" w:hAnsi="Times New Roman;Times;serif"/>
                <w:b w:val="false"/>
                <w:i w:val="false"/>
                <w:caps w:val="false"/>
                <w:smallCaps w:val="false"/>
                <w:sz w:val="20"/>
              </w:rPr>
              <w:t>increased by 5.8%.</w:t>
            </w:r>
          </w:p>
        </w:tc>
      </w:tr>
    </w:tbl>
    <w:tbl>
      <w:tblPr>
        <w:tblW w:w="5958" w:type="dxa"/>
        <w:jc w:val="left"/>
        <w:tblInd w:w="0" w:type="dxa"/>
        <w:tblLayout w:type="fixed"/>
        <w:tblCellMar>
          <w:top w:w="0" w:type="dxa"/>
          <w:left w:w="0" w:type="dxa"/>
          <w:bottom w:w="0" w:type="dxa"/>
          <w:right w:w="0" w:type="dxa"/>
        </w:tblCellMar>
      </w:tblPr>
      <w:tblGrid>
        <w:gridCol w:w="23"/>
        <w:gridCol w:w="170"/>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Income from operations</w:t>
            </w:r>
            <w:r>
              <w:rPr>
                <w:caps w:val="false"/>
                <w:smallCaps w:val="false"/>
              </w:rPr>
              <w:t xml:space="preserve"> </w:t>
            </w:r>
            <w:r>
              <w:rPr>
                <w:rFonts w:ascii="Times New Roman;Times;serif" w:hAnsi="Times New Roman;Times;serif"/>
                <w:b w:val="false"/>
                <w:i w:val="false"/>
                <w:caps w:val="false"/>
                <w:smallCaps w:val="false"/>
                <w:sz w:val="20"/>
              </w:rPr>
              <w:t xml:space="preserve">was $12.2 million compared to $9.0 million.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Restaurant contribution</w:t>
            </w:r>
            <w:r>
              <w:rPr>
                <w:rFonts w:ascii="Times New Roman;Times;serif" w:hAnsi="Times New Roman;Times;serif"/>
                <w:b/>
                <w:i w:val="false"/>
                <w:caps w:val="false"/>
                <w:smallCaps w:val="false"/>
                <w:sz w:val="15"/>
              </w:rPr>
              <w:t>(1)</w:t>
            </w:r>
            <w:r>
              <w:rPr>
                <w:caps w:val="false"/>
                <w:smallCaps w:val="false"/>
              </w:rPr>
              <w:t xml:space="preserve"> </w:t>
            </w:r>
            <w:r>
              <w:rPr>
                <w:rFonts w:ascii="Times New Roman;Times;serif" w:hAnsi="Times New Roman;Times;serif"/>
                <w:b w:val="false"/>
                <w:i w:val="false"/>
                <w:caps w:val="false"/>
                <w:smallCaps w:val="false"/>
                <w:sz w:val="20"/>
              </w:rPr>
              <w:t xml:space="preserve">was $20.4 million, or 19.2% of company-operated restaurant revenue, compared to $15.8 million, or 16.0% of company-operated restaurant revenue.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Net income</w:t>
            </w:r>
            <w:r>
              <w:rPr>
                <w:caps w:val="false"/>
                <w:smallCaps w:val="false"/>
              </w:rPr>
              <w:t xml:space="preserve"> </w:t>
            </w:r>
            <w:r>
              <w:rPr>
                <w:rFonts w:ascii="Times New Roman;Times;serif" w:hAnsi="Times New Roman;Times;serif"/>
                <w:b w:val="false"/>
                <w:i w:val="false"/>
                <w:caps w:val="false"/>
                <w:smallCaps w:val="false"/>
                <w:sz w:val="20"/>
              </w:rPr>
              <w:t xml:space="preserve">was $8.2 million, or $0.27 per diluted share, compared to net income of $5.5 million, or $0.19 per diluted share. </w:t>
            </w:r>
          </w:p>
        </w:tc>
      </w:tr>
    </w:tbl>
    <w:tbl>
      <w:tblPr>
        <w:tblW w:w="9993" w:type="dxa"/>
        <w:jc w:val="left"/>
        <w:tblInd w:w="0" w:type="dxa"/>
        <w:tblLayout w:type="fixed"/>
        <w:tblCellMar>
          <w:top w:w="0" w:type="dxa"/>
          <w:left w:w="0" w:type="dxa"/>
          <w:bottom w:w="0" w:type="dxa"/>
          <w:right w:w="0" w:type="dxa"/>
        </w:tblCellMar>
      </w:tblPr>
      <w:tblGrid>
        <w:gridCol w:w="23"/>
        <w:gridCol w:w="170"/>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Adjusted net income</w:t>
            </w:r>
            <w:r>
              <w:rPr>
                <w:rFonts w:ascii="Times New Roman;Times;serif" w:hAnsi="Times New Roman;Times;serif"/>
                <w:b/>
                <w:i w:val="false"/>
                <w:caps w:val="false"/>
                <w:smallCaps w:val="false"/>
                <w:sz w:val="15"/>
              </w:rPr>
              <w:t>(1)</w:t>
            </w:r>
            <w:r>
              <w:rPr>
                <w:caps w:val="false"/>
                <w:smallCaps w:val="false"/>
              </w:rPr>
              <w:t> </w:t>
            </w:r>
            <w:r>
              <w:rPr>
                <w:rFonts w:ascii="Times New Roman;Times;serif" w:hAnsi="Times New Roman;Times;serif"/>
                <w:b w:val="false"/>
                <w:i w:val="false"/>
                <w:caps w:val="false"/>
                <w:smallCaps w:val="false"/>
                <w:sz w:val="20"/>
              </w:rPr>
              <w:t>was $8.3 million, or $0.28 per diluted share, compared to $5.5 million, or $0.19 per diluted share.</w:t>
            </w:r>
          </w:p>
        </w:tc>
      </w:tr>
    </w:tbl>
    <w:tbl>
      <w:tblPr>
        <w:tblW w:w="5718" w:type="dxa"/>
        <w:jc w:val="left"/>
        <w:tblInd w:w="0" w:type="dxa"/>
        <w:tblLayout w:type="fixed"/>
        <w:tblCellMar>
          <w:top w:w="0" w:type="dxa"/>
          <w:left w:w="0" w:type="dxa"/>
          <w:bottom w:w="0" w:type="dxa"/>
          <w:right w:w="0" w:type="dxa"/>
        </w:tblCellMar>
      </w:tblPr>
      <w:tblGrid>
        <w:gridCol w:w="23"/>
        <w:gridCol w:w="170"/>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Adjusted EBITDA</w:t>
            </w:r>
            <w:r>
              <w:rPr>
                <w:rFonts w:ascii="Times New Roman;Times;serif" w:hAnsi="Times New Roman;Times;serif"/>
                <w:b/>
                <w:i w:val="false"/>
                <w:caps w:val="false"/>
                <w:smallCaps w:val="false"/>
                <w:sz w:val="15"/>
              </w:rPr>
              <w:t>(1)</w:t>
            </w:r>
            <w:r>
              <w:rPr>
                <w:caps w:val="false"/>
                <w:smallCaps w:val="false"/>
              </w:rPr>
              <w:t> </w:t>
            </w:r>
            <w:r>
              <w:rPr>
                <w:rFonts w:ascii="Times New Roman;Times;serif" w:hAnsi="Times New Roman;Times;serif"/>
                <w:b w:val="false"/>
                <w:i w:val="false"/>
                <w:caps w:val="false"/>
                <w:smallCaps w:val="false"/>
                <w:sz w:val="20"/>
              </w:rPr>
              <w:t>was $18.2 million, compared to $13.9 million.</w:t>
            </w:r>
          </w:p>
        </w:tc>
      </w:tr>
    </w:tbl>
    <w:p>
      <w:pPr>
        <w:pStyle w:val="TextBody"/>
        <w:bidi w:val="0"/>
        <w:spacing w:before="0" w:after="0"/>
        <w:ind w:left="245" w:right="0" w:hanging="0"/>
        <w:jc w:val="both"/>
        <w:rPr>
          <w:rFonts w:ascii="Times New Roman;Times;serif" w:hAnsi="Times New Roman;Times;serif"/>
          <w:sz w:val="22"/>
        </w:rPr>
      </w:pPr>
      <w:r>
        <w:rPr>
          <w:rFonts w:ascii="Times New Roman;Times;serif" w:hAnsi="Times New Roman;Times;serif"/>
          <w:sz w:val="22"/>
        </w:rPr>
        <w:t>--------------------</w:t>
      </w:r>
    </w:p>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100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System-wide comparable restaurant sales, restaurant contribution, adjusted net income and adjusted EBITDA are not presented in accordance with accounting principles generally accepted in the United States of America (“GAAP”) and are defined under “Definitions of Non-GAAP and other Key Financial Measures” below. A reconciliation of these non-GAAP financial measures to the most directly comparable GAAP financial measure is included in the accompanying financial data. See also “Non-GAAP Financial Measures” below. </w:t>
            </w:r>
          </w:p>
        </w:tc>
      </w:tr>
    </w:tbl>
    <w:p>
      <w:pPr>
        <w:pStyle w:val="TextBody"/>
        <w:bidi w:val="0"/>
        <w:spacing w:before="0" w:after="240"/>
        <w:ind w:left="0" w:right="0" w:hanging="0"/>
        <w:jc w:val="both"/>
        <w:rPr/>
      </w:pPr>
      <w:bookmarkStart w:id="36" w:name="_Hlk196244228"/>
      <w:bookmarkEnd w:id="36"/>
      <w:r>
        <w:rPr/>
        <w:t>“</w:t>
      </w:r>
      <w:r>
        <w:rPr>
          <w:rFonts w:ascii="Times New Roman;Times;serif" w:hAnsi="Times New Roman;Times;serif"/>
          <w:sz w:val="20"/>
        </w:rPr>
        <w:t>We are proud of our first quarter results, including systemwide same-store sales growth of 5.8% and restaurant-level margin expansion of 320 basis points year-over-year. This performance reflects strength across multiple fronts, from our innovation pipeline - highlighted by the success of our Baja Double Tostadas - to the operational progress we are seeing across every key metric - including customer service, accuracy, and speed of service. It is this broad-based strength that  gives us the confidence to raise our comparable restaurant sales and Adjusted EBITDA guidance expectations for the full year,” said Liz Williams, Chief Executive Officer of El Pollo Loco Holdings, Inc. “As we enter the third year of our brand transformation journey, our goal is to drive sustainable traffic growth across our system while maintaining the margin discipline and unit economic improvements we’ve accomplished to date, and to thoughtfully grow El Pollo Loco across the country.”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First Quarter 2026 Financial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Company-operated restaurant revenue in the first quarter of 2026 increased to $105.9 million, compared to $98.4 million in the first quarter of 2025, primarily due to an increase in company-operated comparable restaurant revenue of $5.4 million, or 5.4%, as well as $0.7 million of additional sales from the opening of two restaurants since the first quarter of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2025. The comparable sales increase for company-operated restaurants consisted of a 5.7% increase in average check size, partially offset by a 0.3% decline in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Franchise revenue in the first quarter of 2026 decreased by 8.8% to $12.0 million from $13.2 million. The decrease was primarily due to $1.9 million in franchisee IT pass through revenue in the prior year related to the franchise rollout of the new Point of Sale (“POS”) system. This decrease was partially offset by the increase in franchise revenue related to 9 franchise-operated restaurant openings during or subsequent to the first quarter of 2025 and by a franchise comparable restaurant sales increase of 6.1%. The franchise comparable restaurant increase consisted of a 4.9% increase in average check size, combined with a 1.1% increase in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from operations in the first quarter of 2026 was $12.2 million, compared to $9.0 million in the first quarter of 2025. Restaurant contribution was $20.4 million, or 19.2% of company-operated restaurant revenue, compared to $15.8 million, or 16.0% of company-operated restaurant revenue in the first quarter of 2025. The increase in restaurant contribution margin was largely due to leverage on the 5.4% sales comparable store sales increase, improved operating efficiencies, and higher menu prices.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 ending April 1, 2026, general and administrative expenses increased $1.5 million, or 13.6%, from the comparable period in the prior year. The increase for the quarter was primarily due to a $0.6 million received from a legal settlement in the prior year, as well as increased legal fees, outside services, software maintenance and other general and administrative costs. These increases were partially offset by lower shareholder activism expenses.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income for the first quarter of 2026 was $8.2 million, or $0.27 per diluted share, compared to net income of $5.5 million, or $0.19 per diluted share, in the first quarter of 2025. Adjusted net income was $8.3 million, or $0.28 per diluted share, during the first quarter of 2026, compared to $5.5 million, or $0.19 per diluted share, during the first quarter of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April 1, 2026, after net pay down of $7.0 million on our five-year senior-secured revolving credit facility (the “2022 Revolver”) during the thirteen weeks, the Company’s outstanding debt balance was $44.0 million with $3.9 million in cash and cash equivalents.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Subsequent to the quarter-end, the Company borrowed a net additional $2.0 million on its 2022 Revolver, resulting in outstanding borrowings of $46.0 million as of May 7, 2026.</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2026 Outlook</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 is raising the following expectations for fiscal year 2026:</w:t>
      </w:r>
    </w:p>
    <w:tbl>
      <w:tblPr>
        <w:tblW w:w="5523" w:type="dxa"/>
        <w:jc w:val="left"/>
        <w:tblInd w:w="0" w:type="dxa"/>
        <w:tblLayout w:type="fixed"/>
        <w:tblCellMar>
          <w:top w:w="0" w:type="dxa"/>
          <w:left w:w="0" w:type="dxa"/>
          <w:bottom w:w="0" w:type="dxa"/>
          <w:right w:w="0" w:type="dxa"/>
        </w:tblCellMar>
      </w:tblPr>
      <w:tblGrid>
        <w:gridCol w:w="23"/>
        <w:gridCol w:w="170"/>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System-wide comparable restaurant sales growth of 2.0% to 4.0%.</w:t>
            </w:r>
          </w:p>
        </w:tc>
      </w:tr>
    </w:tbl>
    <w:tbl>
      <w:tblPr>
        <w:tblW w:w="5223" w:type="dxa"/>
        <w:jc w:val="left"/>
        <w:tblInd w:w="0" w:type="dxa"/>
        <w:tblLayout w:type="fixed"/>
        <w:tblCellMar>
          <w:top w:w="0" w:type="dxa"/>
          <w:left w:w="0" w:type="dxa"/>
          <w:bottom w:w="0" w:type="dxa"/>
          <w:right w:w="0" w:type="dxa"/>
        </w:tblCellMar>
      </w:tblPr>
      <w:tblGrid>
        <w:gridCol w:w="23"/>
        <w:gridCol w:w="170"/>
        <w:gridCol w:w="5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Adjusted EBITDA</w:t>
            </w:r>
            <w:hyperlink w:anchor="footnote-2">
              <w:r>
                <w:rPr>
                  <w:rStyle w:val="InternetLink"/>
                  <w:rFonts w:ascii="Times New Roman;Times;serif" w:hAnsi="Times New Roman;Times;serif"/>
                  <w:b w:val="false"/>
                  <w:i w:val="false"/>
                  <w:caps w:val="false"/>
                  <w:smallCaps w:val="false"/>
                  <w:sz w:val="15"/>
                </w:rPr>
                <w:t>1</w:t>
              </w:r>
            </w:hyperlink>
            <w:r>
              <w:rPr>
                <w:caps w:val="false"/>
                <w:smallCaps w:val="false"/>
              </w:rPr>
              <w:t xml:space="preserve"> </w:t>
            </w:r>
            <w:r>
              <w:rPr>
                <w:rFonts w:ascii="Times New Roman;Times;serif" w:hAnsi="Times New Roman;Times;serif"/>
                <w:b w:val="false"/>
                <w:i w:val="false"/>
                <w:caps w:val="false"/>
                <w:smallCaps w:val="false"/>
                <w:sz w:val="20"/>
              </w:rPr>
              <w:t>between $67.5 million and $69.5 million</w:t>
            </w:r>
            <w:r>
              <w:rPr>
                <w:rFonts w:ascii="Times New Roman;Times;serif" w:hAnsi="Times New Roman;Times;serif"/>
                <w:b w:val="false"/>
                <w:i w:val="false"/>
                <w:caps w:val="false"/>
                <w:smallCaps w:val="false"/>
                <w:sz w:val="24"/>
              </w:rPr>
              <w: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Company is reiterating the following expectations for fiscal year 2026:</w:t>
      </w:r>
    </w:p>
    <w:tbl>
      <w:tblPr>
        <w:tblW w:w="8538" w:type="dxa"/>
        <w:jc w:val="left"/>
        <w:tblInd w:w="0" w:type="dxa"/>
        <w:tblLayout w:type="fixed"/>
        <w:tblCellMar>
          <w:top w:w="0" w:type="dxa"/>
          <w:left w:w="0" w:type="dxa"/>
          <w:bottom w:w="0" w:type="dxa"/>
          <w:right w:w="0" w:type="dxa"/>
        </w:tblCellMar>
      </w:tblPr>
      <w:tblGrid>
        <w:gridCol w:w="23"/>
        <w:gridCol w:w="170"/>
        <w:gridCol w:w="8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of three to four company-operated restaurants and 15 to 16 franchise-operated restaurants.</w:t>
            </w:r>
          </w:p>
        </w:tc>
      </w:tr>
    </w:tbl>
    <w:tbl>
      <w:tblPr>
        <w:tblW w:w="5028" w:type="dxa"/>
        <w:jc w:val="left"/>
        <w:tblInd w:w="0" w:type="dxa"/>
        <w:tblLayout w:type="fixed"/>
        <w:tblCellMar>
          <w:top w:w="0" w:type="dxa"/>
          <w:left w:w="0" w:type="dxa"/>
          <w:bottom w:w="0" w:type="dxa"/>
          <w:right w:w="0" w:type="dxa"/>
        </w:tblCellMar>
      </w:tblPr>
      <w:tblGrid>
        <w:gridCol w:w="23"/>
        <w:gridCol w:w="17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spending between $37.0 million and $40.0 million.</w:t>
            </w:r>
          </w:p>
        </w:tc>
      </w:tr>
    </w:tbl>
    <w:tbl>
      <w:tblPr>
        <w:tblW w:w="6888" w:type="dxa"/>
        <w:jc w:val="left"/>
        <w:tblInd w:w="0" w:type="dxa"/>
        <w:tblLayout w:type="fixed"/>
        <w:tblCellMar>
          <w:top w:w="0" w:type="dxa"/>
          <w:left w:w="0" w:type="dxa"/>
          <w:bottom w:w="0" w:type="dxa"/>
          <w:right w:w="0" w:type="dxa"/>
        </w:tblCellMar>
      </w:tblPr>
      <w:tblGrid>
        <w:gridCol w:w="23"/>
        <w:gridCol w:w="170"/>
        <w:gridCol w:w="6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 between $52.0 million and $54.0 million, excluding one-time costs.</w:t>
            </w:r>
          </w:p>
        </w:tc>
      </w:tr>
    </w:tbl>
    <w:tbl>
      <w:tblPr>
        <w:tblW w:w="6378" w:type="dxa"/>
        <w:jc w:val="left"/>
        <w:tblInd w:w="0" w:type="dxa"/>
        <w:tblLayout w:type="fixed"/>
        <w:tblCellMar>
          <w:top w:w="0" w:type="dxa"/>
          <w:left w:w="0" w:type="dxa"/>
          <w:bottom w:w="0" w:type="dxa"/>
          <w:right w:w="0" w:type="dxa"/>
        </w:tblCellMar>
      </w:tblPr>
      <w:tblGrid>
        <w:gridCol w:w="23"/>
        <w:gridCol w:w="17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effective income tax rate of 29.0% to 29.5% before discrete items.</w:t>
            </w:r>
          </w:p>
        </w:tc>
      </w:tr>
    </w:tbl>
    <w:p>
      <w:pPr>
        <w:pStyle w:val="TextBody"/>
        <w:bidi w:val="0"/>
        <w:spacing w:before="0" w:after="0"/>
        <w:ind w:left="0" w:right="0" w:hanging="0"/>
        <w:jc w:val="left"/>
        <w:rPr>
          <w:rFonts w:ascii="Times New Roman;Times;serif" w:hAnsi="Times New Roman;Times;serif"/>
          <w:sz w:val="20"/>
        </w:rPr>
      </w:pPr>
      <w:bookmarkStart w:id="37" w:name="footnote-2"/>
      <w:bookmarkEnd w:id="37"/>
      <w:r>
        <w:rPr>
          <w:rFonts w:ascii="Times New Roman;Times;serif" w:hAnsi="Times New Roman;Times;serif"/>
          <w:sz w:val="15"/>
        </w:rPr>
        <w:t>1</w:t>
      </w:r>
      <w:r>
        <w:rPr>
          <w:rFonts w:ascii="Times New Roman;Times;serif" w:hAnsi="Times New Roman;Times;serif"/>
          <w:sz w:val="20"/>
        </w:rPr>
        <w:t xml:space="preserve"> A reconciliation of the forward-looking fiscal 2026 Adjusted EBITDA to net income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Definitions of Non-GAAP and other Key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shd w:fill="FFFFFF" w:val="clear"/>
        </w:rPr>
        <w:t xml:space="preserve">System-Wide Sales </w:t>
      </w:r>
      <w:r>
        <w:rPr>
          <w:rFonts w:ascii="Times New Roman;Times;serif" w:hAnsi="Times New Roman;Times;serif"/>
          <w:sz w:val="20"/>
          <w:shd w:fill="FFFFFF" w:val="clear"/>
        </w:rPr>
        <w:t xml:space="preserve">are neither required by, nor presented in accordance with, GAAP. System-wide sales are the sum of company-operated restaurant revenue and sales from franchise-operated restaurants. The Company’s total revenue in the consolidated statements of income is limited to company-operated restaurant revenue and franchise revenue from the Company’s franchisees. Accordingly, system-wide sales should not be considered in isolation or as a substitute for our results as reported under GAAP. Management believes that the presentation of system-wide sales provides useful information to investors, because it is a measure that is widely used in the restaurant industry, including by our management, to evaluate brand scale and market penetration. </w:t>
      </w:r>
      <w:r>
        <w:rPr>
          <w:rFonts w:ascii="Times New Roman;Times;serif" w:hAnsi="Times New Roman;Times;serif"/>
          <w:sz w:val="20"/>
        </w:rPr>
        <w:t>System-wide sales do not include the eight currently licensed stores in the Philippines. The total number of currently licensed stores reflects the closure of two licensed restaurants during the fiscal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Company-Operated Restaurant Revenue </w:t>
      </w:r>
      <w:r>
        <w:rPr>
          <w:rFonts w:ascii="Times New Roman;Times;serif" w:hAnsi="Times New Roman;Times;serif"/>
          <w:sz w:val="20"/>
        </w:rPr>
        <w:t>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 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Comparable Restaurant Sales</w:t>
      </w:r>
      <w:r>
        <w:rPr>
          <w:rFonts w:ascii="Times New Roman;Times;serif" w:hAnsi="Times New Roman;Times;serif"/>
          <w:sz w:val="20"/>
        </w:rPr>
        <w:t xml:space="preserve"> reflect year-over-year sales changes for comparable company-operated, franchise-operated and system-wide restaurants. A restaurant enters our comparable restaurant base the first full week after it has operated for 15 months. Comparable restaurant sales exclude restaurants closed during the applicable period. At April 1, 2026, there were 484 comparable restaurants, 171 company-operated restaurants and 313 franchise-operated restaurants.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pStyle w:val="TextBody"/>
        <w:bidi w:val="0"/>
        <w:spacing w:lineRule="auto" w:line="343"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Restaurant Contribution</w:t>
      </w:r>
      <w:r>
        <w:rPr>
          <w:rFonts w:ascii="Times New Roman;Times;serif" w:hAnsi="Times New Roman;Times;serif"/>
          <w:sz w:val="20"/>
        </w:rPr>
        <w:t xml:space="preserve"> and </w:t>
      </w:r>
      <w:r>
        <w:rPr>
          <w:rFonts w:ascii="Times New Roman;Times;serif" w:hAnsi="Times New Roman;Times;serif"/>
          <w:b/>
          <w:sz w:val="20"/>
        </w:rPr>
        <w:t>Restaurant Contribution Margin</w:t>
      </w:r>
      <w:r>
        <w:rPr>
          <w:rFonts w:ascii="Times New Roman;Times;serif" w:hAnsi="Times New Roman;Times;serif"/>
          <w:sz w:val="20"/>
        </w:rPr>
        <w:t xml:space="preserve">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w:t>
      </w:r>
      <w:bookmarkStart w:id="38" w:name="_cp_change_27"/>
      <w:bookmarkEnd w:id="38"/>
      <w:r>
        <w:rPr>
          <w:rFonts w:ascii="Times New Roman;Times;serif" w:hAnsi="Times New Roman;Times;serif"/>
          <w:sz w:val="20"/>
        </w:rPr>
        <w:t>, loss on disposal of assets and other costs that are considered corporate-level expenses and are not considered normal operating costs</w:t>
      </w:r>
      <w:bookmarkStart w:id="39" w:name="_cp_change_29"/>
      <w:bookmarkEnd w:id="39"/>
      <w:r>
        <w:rPr>
          <w:rFonts w:ascii="Times New Roman;Times;serif" w:hAnsi="Times New Roman;Times;serif"/>
          <w:sz w:val="20"/>
        </w:rPr>
        <w:t xml:space="preserve">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 </w:t>
      </w:r>
      <w:bookmarkStart w:id="40" w:name="_cp_change_31"/>
      <w:bookmarkEnd w:id="40"/>
      <w:r>
        <w:rPr>
          <w:rFonts w:ascii="Times New Roman;Times;serif" w:hAnsi="Times New Roman;Times;serif"/>
          <w:sz w:val="20"/>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margin is useful to investors to highlight trends in our core business that may not otherwise be apparent to investors when relying solely on GAAP financial measures.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EBITDA</w:t>
      </w:r>
      <w:r>
        <w:rPr>
          <w:rFonts w:ascii="Times New Roman;Times;serif" w:hAnsi="Times New Roman;Times;serif"/>
          <w:sz w:val="20"/>
        </w:rPr>
        <w:t xml:space="preserve"> and </w:t>
      </w:r>
      <w:r>
        <w:rPr>
          <w:rFonts w:ascii="Times New Roman;Times;serif" w:hAnsi="Times New Roman;Times;serif"/>
          <w:b/>
          <w:sz w:val="20"/>
        </w:rPr>
        <w:t>Adjusted EBITDA</w:t>
      </w:r>
      <w:r>
        <w:rPr>
          <w:rFonts w:ascii="Times New Roman;Times;serif" w:hAnsi="Times New Roman;Times;serif"/>
          <w:sz w:val="20"/>
        </w:rPr>
        <w:t xml:space="preserve"> are neither required by, nor presented in accordance with, GAAP. EBITDA represents net income (loss) before interest expense (net of interest income), provision (benefit) for income taxes, depreciation, and amortization, and Adjusted EBITDA represents net income (loss) before interest expense (net of interest income), provision (benefit) for income taxes, depreciation, amortization, and items that we do not consider representative of our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ongoing operating performance, as identified in the reconciliation</w:t>
      </w:r>
      <w:bookmarkStart w:id="41" w:name="_cp_change_33"/>
      <w:bookmarkEnd w:id="41"/>
      <w:r>
        <w:rPr>
          <w:rFonts w:ascii="Times New Roman;Times;serif" w:hAnsi="Times New Roman;Times;serif"/>
          <w:sz w:val="20"/>
        </w:rPr>
        <w:t xml:space="preserve"> table included under “Unaudited Reconciliation of Net Income to EBITDA and Adjusted EBITDA” in the accompanying financial </w:t>
      </w:r>
      <w:bookmarkStart w:id="42" w:name="_cp_change_35"/>
      <w:bookmarkEnd w:id="42"/>
      <w:r>
        <w:rPr>
          <w:rFonts w:ascii="Times New Roman;Times;serif" w:hAnsi="Times New Roman;Times;serif"/>
          <w:sz w:val="20"/>
        </w:rPr>
        <w:t>tables at the end of this release. EBITDA and Adjusted EBITDA as presented in this release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 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believes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management believes that these measures are frequently used by securities analysts, investors and other interested parties to evaluate companies in our industry, (ii) management believes that investors will find these measures useful in assessing our ability to service or incur indebtedness, and (iii) we use EBITDA and Adjusted EBITDA internally for a number of benchmarks, including to compare our performance to that of our competitors.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Adjusted Net Income</w:t>
      </w:r>
      <w:r>
        <w:rPr>
          <w:rFonts w:ascii="Times New Roman;Times;serif" w:hAnsi="Times New Roman;Times;serif"/>
          <w:sz w:val="20"/>
        </w:rPr>
        <w:t xml:space="preserve"> is neither required by, nor presented in accordance with, GAAP. Adjusted net income represents net income adjusted for (i) costs (or gains) related to loss (or gains) on disposal of assets and asset impairment and closed store costs reserves, (ii) expenses related to special legal and professional fees, (iii) extraordinary legal settlement costs, (iv) restructuring charges and executive transition costs, (v) insurance proceeds related to reimbursement of lost profits, net of the related costs and (vi) provision for income taxes at a normalized tax rate of 29.1% for the thirteen weeks ended April 1, 2026 and 29.3% for the thirteen weeks ended March 26, 2025 which reflects our estimated long-term effective tax rate, including both federal and state income taxes (excluding the impact of discrete items) and applied after giving effect to the foregoing adjustments. </w:t>
      </w:r>
      <w:bookmarkStart w:id="43" w:name="_cp_change_41"/>
      <w:bookmarkEnd w:id="43"/>
      <w:r>
        <w:rPr>
          <w:rFonts w:ascii="Times New Roman;Times;serif" w:hAnsi="Times New Roman;Times;serif"/>
          <w:sz w:val="20"/>
        </w:rPr>
        <w:t>Because other companies may calculate these measures differently than we do, adjusted net income as presented herein may not be comparable to similarly titled measures reported by other companies. Management believes adjusted net income is an important supplement to GAAP measures that enhances the overall understanding of our operating performance and long-term profitability, and enables investors to more effectively compare the Company’s performance to prior and future periods.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will host a conference call to discuss financial results for the first quarter of 2026 today at 4:30 PM Eastern Time. Liz Williams, Chief Executive Officer, and Ira Fils, Chief Financial Officer, will host the call.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conference call can be accessed live over the phone by dialing 201-493-6780. A replay will be available after the call and can be accessed by dialing 412-317-6671; the passcode is 13757076. The replay will be available until Thursday, May 21, 2026. The conference call will also be webcast live from the Company’s corporate website at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investor.elpolloloco.com under the “Events &amp; Presentations” page. An archive of the webcast will be available at the same location on the corporate website shortly after the call has concluded.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About El Pollo Loco</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El Pollo Loco (Nasdaq: LOCO) is the nation's leading fire-grilled chicken restaurant known for its craveable, flavorful, and better-for-you offerings. Our menu features innovative meals with Mexican flavors all made in our restaurants daily using quality ingredients. At El Pollo Loco, inclusivity is at the heart of our culture. Our community of over 4,000 employees reflects our commitment to creating a workplace where everyone has a seat at our table. Since 1980, El Pollo Loco has successfully expanded its presence, operating more than 500 company-owned and franchise-operated restaurants across nine U.S. states: Arizona, California, Colorado, Louisiana, Nevada, New Mexico, Texas, Utah and Washington. The Company has also extended its footprint internationally, with eight licensed restaurant locations in the Philippines. For more information or to place an order, visit the Loco Rewards APP or ElPolloLoco.com. Follow us on Instagram, TikTok, Facebook, or X.</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that are subject to risks and uncertainties. All statements other than statements of historical fact included in this press release are forward-looking statements. Examples of forward-looking statements in this report include, but are not limited to, discussions of our current expectations, projections, intentions, or beliefs relating to our financial condition, results of operations, liquidity, prospects, growth, trends, strategies, and the industry in which we operate.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All forward-looking statements are subject to risks and uncertainties that could cause actual results to differ materially from those that we expected.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that could cause outcomes to differ materially from our expectations. These factors include, but are not limited to: our ability to open new restaurants in new and existing markets; our ability to compete successfully; global economic or other business conditions, including trade policies, tariff and import regulations by the United States, as well as consumer preferences; our ability to attract, develop, assimilate, and retain employees; our vulnerability to regional geographic conditions; our ability to maintain business continuity in the event of a disaster or disruption; impairment of our assets; changes in food and supply costs, especially for chicken, labor, construction and utilities; the impacts public health crises; potential negative publicity; our ability to continue to expand our digital business, delivery orders and catering; concerns about food safety and quality and about food-borne illness; dependence on frequent and timely deliveries of food and supplies; our ability to service our level of indebtedness; the success of our marketing programs, new menu items, advertising campaigns and restaurant designs and remodels; risks related to our dependence on our franchisees, including their vulnerability to economic changes; exposure from our self-insurance programs; obligations under long-term and non-cancelable leases, and our ability to renew leases at the end of their terms; our ability to achieve our corporate responsibility goals; information technology system failures, cybersecurity breaches, or failure to protect our customers’ data or personal information; our ability to enforce and maintain our intellectual property; the impact of federal, state and local laws, including those governing our relationships with our employees fluctuations in our quarterly operating results due to seasonality and other factors; any future offerings of debt or equity securities that may impact the market price of our common stock or dilute existing shareholders’ ownership; the possibility that Delaware law, our organizational documents, our shareholder rights agreement, and our existing and future debt agreements may impede or discourage a takeover; the impact of shareholder activism on our expenses, business and stock price; and other risks set forth in our filings with the Securities and Exchange Commission (SEC) from time to time, including under Item 1A, Risk Factors in our Annual Report on Form 10-K for the year ended December 31, 2025, as such risk factors may be amended, supplemented or superseded from time to time by other reports we file with the Securities and Exchange Commission, all of which are or will be available online at www.sec.gov.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press release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supplement our consolidated financial statements, which are prepared and presented in accordance with GAAP, we use the following non-GAAP financial measures that are supplemental measures of the operating performance of our business and restaurants: System-wide sales, Restaurant contribution and Restaurant contribution margin, EBITDA and Adjusted EBITDA, and Adjusted net income. Our calculations of these non-GAAP financial measures may not be comparable to those reported by other companies. These measures have limitations as analytical tools, and are not intended to be considered in isolation or as substitutes for, or superior to, financial measures prepared and presented in accordance with GAAP. We use non-GAAP financial measures for financial and operational decision-making and as a means to evaluate period-to-period comparisons and to evaluate our restaurants’ financial performance against our competitors’ performance. We believe these measures they provide useful information about our operating results, enhance understanding of past performance and future prospects, and allow for greater transparency with respect to key metrics used by management in its financial and operational decision making. These non-GAAP financial measures may also assist investors in evaluating our business and performance relative to industry peers and provide greater transparency with respect to the Company’s financial condition and results of operation.</w:t>
      </w:r>
    </w:p>
    <w:p>
      <w:pPr>
        <w:pStyle w:val="TextBody"/>
        <w:bidi w:val="0"/>
        <w:spacing w:before="0" w:after="0"/>
        <w:ind w:left="0" w:right="0" w:hanging="0"/>
        <w:jc w:val="both"/>
        <w:rPr>
          <w:rFonts w:ascii="Times New Roman;Times;serif" w:hAnsi="Times New Roman;Times;serif"/>
          <w:sz w:val="20"/>
        </w:rPr>
      </w:pPr>
      <w:bookmarkStart w:id="44" w:name="_cp_change_13"/>
      <w:bookmarkEnd w:id="44"/>
      <w:r>
        <w:rPr>
          <w:rFonts w:ascii="Times New Roman;Times;serif" w:hAnsi="Times New Roman;Times;serif"/>
          <w:sz w:val="20"/>
        </w:rPr>
        <w:t>Additional information about these non-GAAP financial measures (System-wide sales, Restaurant contribution and Restaurant contribution margin, EBITDA and Adjusted EBITDA, and Adjusted net income) is provided under “Definitions of Non-GAAP and other Key Financial Measures” above. For a reconciliations of each of these non-GAAP financial measures to the most directly comparable GAAP financial measure, see “Unaudited Reconciliation of System-Wide Sales to Company-Operated Restaurant Revenue and Total Revenue,” “Unaudited Reconciliation of Net Income to EBITDA and Adjusted EBITDA,” “Unaudited Reconciliation of Net Income to Adjusted Net Income” and “Unaudited Reconciliation of Income from Operations to Restaurant Contribution” in the accompanying financial tables at the end of this press release.</w:t>
      </w:r>
      <w:bookmarkStart w:id="45" w:name="_cp_change_12"/>
      <w:bookmarkEnd w:id="45"/>
    </w:p>
    <w:p>
      <w:pPr>
        <w:pStyle w:val="TextBody"/>
        <w:bidi w:val="0"/>
        <w:spacing w:lineRule="auto" w:line="343"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Investors@elpolloloco.com</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Media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Brittney Shaffer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media@elpolloloco.com</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tbl>
      <w:tblPr>
        <w:tblW w:w="9581" w:type="dxa"/>
        <w:jc w:val="left"/>
        <w:tblInd w:w="0" w:type="dxa"/>
        <w:tblLayout w:type="fixed"/>
        <w:tblCellMar>
          <w:top w:w="0" w:type="dxa"/>
          <w:left w:w="0" w:type="dxa"/>
          <w:bottom w:w="0" w:type="dxa"/>
          <w:right w:w="0" w:type="dxa"/>
        </w:tblCellMar>
      </w:tblPr>
      <w:tblGrid>
        <w:gridCol w:w="4906"/>
        <w:gridCol w:w="346"/>
        <w:gridCol w:w="196"/>
        <w:gridCol w:w="916"/>
        <w:gridCol w:w="346"/>
        <w:gridCol w:w="511"/>
        <w:gridCol w:w="346"/>
        <w:gridCol w:w="196"/>
        <w:gridCol w:w="916"/>
        <w:gridCol w:w="346"/>
        <w:gridCol w:w="556"/>
      </w:tblGrid>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1660" cy="175260"/>
                      <wp:effectExtent l="0" t="0" r="0" b="0"/>
                      <wp:wrapNone/>
                      <wp:docPr id="14" name="Frame1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24485" cy="175260"/>
                      <wp:effectExtent l="0" t="0" r="0" b="0"/>
                      <wp:wrapNone/>
                      <wp:docPr id="16" name="Frame1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1660" cy="175260"/>
                      <wp:effectExtent l="0" t="0" r="0" b="0"/>
                      <wp:wrapNone/>
                      <wp:docPr id="19" name="Frame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53060" cy="175260"/>
                      <wp:effectExtent l="0" t="0" r="0" b="0"/>
                      <wp:wrapNone/>
                      <wp:docPr id="21" name="Frame2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32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center"/>
              <w:rPr/>
            </w:pPr>
            <w:r>
              <w:rPr/>
              <w:t>​</w:t>
            </w:r>
          </w:p>
        </w:tc>
        <w:tc>
          <w:tcPr>
            <w:tcW w:w="201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4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  ​ ​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center"/>
              <w:rPr/>
            </w:pPr>
            <w:r>
              <w:rPr/>
              <w:t>  ​ ​ ​</w:t>
            </w:r>
          </w:p>
        </w:tc>
        <w:tc>
          <w:tcPr>
            <w:tcW w:w="55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Company-operated restaurant revenue</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105,915</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98,365</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Franchise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12,028</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13,183</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Franchise advertising fee revenue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8,239</w:t>
            </w:r>
          </w:p>
        </w:tc>
        <w:tc>
          <w:tcPr>
            <w:tcW w:w="34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7,629</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126,182</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119,177</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b/>
                <w:sz w:val="16"/>
              </w:rPr>
              <w:t>Cost of operations</w:t>
            </w:r>
            <w:r>
              <w:rPr>
                <w:rFonts w:ascii="Times New Roman;Times;serif" w:hAnsi="Times New Roman;Times;serif"/>
                <w:b/>
                <w:sz w:val="12"/>
              </w:rPr>
              <w:t>(1)</w:t>
            </w: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Food and paper cost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26,389</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24,739</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Labor and related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31,839</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32,179</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Occupancy and other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27,330</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25,673</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b/>
                <w:sz w:val="16"/>
              </w:rPr>
              <w:t>Company restaurant expenses</w:t>
            </w:r>
            <w:r>
              <w:rPr>
                <w:rFonts w:ascii="Times New Roman;Times;serif" w:hAnsi="Times New Roman;Times;serif"/>
                <w:b/>
                <w:sz w:val="12"/>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85,558</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82,591</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12,794</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11,263</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Franchise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11,189</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12,442</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4,314</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3,887</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disposal of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and closed-store reserves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113,965</w:t>
            </w:r>
          </w:p>
        </w:tc>
        <w:tc>
          <w:tcPr>
            <w:tcW w:w="34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110,205</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92.5</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12,217</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8,972</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w:t>
            </w:r>
          </w:p>
        </w:tc>
        <w:tc>
          <w:tcPr>
            <w:tcW w:w="34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1,176</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Income before 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11,486</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7,796</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3,329</w:t>
            </w:r>
          </w:p>
        </w:tc>
        <w:tc>
          <w:tcPr>
            <w:tcW w:w="34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2,315</w:t>
            </w:r>
          </w:p>
        </w:tc>
        <w:tc>
          <w:tcPr>
            <w:tcW w:w="346" w:type="dxa"/>
            <w:tcBorders/>
            <w:vAlign w:val="center"/>
          </w:tcPr>
          <w:p>
            <w:pPr>
              <w:pStyle w:val="TableContents"/>
              <w:bidi w:val="0"/>
              <w:spacing w:before="0" w:after="1"/>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8,157</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5,481</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4.6</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 per share: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0.28</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0.19</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0.27</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0.19</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Weighted-average shares used in computing net income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r>
      <w:tr>
        <w:trPr/>
        <w:tc>
          <w:tcPr>
            <w:tcW w:w="49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29,407,496</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29,085,836</w:t>
            </w:r>
          </w:p>
        </w:tc>
        <w:tc>
          <w:tcPr>
            <w:tcW w:w="34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r>
      <w:tr>
        <w:trPr/>
        <w:tc>
          <w:tcPr>
            <w:tcW w:w="49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29,691,297</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29,337,906</w:t>
            </w:r>
          </w:p>
        </w:tc>
        <w:tc>
          <w:tcPr>
            <w:tcW w:w="346" w:type="dxa"/>
            <w:tcBorders/>
            <w:shd w:fill="CCEEFF" w:val="clear"/>
            <w:vAlign w:val="center"/>
          </w:tcPr>
          <w:p>
            <w:pPr>
              <w:pStyle w:val="TableContents"/>
              <w:bidi w:val="0"/>
              <w:spacing w:before="0" w:after="1"/>
              <w:ind w:left="0" w:right="0" w:hanging="0"/>
              <w:jc w:val="left"/>
              <w:rPr/>
            </w:pPr>
            <w:r>
              <w:rPr/>
              <w:t>​</w:t>
            </w:r>
          </w:p>
        </w:tc>
        <w:tc>
          <w:tcPr>
            <w:tcW w:w="556" w:type="dxa"/>
            <w:tcBorders/>
            <w:shd w:fill="CCEEFF" w:val="clear"/>
            <w:vAlign w:val="center"/>
          </w:tcPr>
          <w:p>
            <w:pPr>
              <w:pStyle w:val="TableContents"/>
              <w:bidi w:val="0"/>
              <w:spacing w:before="0" w:after="1"/>
              <w:ind w:left="0" w:right="0" w:hanging="0"/>
              <w:jc w:val="right"/>
              <w:rPr/>
            </w:pPr>
            <w:r>
              <w:rPr/>
              <w:t>​</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17"/>
              </w:rPr>
            </w:pPr>
            <w:r>
              <w:rPr>
                <w:rFonts w:ascii="Times New Roman;Times;serif" w:hAnsi="Times New Roman;Times;serif"/>
                <w:sz w:val="17"/>
              </w:rPr>
              <w:t>(1)</w:t>
            </w:r>
          </w:p>
        </w:tc>
        <w:tc>
          <w:tcPr>
            <w:tcW w:w="100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for line items relating to cost of operations and company restaurant expenses are calculated with company-operated restaurant revenue as the denominator. All other percentages use total revenue.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SELECTED CONDENSED CONSOLIDATED BALANCE SHEETS AND SELECTED OPERATING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 amounts in thousands)</w:t>
      </w:r>
    </w:p>
    <w:tbl>
      <w:tblPr>
        <w:tblW w:w="6000" w:type="dxa"/>
        <w:jc w:val="left"/>
        <w:tblInd w:w="0" w:type="dxa"/>
        <w:tblLayout w:type="fixed"/>
        <w:tblCellMar>
          <w:top w:w="0" w:type="dxa"/>
          <w:left w:w="0" w:type="dxa"/>
          <w:bottom w:w="0" w:type="dxa"/>
          <w:right w:w="0" w:type="dxa"/>
        </w:tblCellMar>
      </w:tblPr>
      <w:tblGrid>
        <w:gridCol w:w="2551"/>
        <w:gridCol w:w="346"/>
        <w:gridCol w:w="226"/>
        <w:gridCol w:w="840"/>
        <w:gridCol w:w="346"/>
        <w:gridCol w:w="319"/>
        <w:gridCol w:w="1181"/>
        <w:gridCol w:w="191"/>
      </w:tblGrid>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3" name="Frame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33400" cy="175260"/>
                      <wp:effectExtent l="0" t="0" r="0" b="0"/>
                      <wp:wrapNone/>
                      <wp:docPr id="24" name="Frame2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2565" cy="175260"/>
                      <wp:effectExtent l="0" t="0" r="0" b="0"/>
                      <wp:wrapNone/>
                      <wp:docPr id="26" name="Frame2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49935" cy="175260"/>
                      <wp:effectExtent l="0" t="0" r="0" b="0"/>
                      <wp:wrapNone/>
                      <wp:docPr id="27" name="Frame26"/>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1285" cy="175260"/>
                      <wp:effectExtent l="0" t="0" r="0" b="0"/>
                      <wp:wrapNone/>
                      <wp:docPr id="28" name="Frame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0"/>
              <w:ind w:left="0" w:right="0" w:hanging="0"/>
              <w:jc w:val="center"/>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Balance Sheet Data:</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c>
          <w:tcPr>
            <w:tcW w:w="3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609,121</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606,648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44,000</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51,000</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306,622</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315,571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302,499</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291,077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7343" w:type="dxa"/>
        <w:jc w:val="left"/>
        <w:tblInd w:w="0" w:type="dxa"/>
        <w:tblLayout w:type="fixed"/>
        <w:tblCellMar>
          <w:top w:w="0" w:type="dxa"/>
          <w:left w:w="0" w:type="dxa"/>
          <w:bottom w:w="0" w:type="dxa"/>
          <w:right w:w="0" w:type="dxa"/>
        </w:tblCellMar>
      </w:tblPr>
      <w:tblGrid>
        <w:gridCol w:w="3916"/>
        <w:gridCol w:w="346"/>
        <w:gridCol w:w="219"/>
        <w:gridCol w:w="847"/>
        <w:gridCol w:w="438"/>
        <w:gridCol w:w="259"/>
        <w:gridCol w:w="1002"/>
        <w:gridCol w:w="316"/>
      </w:tblGrid>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9065" cy="175260"/>
                      <wp:effectExtent l="0" t="0" r="0" b="0"/>
                      <wp:wrapNone/>
                      <wp:docPr id="30" name="Frame29"/>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37845" cy="175260"/>
                      <wp:effectExtent l="0" t="0" r="0" b="0"/>
                      <wp:wrapNone/>
                      <wp:docPr id="31" name="Frame30"/>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78130" cy="175260"/>
                      <wp:effectExtent l="0" t="0" r="0" b="0"/>
                      <wp:wrapNone/>
                      <wp:docPr id="32" name="Frame31"/>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4465" cy="175260"/>
                      <wp:effectExtent l="0" t="0" r="0" b="0"/>
                      <wp:wrapNone/>
                      <wp:docPr id="33" name="Frame32"/>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36270" cy="175260"/>
                      <wp:effectExtent l="0" t="0" r="0" b="0"/>
                      <wp:wrapNone/>
                      <wp:docPr id="34" name="Frame33"/>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0660" cy="175260"/>
                      <wp:effectExtent l="0" t="0" r="0" b="0"/>
                      <wp:wrapNone/>
                      <wp:docPr id="35" name="Frame3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438"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c>
          <w:tcPr>
            <w:tcW w:w="316" w:type="dxa"/>
            <w:tcBorders/>
            <w:vAlign w:val="center"/>
          </w:tcPr>
          <w:p>
            <w:pPr>
              <w:pStyle w:val="TableContents"/>
              <w:bidi w:val="0"/>
              <w:spacing w:before="0" w:after="1"/>
              <w:ind w:left="0" w:right="0" w:hanging="0"/>
              <w:jc w:val="center"/>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Selected Operating Data:</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438"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002"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 restaurants at end of period</w:t>
            </w:r>
          </w:p>
        </w:tc>
        <w:tc>
          <w:tcPr>
            <w:tcW w:w="34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438" w:type="dxa"/>
            <w:tcBorders/>
            <w:vAlign w:val="center"/>
          </w:tcPr>
          <w:p>
            <w:pPr>
              <w:pStyle w:val="TableContents"/>
              <w:bidi w:val="0"/>
              <w:spacing w:before="0" w:after="1"/>
              <w:ind w:left="0" w:right="0" w:hanging="0"/>
              <w:jc w:val="left"/>
              <w:rPr/>
            </w:pPr>
            <w:r>
              <w:rPr/>
              <w:t> </w:t>
            </w:r>
          </w:p>
        </w:tc>
        <w:tc>
          <w:tcPr>
            <w:tcW w:w="259" w:type="dxa"/>
            <w:tcBorders/>
            <w:vAlign w:val="center"/>
          </w:tcPr>
          <w:p>
            <w:pPr>
              <w:pStyle w:val="TableContents"/>
              <w:bidi w:val="0"/>
              <w:spacing w:before="0" w:after="1"/>
              <w:ind w:left="0" w:right="0" w:hanging="0"/>
              <w:jc w:val="left"/>
              <w:rPr/>
            </w:pPr>
            <w:r>
              <w:rPr/>
              <w:t>​</w:t>
            </w:r>
          </w:p>
        </w:tc>
        <w:tc>
          <w:tcPr>
            <w:tcW w:w="10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16" w:type="dxa"/>
            <w:tcBorders/>
            <w:vAlign w:val="center"/>
          </w:tcPr>
          <w:p>
            <w:pPr>
              <w:pStyle w:val="TableContents"/>
              <w:bidi w:val="0"/>
              <w:spacing w:before="0" w:after="1"/>
              <w:ind w:left="0" w:right="0" w:hanging="0"/>
              <w:jc w:val="lef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Franchise-operated restaurants at end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438" w:type="dxa"/>
            <w:tcBorders/>
            <w:shd w:fill="CCEEFF" w:val="clear"/>
            <w:vAlign w:val="center"/>
          </w:tcPr>
          <w:p>
            <w:pPr>
              <w:pStyle w:val="TableContents"/>
              <w:bidi w:val="0"/>
              <w:spacing w:before="0" w:after="1"/>
              <w:ind w:left="0" w:right="0" w:hanging="0"/>
              <w:jc w:val="left"/>
              <w:rPr/>
            </w:pPr>
            <w:r>
              <w:rPr/>
              <w:t> </w:t>
            </w:r>
          </w:p>
        </w:tc>
        <w:tc>
          <w:tcPr>
            <w:tcW w:w="259" w:type="dxa"/>
            <w:tcBorders/>
            <w:shd w:fill="CCEEFF" w:val="clear"/>
            <w:vAlign w:val="center"/>
          </w:tcPr>
          <w:p>
            <w:pPr>
              <w:pStyle w:val="TableContents"/>
              <w:bidi w:val="0"/>
              <w:spacing w:before="0" w:after="1"/>
              <w:ind w:left="0" w:right="0" w:hanging="0"/>
              <w:jc w:val="left"/>
              <w:rPr/>
            </w:pPr>
            <w:r>
              <w:rPr/>
              <w:t>​</w:t>
            </w:r>
          </w:p>
        </w:tc>
        <w:tc>
          <w:tcPr>
            <w:tcW w:w="10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Company-operated:</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438"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002"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Comparable restaurant sales growth</w:t>
            </w:r>
          </w:p>
        </w:tc>
        <w:tc>
          <w:tcPr>
            <w:tcW w:w="346" w:type="dxa"/>
            <w:tcBorders/>
            <w:shd w:fill="CCEEFF" w:val="clear"/>
            <w:vAlign w:val="center"/>
          </w:tcPr>
          <w:p>
            <w:pPr>
              <w:pStyle w:val="TableContents"/>
              <w:bidi w:val="0"/>
              <w:spacing w:before="0" w:after="1"/>
              <w:ind w:left="0" w:right="0" w:hanging="0"/>
              <w:jc w:val="left"/>
              <w:rPr/>
            </w:pPr>
            <w:r>
              <w:rPr/>
              <w:t> </w:t>
            </w:r>
          </w:p>
        </w:tc>
        <w:tc>
          <w:tcPr>
            <w:tcW w:w="219"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4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59" w:type="dxa"/>
            <w:tcBorders/>
            <w:shd w:fill="CCEEFF" w:val="clear"/>
            <w:vAlign w:val="center"/>
          </w:tcPr>
          <w:p>
            <w:pPr>
              <w:pStyle w:val="TableContents"/>
              <w:bidi w:val="0"/>
              <w:spacing w:before="0" w:after="1"/>
              <w:ind w:left="0" w:right="0" w:hanging="0"/>
              <w:jc w:val="left"/>
              <w:rPr/>
            </w:pPr>
            <w:r>
              <w:rPr/>
              <w:t>​</w:t>
            </w:r>
          </w:p>
        </w:tc>
        <w:tc>
          <w:tcPr>
            <w:tcW w:w="10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Restaurants in the comparable base</w:t>
            </w:r>
          </w:p>
        </w:tc>
        <w:tc>
          <w:tcPr>
            <w:tcW w:w="346" w:type="dxa"/>
            <w:tcBorders/>
            <w:vAlign w:val="center"/>
          </w:tcPr>
          <w:p>
            <w:pPr>
              <w:pStyle w:val="TableContents"/>
              <w:bidi w:val="0"/>
              <w:spacing w:before="0" w:after="1"/>
              <w:ind w:left="0" w:right="0" w:hanging="0"/>
              <w:jc w:val="left"/>
              <w:rPr/>
            </w:pPr>
            <w:r>
              <w:rPr/>
              <w:t> </w:t>
            </w:r>
          </w:p>
        </w:tc>
        <w:tc>
          <w:tcPr>
            <w:tcW w:w="219"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438" w:type="dxa"/>
            <w:tcBorders/>
            <w:vAlign w:val="center"/>
          </w:tcPr>
          <w:p>
            <w:pPr>
              <w:pStyle w:val="TableContents"/>
              <w:bidi w:val="0"/>
              <w:spacing w:before="0" w:after="1"/>
              <w:ind w:left="0" w:right="0" w:hanging="0"/>
              <w:jc w:val="left"/>
              <w:rPr/>
            </w:pPr>
            <w:r>
              <w:rPr/>
              <w:t> </w:t>
            </w:r>
          </w:p>
        </w:tc>
        <w:tc>
          <w:tcPr>
            <w:tcW w:w="259" w:type="dxa"/>
            <w:tcBorders/>
            <w:vAlign w:val="center"/>
          </w:tcPr>
          <w:p>
            <w:pPr>
              <w:pStyle w:val="TableContents"/>
              <w:bidi w:val="0"/>
              <w:spacing w:before="0" w:after="1"/>
              <w:ind w:left="0" w:right="0" w:hanging="0"/>
              <w:jc w:val="left"/>
              <w:rPr/>
            </w:pPr>
            <w:r>
              <w:rPr/>
              <w:t>​</w:t>
            </w:r>
          </w:p>
        </w:tc>
        <w:tc>
          <w:tcPr>
            <w:tcW w:w="10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RESTAURANT COUNTS </w:t>
      </w:r>
    </w:p>
    <w:p>
      <w:pPr>
        <w:pStyle w:val="TextBody"/>
        <w:bidi w:val="0"/>
        <w:spacing w:before="0" w:after="240"/>
        <w:ind w:left="0" w:right="0" w:hanging="0"/>
        <w:jc w:val="both"/>
        <w:rPr/>
      </w:pPr>
      <w:r>
        <w:rPr/>
        <w:t>​</w:t>
      </w:r>
    </w:p>
    <w:tbl>
      <w:tblPr>
        <w:tblW w:w="6428" w:type="dxa"/>
        <w:jc w:val="left"/>
        <w:tblInd w:w="0" w:type="dxa"/>
        <w:tblLayout w:type="fixed"/>
        <w:tblCellMar>
          <w:top w:w="0" w:type="dxa"/>
          <w:left w:w="0" w:type="dxa"/>
          <w:bottom w:w="0" w:type="dxa"/>
          <w:right w:w="0" w:type="dxa"/>
        </w:tblCellMar>
      </w:tblPr>
      <w:tblGrid>
        <w:gridCol w:w="3601"/>
        <w:gridCol w:w="109"/>
        <w:gridCol w:w="1066"/>
        <w:gridCol w:w="346"/>
        <w:gridCol w:w="130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286635" cy="175260"/>
                      <wp:effectExtent l="0" t="0" r="0" b="0"/>
                      <wp:wrapNone/>
                      <wp:docPr id="36" name="Frame35"/>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7"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76910" cy="175260"/>
                      <wp:effectExtent l="0" t="0" r="0" b="0"/>
                      <wp:wrapNone/>
                      <wp:docPr id="38" name="Frame3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829310" cy="175260"/>
                      <wp:effectExtent l="0" t="0" r="0" b="0"/>
                      <wp:wrapNone/>
                      <wp:docPr id="40" name="Frame3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0"/>
              <w:ind w:left="0" w:right="0" w:hanging="0"/>
              <w:jc w:val="center"/>
              <w:rPr/>
            </w:pPr>
            <w:r>
              <w:rPr/>
              <w:t>  ​ ​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Company-operated restaurant activity</w:t>
            </w:r>
            <w:r>
              <w:rPr>
                <w:rFonts w:ascii="Times New Roman;Times;serif" w:hAnsi="Times New Roman;Times;serif"/>
                <w:b/>
                <w:sz w:val="15"/>
              </w:rPr>
              <w:t>(1)</w:t>
            </w:r>
            <w:r>
              <w:rPr>
                <w:rFonts w:ascii="Times New Roman;Times;serif" w:hAnsi="Times New Roman;Times;serif"/>
                <w:b/>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109"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Franchise-operated restaurant activity:</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  ​</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Company</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sale to franchisee</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System-wide restaurant activity:</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Openings</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Closures</w:t>
            </w:r>
          </w:p>
        </w:tc>
        <w:tc>
          <w:tcPr>
            <w:tcW w:w="109"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Restaurants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46" w:type="dxa"/>
            <w:tcBorders/>
            <w:shd w:fill="CCEEFF" w:val="clear"/>
            <w:vAlign w:val="center"/>
          </w:tcPr>
          <w:p>
            <w:pPr>
              <w:pStyle w:val="TableContents"/>
              <w:bidi w:val="0"/>
              <w:spacing w:before="0" w:after="0"/>
              <w:ind w:left="0" w:right="0" w:hanging="0"/>
              <w:jc w:val="left"/>
              <w:rPr/>
            </w:pPr>
            <w:r>
              <w:rPr/>
              <w:t>​</w:t>
            </w:r>
          </w:p>
        </w:tc>
        <w:tc>
          <w:tcPr>
            <w:tcW w:w="130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499</w:t>
            </w:r>
          </w:p>
        </w:tc>
      </w:tr>
    </w:tbl>
    <w:tbl>
      <w:tblPr>
        <w:tblW w:w="9685" w:type="dxa"/>
        <w:jc w:val="left"/>
        <w:tblInd w:w="0" w:type="dxa"/>
        <w:tblLayout w:type="fixed"/>
        <w:tblCellMar>
          <w:top w:w="0" w:type="dxa"/>
          <w:left w:w="0" w:type="dxa"/>
          <w:bottom w:w="0" w:type="dxa"/>
          <w:right w:w="0" w:type="dxa"/>
        </w:tblCellMar>
      </w:tblPr>
      <w:tblGrid>
        <w:gridCol w:w="185"/>
        <w:gridCol w:w="9500"/>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restaurant count includes 505 domestic restaurants and excludes the eight licensed restaurants in the Philippines.</w:t>
            </w:r>
          </w:p>
        </w:tc>
      </w:tr>
    </w:tbl>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RECONCILIATION OF SYSTEM-WIDE SALES TO COMPANY-OPERATED RESTAURANT REVENUE AND TOTAL REVENUE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6011" w:type="dxa"/>
        <w:jc w:val="left"/>
        <w:tblInd w:w="0" w:type="dxa"/>
        <w:tblLayout w:type="fixed"/>
        <w:tblCellMar>
          <w:top w:w="0" w:type="dxa"/>
          <w:left w:w="0" w:type="dxa"/>
          <w:bottom w:w="0" w:type="dxa"/>
          <w:right w:w="0" w:type="dxa"/>
        </w:tblCellMar>
      </w:tblPr>
      <w:tblGrid>
        <w:gridCol w:w="3421"/>
        <w:gridCol w:w="109"/>
        <w:gridCol w:w="226"/>
        <w:gridCol w:w="840"/>
        <w:gridCol w:w="109"/>
        <w:gridCol w:w="248"/>
        <w:gridCol w:w="105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72335" cy="175260"/>
                      <wp:effectExtent l="0" t="0" r="0" b="0"/>
                      <wp:wrapNone/>
                      <wp:docPr id="41" name="Frame4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3510" cy="175260"/>
                      <wp:effectExtent l="0" t="0" r="0" b="0"/>
                      <wp:wrapNone/>
                      <wp:docPr id="43" name="Frame4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33400" cy="175260"/>
                      <wp:effectExtent l="0" t="0" r="0" b="0"/>
                      <wp:wrapNone/>
                      <wp:docPr id="44" name="Frame4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57480" cy="175260"/>
                      <wp:effectExtent l="0" t="0" r="0" b="0"/>
                      <wp:wrapNone/>
                      <wp:docPr id="46" name="Frame4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71830" cy="175260"/>
                      <wp:effectExtent l="0" t="0" r="0" b="0"/>
                      <wp:wrapNone/>
                      <wp:docPr id="47" name="Frame46"/>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105,915</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98,365</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126,182</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119,177</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from franchise-operated restaurants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188,978</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171,088</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System-wide sales</w:t>
            </w:r>
            <w:r>
              <w:rPr>
                <w:rFonts w:ascii="Times New Roman;Times;serif" w:hAnsi="Times New Roman;Times;serif"/>
                <w:b/>
                <w:sz w:val="15"/>
              </w:rPr>
              <w:t>(1)</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294,893</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269,453</w:t>
            </w:r>
          </w:p>
        </w:tc>
      </w:tr>
    </w:tbl>
    <w:p>
      <w:pPr>
        <w:pStyle w:val="TextBody"/>
        <w:bidi w:val="0"/>
        <w:spacing w:before="0" w:after="0"/>
        <w:ind w:left="360" w:right="0" w:hanging="0"/>
        <w:jc w:val="left"/>
        <w:rPr/>
      </w:pPr>
      <w:r>
        <w:rPr/>
        <w:t>​</w:t>
      </w:r>
    </w:p>
    <w:tbl>
      <w:tblPr>
        <w:tblW w:w="6835" w:type="dxa"/>
        <w:jc w:val="left"/>
        <w:tblInd w:w="0" w:type="dxa"/>
        <w:tblLayout w:type="fixed"/>
        <w:tblCellMar>
          <w:top w:w="0" w:type="dxa"/>
          <w:left w:w="0" w:type="dxa"/>
          <w:bottom w:w="0" w:type="dxa"/>
          <w:right w:w="0" w:type="dxa"/>
        </w:tblCellMar>
      </w:tblPr>
      <w:tblGrid>
        <w:gridCol w:w="185"/>
        <w:gridCol w:w="6650"/>
      </w:tblGrid>
      <w:tr>
        <w:trPr/>
        <w:tc>
          <w:tcPr>
            <w:tcW w:w="1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System-wide sales do not include the eight licensed restaurants in the Philippines.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RECONCILIATION OF NET INCOME TO EBITDA AND ADJUSTED EBITDA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7685" w:type="dxa"/>
        <w:jc w:val="left"/>
        <w:tblInd w:w="0" w:type="dxa"/>
        <w:tblLayout w:type="fixed"/>
        <w:tblCellMar>
          <w:top w:w="0" w:type="dxa"/>
          <w:left w:w="0" w:type="dxa"/>
          <w:bottom w:w="0" w:type="dxa"/>
          <w:right w:w="0" w:type="dxa"/>
        </w:tblCellMar>
      </w:tblPr>
      <w:tblGrid>
        <w:gridCol w:w="4621"/>
        <w:gridCol w:w="346"/>
        <w:gridCol w:w="253"/>
        <w:gridCol w:w="813"/>
        <w:gridCol w:w="346"/>
        <w:gridCol w:w="275"/>
        <w:gridCol w:w="1031"/>
      </w:tblGrid>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0655" cy="175260"/>
                      <wp:effectExtent l="0" t="0" r="0" b="0"/>
                      <wp:wrapNone/>
                      <wp:docPr id="49" name="Frame4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16255" cy="175260"/>
                      <wp:effectExtent l="0" t="0" r="0" b="0"/>
                      <wp:wrapNone/>
                      <wp:docPr id="50" name="Frame49"/>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74625" cy="175260"/>
                      <wp:effectExtent l="0" t="0" r="0" b="0"/>
                      <wp:wrapNone/>
                      <wp:docPr id="52" name="Frame5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54685" cy="175260"/>
                      <wp:effectExtent l="0" t="0" r="0" b="0"/>
                      <wp:wrapNone/>
                      <wp:docPr id="53" name="Frame52"/>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4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1"/>
              <w:ind w:left="0" w:right="0" w:hanging="0"/>
              <w:jc w:val="center"/>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8,157</w:t>
            </w:r>
          </w:p>
        </w:tc>
        <w:tc>
          <w:tcPr>
            <w:tcW w:w="346" w:type="dxa"/>
            <w:tcBorders/>
            <w:vAlign w:val="center"/>
          </w:tcPr>
          <w:p>
            <w:pPr>
              <w:pStyle w:val="TableContents"/>
              <w:bidi w:val="0"/>
              <w:spacing w:before="0" w:after="1"/>
              <w:ind w:left="0" w:right="0" w:hanging="0"/>
              <w:jc w:val="left"/>
              <w:rPr/>
            </w:pPr>
            <w:r>
              <w:rPr/>
              <w:t> </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5,481</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3,329</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4,314</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3,887</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16,531</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12,859</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w:t>
            </w:r>
            <w:r>
              <w:rPr>
                <w:rFonts w:ascii="Times New Roman;Times;serif" w:hAnsi="Times New Roman;Times;serif"/>
                <w:sz w:val="15"/>
              </w:rPr>
              <w:t>(a)</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Loss on disposal of assets </w:t>
            </w:r>
            <w:r>
              <w:rPr>
                <w:rFonts w:ascii="Times New Roman;Times;serif" w:hAnsi="Times New Roman;Times;serif"/>
                <w:sz w:val="15"/>
              </w:rPr>
              <w:t>(b)</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Impairment and closed-store reserves </w:t>
            </w:r>
            <w:r>
              <w:rPr>
                <w:rFonts w:ascii="Times New Roman;Times;serif" w:hAnsi="Times New Roman;Times;serif"/>
                <w:sz w:val="15"/>
              </w:rPr>
              <w:t>(c)</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Legal settlement </w:t>
            </w:r>
            <w:r>
              <w:rPr>
                <w:rFonts w:ascii="Times New Roman;Times;serif" w:hAnsi="Times New Roman;Times;serif"/>
                <w:sz w:val="15"/>
              </w:rPr>
              <w:t>(d)</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Special legal and professional fees expense </w:t>
            </w:r>
            <w:r>
              <w:rPr>
                <w:rFonts w:ascii="Times New Roman;Times;serif" w:hAnsi="Times New Roman;Times;serif"/>
                <w:sz w:val="15"/>
              </w:rPr>
              <w:t>(e)</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Duplicate rent expense for corporate office relocation </w:t>
            </w:r>
            <w:r>
              <w:rPr>
                <w:rFonts w:ascii="Times New Roman;Times;serif" w:hAnsi="Times New Roman;Times;serif"/>
                <w:sz w:val="15"/>
              </w:rPr>
              <w:t>(f)</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ERP software implementation costs </w:t>
            </w:r>
            <w:r>
              <w:rPr>
                <w:rFonts w:ascii="Times New Roman;Times;serif" w:hAnsi="Times New Roman;Times;serif"/>
                <w:sz w:val="15"/>
              </w:rPr>
              <w:t>(g)</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pPr>
            <w:r>
              <w:rPr/>
              <w:t>—</w:t>
            </w:r>
          </w:p>
        </w:tc>
      </w:tr>
      <w:tr>
        <w:trPr/>
        <w:tc>
          <w:tcPr>
            <w:tcW w:w="4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Pre-opening costs </w:t>
            </w:r>
            <w:r>
              <w:rPr>
                <w:rFonts w:ascii="Times New Roman;Times;serif" w:hAnsi="Times New Roman;Times;serif"/>
                <w:sz w:val="15"/>
              </w:rPr>
              <w:t>(h)</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6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vAlign w:val="center"/>
          </w:tcPr>
          <w:p>
            <w:pPr>
              <w:pStyle w:val="TableContents"/>
              <w:bidi w:val="0"/>
              <w:spacing w:before="0" w:after="1"/>
              <w:ind w:left="0" w:right="0" w:hanging="0"/>
              <w:jc w:val="left"/>
              <w:rPr/>
            </w:pPr>
            <w:r>
              <w:rPr/>
              <w:t> </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18,190</w:t>
            </w:r>
          </w:p>
        </w:tc>
        <w:tc>
          <w:tcPr>
            <w:tcW w:w="346" w:type="dxa"/>
            <w:tcBorders/>
            <w:vAlign w:val="center"/>
          </w:tcPr>
          <w:p>
            <w:pPr>
              <w:pStyle w:val="TableContents"/>
              <w:bidi w:val="0"/>
              <w:spacing w:before="0" w:after="1"/>
              <w:ind w:left="0" w:right="0" w:hanging="0"/>
              <w:jc w:val="left"/>
              <w:rPr/>
            </w:pPr>
            <w:r>
              <w:rPr/>
              <w:t> </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13,925</w:t>
            </w:r>
          </w:p>
        </w:tc>
      </w:tr>
    </w:tbl>
    <w:p>
      <w:pPr>
        <w:pStyle w:val="HorizontalLine"/>
        <w:pBdr>
          <w:bottom w:val="single" w:sz="6" w:space="0" w:color="000000"/>
        </w:pBdr>
        <w:bidi w:val="0"/>
        <w:spacing w:before="0" w:after="0"/>
        <w:ind w:left="0" w:right="7654" w:hanging="0"/>
        <w:jc w:val="left"/>
        <w:rPr/>
      </w:pPr>
      <w:r>
        <w:rPr/>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non-cash stock-based compensation.</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includes the loss or gain on disposal of assets related to retirements and replacement or write-off of leasehold improvements or equipment.</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w:t>
            </w:r>
          </w:p>
        </w:tc>
        <w:tc>
          <w:tcPr>
            <w:tcW w:w="10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costs related to impairment of property and equipment and ROU assets and closing restaurants. During both the thirteen weeks ended April 1, 2026 and March 26, 2025, we did not record any non-cash impairment charges. During both the thirteen weeks ended April 1, 2026 and March 26, 2025, we recognized less than $0.1 million of closed-store reserve expense related to the amortization of ROU assets, property taxes and CAM payments for our closed locations.</w:t>
            </w:r>
          </w:p>
        </w:tc>
      </w:tr>
    </w:tbl>
    <w:tbl>
      <w:tblPr>
        <w:tblW w:w="6310" w:type="dxa"/>
        <w:jc w:val="left"/>
        <w:tblInd w:w="0" w:type="dxa"/>
        <w:tblLayout w:type="fixed"/>
        <w:tblCellMar>
          <w:top w:w="0" w:type="dxa"/>
          <w:left w:w="0" w:type="dxa"/>
          <w:bottom w:w="0" w:type="dxa"/>
          <w:right w:w="0" w:type="dxa"/>
        </w:tblCellMar>
      </w:tblPr>
      <w:tblGrid>
        <w:gridCol w:w="230"/>
        <w:gridCol w:w="6080"/>
      </w:tblGrid>
      <w:tr>
        <w:trPr/>
        <w:tc>
          <w:tcPr>
            <w:tcW w:w="23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$0.6 million received from legal settlement, net of legal expenses.</w:t>
            </w:r>
          </w:p>
        </w:tc>
      </w:tr>
    </w:tbl>
    <w:tbl>
      <w:tblPr>
        <w:tblW w:w="7570" w:type="dxa"/>
        <w:jc w:val="left"/>
        <w:tblInd w:w="0" w:type="dxa"/>
        <w:tblLayout w:type="fixed"/>
        <w:tblCellMar>
          <w:top w:w="0" w:type="dxa"/>
          <w:left w:w="0" w:type="dxa"/>
          <w:bottom w:w="0" w:type="dxa"/>
          <w:right w:w="0" w:type="dxa"/>
        </w:tblCellMar>
      </w:tblPr>
      <w:tblGrid>
        <w:gridCol w:w="215"/>
        <w:gridCol w:w="7355"/>
      </w:tblGrid>
      <w:tr>
        <w:trPr/>
        <w:tc>
          <w:tcPr>
            <w:tcW w:w="21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w:t>
            </w:r>
          </w:p>
        </w:tc>
        <w:tc>
          <w:tcPr>
            <w:tcW w:w="7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legal and professional costs related to shareholder activism and related matters </w:t>
            </w:r>
          </w:p>
        </w:tc>
      </w:tr>
    </w:tbl>
    <w:tbl>
      <w:tblPr>
        <w:tblW w:w="6295" w:type="dxa"/>
        <w:jc w:val="left"/>
        <w:tblInd w:w="0" w:type="dxa"/>
        <w:tblLayout w:type="fixed"/>
        <w:tblCellMar>
          <w:top w:w="0" w:type="dxa"/>
          <w:left w:w="0" w:type="dxa"/>
          <w:bottom w:w="0" w:type="dxa"/>
          <w:right w:w="0" w:type="dxa"/>
        </w:tblCellMar>
      </w:tblPr>
      <w:tblGrid>
        <w:gridCol w:w="200"/>
        <w:gridCol w:w="6095"/>
      </w:tblGrid>
      <w:tr>
        <w:trPr/>
        <w:tc>
          <w:tcPr>
            <w:tcW w:w="20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w:t>
            </w:r>
          </w:p>
        </w:tc>
        <w:tc>
          <w:tcPr>
            <w:tcW w:w="6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duplicate rent expense for the corporate headquarter relocation.</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costs incurred in connection with the implementation of a new “ERP” system which are included in general and administrative expenses.</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(h)</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RECONCILIATION OF NET INCOME TO ADJUSTED NET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 amounts in thousands, except share and per share data)</w:t>
      </w:r>
    </w:p>
    <w:tbl>
      <w:tblPr>
        <w:tblW w:w="9454" w:type="dxa"/>
        <w:jc w:val="left"/>
        <w:tblInd w:w="0" w:type="dxa"/>
        <w:tblLayout w:type="fixed"/>
        <w:tblCellMar>
          <w:top w:w="0" w:type="dxa"/>
          <w:left w:w="0" w:type="dxa"/>
          <w:bottom w:w="0" w:type="dxa"/>
          <w:right w:w="0" w:type="dxa"/>
        </w:tblCellMar>
      </w:tblPr>
      <w:tblGrid>
        <w:gridCol w:w="6151"/>
        <w:gridCol w:w="346"/>
        <w:gridCol w:w="211"/>
        <w:gridCol w:w="1036"/>
        <w:gridCol w:w="346"/>
        <w:gridCol w:w="211"/>
        <w:gridCol w:w="1153"/>
      </w:tblGrid>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57860" cy="175260"/>
                      <wp:effectExtent l="0" t="0" r="0" b="0"/>
                      <wp:wrapNone/>
                      <wp:docPr id="56" name="Frame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32155" cy="175260"/>
                      <wp:effectExtent l="0" t="0" r="0" b="0"/>
                      <wp:wrapNone/>
                      <wp:docPr id="59" name="Frame58"/>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46" w:type="dxa"/>
            <w:tcBorders/>
            <w:vAlign w:val="center"/>
          </w:tcPr>
          <w:p>
            <w:pPr>
              <w:pStyle w:val="TableContents"/>
              <w:bidi w:val="0"/>
              <w:spacing w:before="0" w:after="0"/>
              <w:ind w:left="0" w:right="0" w:hanging="0"/>
              <w:jc w:val="center"/>
              <w:rPr/>
            </w:pPr>
            <w:r>
              <w:rPr/>
              <w:t>  ​ ​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as reported</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5,481</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taxes, as reported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settlements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Special legal and professional fees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Duplicate rent expense for corporate office relocation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ERP software implementation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8,345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5,521</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weighted-average share and per share data: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adjusted 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right"/>
              <w:rPr/>
            </w:pPr>
            <w:r>
              <w:rPr/>
              <w:t>​</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29,407,496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29,085,836</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29,691,297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29,337,906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 POLLO LOCO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RECONCILIATION OF INCOME FROM OPERATIONS TO RESTAURANT CONTRIBUTION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(dollar amounts in thousands)</w:t>
      </w:r>
    </w:p>
    <w:tbl>
      <w:tblPr>
        <w:tblW w:w="6816" w:type="dxa"/>
        <w:jc w:val="left"/>
        <w:tblInd w:w="0" w:type="dxa"/>
        <w:tblLayout w:type="fixed"/>
        <w:tblCellMar>
          <w:top w:w="0" w:type="dxa"/>
          <w:left w:w="0" w:type="dxa"/>
          <w:bottom w:w="0" w:type="dxa"/>
          <w:right w:w="0" w:type="dxa"/>
        </w:tblCellMar>
      </w:tblPr>
      <w:tblGrid>
        <w:gridCol w:w="3466"/>
        <w:gridCol w:w="346"/>
        <w:gridCol w:w="226"/>
        <w:gridCol w:w="840"/>
        <w:gridCol w:w="361"/>
        <w:gridCol w:w="268"/>
        <w:gridCol w:w="993"/>
        <w:gridCol w:w="316"/>
      </w:tblGrid>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61" name="Frame6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33400" cy="175260"/>
                      <wp:effectExtent l="0" t="0" r="0" b="0"/>
                      <wp:wrapNone/>
                      <wp:docPr id="62" name="Frame61"/>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29235" cy="175260"/>
                      <wp:effectExtent l="0" t="0" r="0" b="0"/>
                      <wp:wrapNone/>
                      <wp:docPr id="63" name="Frame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70180" cy="175260"/>
                      <wp:effectExtent l="0" t="0" r="0" b="0"/>
                      <wp:wrapNone/>
                      <wp:docPr id="64" name="Frame6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30555" cy="175260"/>
                      <wp:effectExtent l="0" t="0" r="0" b="0"/>
                      <wp:wrapNone/>
                      <wp:docPr id="65" name="Frame64"/>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0660" cy="175260"/>
                      <wp:effectExtent l="0" t="0" r="0" b="0"/>
                      <wp:wrapNone/>
                      <wp:docPr id="66" name="Frame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1, 2026</w:t>
            </w:r>
          </w:p>
        </w:tc>
        <w:tc>
          <w:tcPr>
            <w:tcW w:w="361"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26, 2025</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12,217</w:t>
            </w:r>
          </w:p>
        </w:tc>
        <w:tc>
          <w:tcPr>
            <w:tcW w:w="361"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8,972</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(less):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12,794</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11,263</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and closed-store reserves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Restaurant contribution</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20,357</w:t>
            </w:r>
          </w:p>
        </w:tc>
        <w:tc>
          <w:tcPr>
            <w:tcW w:w="361" w:type="dxa"/>
            <w:tcBorders/>
            <w:shd w:fill="CCEEFF" w:val="clear"/>
            <w:vAlign w:val="center"/>
          </w:tcPr>
          <w:p>
            <w:pPr>
              <w:pStyle w:val="TableContents"/>
              <w:bidi w:val="0"/>
              <w:spacing w:before="0" w:after="0"/>
              <w:ind w:left="0" w:right="0" w:hanging="0"/>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126,182</w:t>
            </w:r>
          </w:p>
        </w:tc>
        <w:tc>
          <w:tcPr>
            <w:tcW w:w="361"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119,177</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revenue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61"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advertising fee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Company-operated restaurant revenue</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105,915</w:t>
            </w:r>
          </w:p>
        </w:tc>
        <w:tc>
          <w:tcPr>
            <w:tcW w:w="361"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98,365</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Restaurant contribution margin (%)</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5673</Words>
  <Characters>32636</Characters>
  <CharactersWithSpaces>38572</CharactersWithSpaces>
  <Paragraphs>1329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