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43" w:lineRule="exact"/>
        <w:rPr>
          <w:sz w:val="24"/>
          <w:szCs w:val="24"/>
          <w:color w:val="auto"/>
        </w:rPr>
      </w:pPr>
    </w:p>
    <w:p>
      <w:pPr>
        <w:ind w:left="60"/>
        <w:spacing w:after="0"/>
        <w:rPr>
          <w:sz w:val="20"/>
          <w:szCs w:val="20"/>
          <w:color w:val="auto"/>
        </w:rPr>
      </w:pPr>
      <w:r>
        <w:rPr>
          <w:rFonts w:ascii="Arial" w:cs="Arial" w:eastAsia="Arial" w:hAnsi="Arial"/>
          <w:sz w:val="18"/>
          <w:szCs w:val="18"/>
          <w:color w:val="auto"/>
        </w:rPr>
        <w:t>Date of Report (Date of earliest event reported): July 30, 2020</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EL POLLO LOCO HOLDINGS, INC.</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66"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320" w:type="dxa"/>
            <w:vAlign w:val="bottom"/>
            <w:tcBorders>
              <w:bottom w:val="single" w:sz="8" w:color="auto"/>
            </w:tcBorders>
          </w:tcPr>
          <w:p>
            <w:pPr>
              <w:jc w:val="center"/>
              <w:ind w:right="1210"/>
              <w:spacing w:after="0"/>
              <w:rPr>
                <w:sz w:val="20"/>
                <w:szCs w:val="20"/>
                <w:color w:val="auto"/>
              </w:rPr>
            </w:pPr>
            <w:r>
              <w:rPr>
                <w:rFonts w:ascii="Arial" w:cs="Arial" w:eastAsia="Arial" w:hAnsi="Arial"/>
                <w:sz w:val="18"/>
                <w:szCs w:val="18"/>
                <w:color w:val="auto"/>
                <w:w w:val="90"/>
              </w:rPr>
              <w:t>001-36556</w:t>
            </w: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20-3563182</w:t>
            </w:r>
          </w:p>
        </w:tc>
      </w:tr>
      <w:tr>
        <w:trPr>
          <w:trHeight w:val="195"/>
        </w:trPr>
        <w:tc>
          <w:tcPr>
            <w:tcW w:w="3920" w:type="dxa"/>
            <w:vAlign w:val="bottom"/>
          </w:tcPr>
          <w:p>
            <w:pPr>
              <w:spacing w:after="0" w:line="195" w:lineRule="exact"/>
              <w:rPr>
                <w:sz w:val="20"/>
                <w:szCs w:val="20"/>
                <w:color w:val="auto"/>
              </w:rPr>
            </w:pPr>
            <w:r>
              <w:rPr>
                <w:rFonts w:ascii="Arial" w:cs="Arial" w:eastAsia="Arial" w:hAnsi="Arial"/>
                <w:sz w:val="18"/>
                <w:szCs w:val="18"/>
                <w:color w:val="auto"/>
              </w:rPr>
              <w:t>(State or other jurisdiction</w:t>
            </w:r>
          </w:p>
        </w:tc>
        <w:tc>
          <w:tcPr>
            <w:tcW w:w="2320" w:type="dxa"/>
            <w:vAlign w:val="bottom"/>
          </w:tcPr>
          <w:p>
            <w:pPr>
              <w:jc w:val="center"/>
              <w:ind w:right="1190"/>
              <w:spacing w:after="0" w:line="195" w:lineRule="exact"/>
              <w:rPr>
                <w:sz w:val="20"/>
                <w:szCs w:val="20"/>
                <w:color w:val="auto"/>
              </w:rPr>
            </w:pPr>
            <w:r>
              <w:rPr>
                <w:rFonts w:ascii="Arial" w:cs="Arial" w:eastAsia="Arial" w:hAnsi="Arial"/>
                <w:sz w:val="18"/>
                <w:szCs w:val="18"/>
                <w:color w:val="auto"/>
                <w:w w:val="91"/>
              </w:rPr>
              <w:t>(Commission</w:t>
            </w:r>
          </w:p>
        </w:tc>
        <w:tc>
          <w:tcPr>
            <w:tcW w:w="2660" w:type="dxa"/>
            <w:vAlign w:val="bottom"/>
          </w:tcPr>
          <w:p>
            <w:pPr>
              <w:jc w:val="right"/>
              <w:spacing w:after="0" w:line="195" w:lineRule="exact"/>
              <w:rPr>
                <w:sz w:val="20"/>
                <w:szCs w:val="20"/>
                <w:color w:val="auto"/>
              </w:rPr>
            </w:pPr>
            <w:r>
              <w:rPr>
                <w:rFonts w:ascii="Arial" w:cs="Arial" w:eastAsia="Arial" w:hAnsi="Arial"/>
                <w:sz w:val="18"/>
                <w:szCs w:val="18"/>
                <w:color w:val="auto"/>
              </w:rPr>
              <w:t>(IRS Employer</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of incorporation)</w:t>
            </w:r>
          </w:p>
        </w:tc>
        <w:tc>
          <w:tcPr>
            <w:tcW w:w="2320" w:type="dxa"/>
            <w:vAlign w:val="bottom"/>
          </w:tcPr>
          <w:p>
            <w:pPr>
              <w:jc w:val="center"/>
              <w:ind w:right="1190"/>
              <w:spacing w:after="0"/>
              <w:rPr>
                <w:sz w:val="20"/>
                <w:szCs w:val="20"/>
                <w:color w:val="auto"/>
              </w:rPr>
            </w:pPr>
            <w:r>
              <w:rPr>
                <w:rFonts w:ascii="Arial" w:cs="Arial" w:eastAsia="Arial" w:hAnsi="Arial"/>
                <w:sz w:val="18"/>
                <w:szCs w:val="18"/>
                <w:color w:val="auto"/>
                <w:w w:val="92"/>
              </w:rPr>
              <w:t>File Number)</w:t>
            </w:r>
          </w:p>
        </w:tc>
        <w:tc>
          <w:tcPr>
            <w:tcW w:w="2660" w:type="dxa"/>
            <w:vAlign w:val="bottom"/>
          </w:tcPr>
          <w:p>
            <w:pPr>
              <w:jc w:val="right"/>
              <w:spacing w:after="0"/>
              <w:rPr>
                <w:sz w:val="20"/>
                <w:szCs w:val="20"/>
                <w:color w:val="auto"/>
              </w:rPr>
            </w:pPr>
            <w:r>
              <w:rPr>
                <w:rFonts w:ascii="Arial" w:cs="Arial" w:eastAsia="Arial" w:hAnsi="Arial"/>
                <w:sz w:val="18"/>
                <w:szCs w:val="18"/>
                <w:color w:val="auto"/>
              </w:rPr>
              <w:t>Identification No.)</w:t>
            </w:r>
          </w:p>
        </w:tc>
      </w:tr>
      <w:tr>
        <w:trPr>
          <w:trHeight w:val="688"/>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3535 Harbor Blvd., Suite 100, Costa Mesa, California</w:t>
            </w:r>
          </w:p>
        </w:tc>
        <w:tc>
          <w:tcPr>
            <w:tcW w:w="2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92626</w:t>
            </w:r>
          </w:p>
        </w:tc>
      </w:tr>
      <w:tr>
        <w:trPr>
          <w:trHeight w:val="224"/>
        </w:trPr>
        <w:tc>
          <w:tcPr>
            <w:tcW w:w="392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232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(Zip Code)</w:t>
            </w:r>
          </w:p>
        </w:tc>
      </w:tr>
    </w:tbl>
    <w:p>
      <w:pPr>
        <w:spacing w:after="0" w:line="228" w:lineRule="exact"/>
        <w:rPr>
          <w:sz w:val="24"/>
          <w:szCs w:val="24"/>
          <w:color w:val="auto"/>
        </w:rPr>
      </w:pPr>
    </w:p>
    <w:p>
      <w:pPr>
        <w:ind w:left="60"/>
        <w:spacing w:after="0"/>
        <w:rPr>
          <w:sz w:val="20"/>
          <w:szCs w:val="20"/>
          <w:color w:val="auto"/>
        </w:rPr>
      </w:pPr>
      <w:r>
        <w:rPr>
          <w:rFonts w:ascii="Arial" w:cs="Arial" w:eastAsia="Arial" w:hAnsi="Arial"/>
          <w:sz w:val="18"/>
          <w:szCs w:val="18"/>
          <w:color w:val="auto"/>
        </w:rPr>
        <w:t>Registrant’s telephone number, including area code: (714) 599-5000</w:t>
      </w:r>
    </w:p>
    <w:p>
      <w:pPr>
        <w:spacing w:after="0" w:line="117"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5657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14a-2 under the Exchange Act (17 CFR 240.14a-12)</w:t>
      </w:r>
    </w:p>
    <w:p>
      <w:pPr>
        <w:spacing w:after="0" w:line="117" w:lineRule="exact"/>
        <w:rPr>
          <w:rFonts w:ascii="MS PGothic" w:cs="MS PGothic" w:eastAsia="MS PGothic" w:hAnsi="MS PGothic"/>
          <w:sz w:val="18"/>
          <w:szCs w:val="18"/>
          <w:color w:val="auto"/>
        </w:rPr>
      </w:pPr>
    </w:p>
    <w:p>
      <w:pPr>
        <w:ind w:left="260" w:hanging="210"/>
        <w:spacing w:after="0"/>
        <w:tabs>
          <w:tab w:leader="none" w:pos="2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28" w:lineRule="exact"/>
        <w:rPr>
          <w:rFonts w:ascii="MS PGothic" w:cs="MS PGothic" w:eastAsia="MS PGothic" w:hAnsi="MS PGothic"/>
          <w:sz w:val="17"/>
          <w:szCs w:val="17"/>
          <w:color w:val="auto"/>
        </w:rPr>
      </w:pPr>
    </w:p>
    <w:p>
      <w:pPr>
        <w:ind w:left="260" w:hanging="210"/>
        <w:spacing w:after="0"/>
        <w:tabs>
          <w:tab w:leader="none" w:pos="2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23"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3"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3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LOCO</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ind w:left="60" w:right="119"/>
        <w:spacing w:after="0" w:line="227"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 230.405 of this chapter) or Rule 12b- 2 of the Securities Exchange Act of 1934 (§ 240.12b-2 of this chapter). Emerging growth company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60" w:right="43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528320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108585</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151130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63"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568960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color w:val="auto"/>
        </w:rPr>
        <w:t>On July 30, 2020, El Pollo Loco Holdings, Inc. (the "Company"), issued a press release announcing certain financial results for its first quarter ended June 24, 2020. The press release is attached hereto as Exhibit 99.1 and is incorporated herein by reference.</w:t>
      </w:r>
    </w:p>
    <w:p>
      <w:pPr>
        <w:spacing w:after="0" w:line="184"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Exhibit 99.1 attached hereto shall not be deemed “filed” for purposes of Section 18 of the Securities Exchange Act of 1934 (the “Exchange Act”) or otherwise subject to the liabilities of that section and shall not be incorporated by reference into any filing of the Company under the Securities Act of 1933 or the Exchange Act, regardless of any general incorporation language in such filing, except as shall be expressly set forth by specific reference in any such filing.</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440" w:type="dxa"/>
            <w:vAlign w:val="bottom"/>
            <w:gridSpan w:val="4"/>
          </w:tcPr>
          <w:p>
            <w:pPr>
              <w:ind w:left="20"/>
              <w:spacing w:after="0"/>
              <w:rPr>
                <w:sz w:val="20"/>
                <w:szCs w:val="20"/>
                <w:color w:val="auto"/>
              </w:rPr>
            </w:pPr>
            <w:r>
              <w:rPr>
                <w:rFonts w:ascii="Arial" w:cs="Arial" w:eastAsia="Arial" w:hAnsi="Arial"/>
                <w:sz w:val="18"/>
                <w:szCs w:val="18"/>
                <w:color w:val="auto"/>
              </w:rPr>
              <w:t>(d) Exhibits.</w:t>
            </w:r>
          </w:p>
        </w:tc>
        <w:tc>
          <w:tcPr>
            <w:tcW w:w="74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533"/>
        </w:trPr>
        <w:tc>
          <w:tcPr>
            <w:tcW w:w="20" w:type="dxa"/>
            <w:vAlign w:val="bottom"/>
          </w:tcPr>
          <w:p>
            <w:pPr>
              <w:spacing w:after="0"/>
              <w:rPr>
                <w:sz w:val="24"/>
                <w:szCs w:val="24"/>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Exhibit Number</w:t>
            </w:r>
          </w:p>
        </w:tc>
        <w:tc>
          <w:tcPr>
            <w:tcW w:w="74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Description</w:t>
            </w:r>
          </w:p>
        </w:tc>
      </w:tr>
      <w:tr>
        <w:trPr>
          <w:trHeight w:val="224"/>
        </w:trPr>
        <w:tc>
          <w:tcPr>
            <w:tcW w:w="20" w:type="dxa"/>
            <w:vAlign w:val="bottom"/>
          </w:tcPr>
          <w:p>
            <w:pPr>
              <w:spacing w:after="0"/>
              <w:rPr>
                <w:sz w:val="19"/>
                <w:szCs w:val="19"/>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19"/>
                <w:szCs w:val="19"/>
                <w:color w:val="auto"/>
              </w:rPr>
            </w:pPr>
          </w:p>
        </w:tc>
        <w:tc>
          <w:tcPr>
            <w:tcW w:w="7480" w:type="dxa"/>
            <w:vAlign w:val="bottom"/>
          </w:tcPr>
          <w:p>
            <w:pPr>
              <w:ind w:left="2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Earnings press release, dated July 30, 2020</w:t>
              </w:r>
            </w:hyperlink>
          </w:p>
        </w:tc>
      </w:tr>
      <w:tr>
        <w:trPr>
          <w:trHeight w:val="1019"/>
        </w:trPr>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color w:val="auto"/>
        </w:rPr>
        <w:t>El Pollo Loco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5648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30, 2020</w:t>
      </w:r>
    </w:p>
    <w:p>
      <w:pPr>
        <w:spacing w:after="0" w:line="200" w:lineRule="exact"/>
        <w:rPr>
          <w:sz w:val="20"/>
          <w:szCs w:val="20"/>
          <w:color w:val="auto"/>
        </w:rPr>
      </w:pPr>
    </w:p>
    <w:p>
      <w:pPr>
        <w:spacing w:after="0" w:line="3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56489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1120140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jc w:val="right"/>
        <w:ind w:right="5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1714500" cy="1714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El Pollo Loco Holdings, Inc. Announces</w:t>
      </w:r>
    </w:p>
    <w:p>
      <w:pPr>
        <w:spacing w:after="0" w:line="2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Second Quarter 2020 Financial Results</w:t>
      </w:r>
    </w:p>
    <w:p>
      <w:pPr>
        <w:spacing w:after="0" w:line="207" w:lineRule="exact"/>
        <w:rPr>
          <w:sz w:val="20"/>
          <w:szCs w:val="20"/>
          <w:color w:val="auto"/>
        </w:rPr>
      </w:pPr>
    </w:p>
    <w:p>
      <w:pPr>
        <w:ind w:left="60" w:right="79"/>
        <w:spacing w:after="0" w:line="347" w:lineRule="auto"/>
        <w:rPr>
          <w:sz w:val="20"/>
          <w:szCs w:val="20"/>
          <w:color w:val="auto"/>
        </w:rPr>
      </w:pPr>
      <w:r>
        <w:rPr>
          <w:rFonts w:ascii="Arial" w:cs="Arial" w:eastAsia="Arial" w:hAnsi="Arial"/>
          <w:sz w:val="16"/>
          <w:szCs w:val="16"/>
          <w:b w:val="1"/>
          <w:bCs w:val="1"/>
          <w:color w:val="auto"/>
        </w:rPr>
        <w:t xml:space="preserve">COSTA MESA, CA – July 30, 2020 – </w:t>
      </w:r>
      <w:r>
        <w:rPr>
          <w:rFonts w:ascii="Arial" w:cs="Arial" w:eastAsia="Arial" w:hAnsi="Arial"/>
          <w:sz w:val="16"/>
          <w:szCs w:val="16"/>
          <w:color w:val="auto"/>
        </w:rPr>
        <w:t>El Pollo Loco Holdings, Inc. (Nasdaq: LOCO) today announced financial results</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13-week period ended June 24, 2020 and provided a business update on the impact of the COVID-19 pandemic.</w:t>
      </w:r>
    </w:p>
    <w:p>
      <w:pPr>
        <w:spacing w:after="0" w:line="116" w:lineRule="exact"/>
        <w:rPr>
          <w:sz w:val="20"/>
          <w:szCs w:val="20"/>
          <w:color w:val="auto"/>
        </w:rPr>
      </w:pPr>
    </w:p>
    <w:p>
      <w:pPr>
        <w:ind w:left="60" w:right="59"/>
        <w:spacing w:after="0" w:line="282" w:lineRule="auto"/>
        <w:rPr>
          <w:sz w:val="20"/>
          <w:szCs w:val="20"/>
          <w:color w:val="auto"/>
        </w:rPr>
      </w:pPr>
      <w:r>
        <w:rPr>
          <w:rFonts w:ascii="Arial" w:cs="Arial" w:eastAsia="Arial" w:hAnsi="Arial"/>
          <w:sz w:val="18"/>
          <w:szCs w:val="18"/>
          <w:b w:val="1"/>
          <w:bCs w:val="1"/>
          <w:color w:val="auto"/>
        </w:rPr>
        <w:t>Highlights for the second quarter ended June 24, 2020, compared to the second quarter ended June 26, 2019 were as follows:</w:t>
      </w:r>
    </w:p>
    <w:p>
      <w:pPr>
        <w:spacing w:after="0" w:line="166" w:lineRule="exact"/>
        <w:rPr>
          <w:sz w:val="20"/>
          <w:szCs w:val="20"/>
          <w:color w:val="auto"/>
        </w:rPr>
      </w:pPr>
    </w:p>
    <w:p>
      <w:pPr>
        <w:ind w:left="600" w:hanging="334"/>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was $99.6 million compared to $113.7 million.</w:t>
      </w:r>
    </w:p>
    <w:p>
      <w:pPr>
        <w:spacing w:after="0" w:line="23" w:lineRule="exact"/>
        <w:rPr>
          <w:rFonts w:ascii="Arial" w:cs="Arial" w:eastAsia="Arial" w:hAnsi="Arial"/>
          <w:sz w:val="18"/>
          <w:szCs w:val="18"/>
          <w:color w:val="auto"/>
        </w:rPr>
      </w:pPr>
    </w:p>
    <w:p>
      <w:pPr>
        <w:ind w:left="600" w:right="79" w:hanging="334"/>
        <w:spacing w:after="0" w:line="250"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System-wide comparable restaurant sales decreased 9.7%, including an 8.5% decrease for company-operated restaurants, and a 10.6% decrease for franchised restaurants.</w:t>
      </w:r>
    </w:p>
    <w:p>
      <w:pPr>
        <w:jc w:val="both"/>
        <w:ind w:left="600" w:right="79" w:hanging="334"/>
        <w:spacing w:after="0" w:line="265" w:lineRule="auto"/>
        <w:tabs>
          <w:tab w:leader="none" w:pos="600" w:val="left"/>
        </w:tabs>
        <w:numPr>
          <w:ilvl w:val="0"/>
          <w:numId w:val="2"/>
        </w:numPr>
        <w:rPr>
          <w:rFonts w:ascii="Arial" w:cs="Arial" w:eastAsia="Arial" w:hAnsi="Arial"/>
          <w:sz w:val="17"/>
          <w:szCs w:val="17"/>
          <w:color w:val="auto"/>
        </w:rPr>
      </w:pPr>
      <w:r>
        <w:rPr>
          <w:rFonts w:ascii="Arial" w:cs="Arial" w:eastAsia="Arial" w:hAnsi="Arial"/>
          <w:sz w:val="17"/>
          <w:szCs w:val="17"/>
          <w:color w:val="auto"/>
        </w:rPr>
        <w:t>Net income was $5.5 million, or $0.16 per diluted share, compared to net income of $14.1 million, or $0.37 per diluted share in the prior year period. During the second quarter of 2020, the Company recognized a $2.5 million expense related to an agreement in principle to resolve the longstanding lawsuit involving a contract dispute with one of the Company’s franchisees concerning asserted territory rights. During the second quarter of 2019 the Company received insurance proceeds of $10.0 million related to the settlement of a previously disclosed securities class action lawsuit and recorded a loss on sale of restaurants of $0.9 million.</w:t>
      </w:r>
    </w:p>
    <w:p>
      <w:pPr>
        <w:ind w:left="600" w:right="79" w:hanging="334"/>
        <w:spacing w:after="0" w:line="250"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net income(1) was $6.9 million, or $0.20 per diluted share, compared to $8.7 million, or $0.23 per diluted share.</w:t>
      </w:r>
    </w:p>
    <w:p>
      <w:pPr>
        <w:ind w:left="600" w:hanging="334"/>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EBITDA(1) was $15.3 million, compared to $17.9 million.</w:t>
      </w:r>
    </w:p>
    <w:p>
      <w:pPr>
        <w:spacing w:after="0" w:line="210" w:lineRule="exact"/>
        <w:rPr>
          <w:rFonts w:ascii="Arial" w:cs="Arial" w:eastAsia="Arial" w:hAnsi="Arial"/>
          <w:sz w:val="18"/>
          <w:szCs w:val="18"/>
          <w:color w:val="auto"/>
        </w:rPr>
      </w:pPr>
    </w:p>
    <w:p>
      <w:pPr>
        <w:jc w:val="both"/>
        <w:ind w:left="800" w:right="79" w:hanging="318"/>
        <w:spacing w:after="0" w:line="259" w:lineRule="auto"/>
        <w:tabs>
          <w:tab w:leader="none" w:pos="800" w:val="left"/>
        </w:tabs>
        <w:numPr>
          <w:ilvl w:val="1"/>
          <w:numId w:val="2"/>
        </w:numPr>
        <w:rPr>
          <w:rFonts w:ascii="Arial" w:cs="Arial" w:eastAsia="Arial" w:hAnsi="Arial"/>
          <w:sz w:val="16"/>
          <w:szCs w:val="16"/>
          <w:color w:val="auto"/>
        </w:rPr>
      </w:pPr>
      <w:r>
        <w:rPr>
          <w:rFonts w:ascii="Arial" w:cs="Arial" w:eastAsia="Arial" w:hAnsi="Arial"/>
          <w:sz w:val="18"/>
          <w:szCs w:val="18"/>
          <w:color w:val="auto"/>
        </w:rPr>
        <w:t>Pro forma net income and adjusted EBITDA are not presented in accordance with accounting principles generally accepted in the United States of America ("GAAP") and are defined below under "Key Financial Definitions." A reconciliation of GAAP net income to pro forma net income and adjusted EBITDA is included in the accompanying financial data. See also “Non-GAAP Financial Measures.”</w:t>
      </w:r>
    </w:p>
    <w:p>
      <w:pPr>
        <w:spacing w:after="0" w:line="18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Bernard Acoca, President and Chief Executive Officer of El Pollo Loco Holdings, Inc., stated, “Despite the quarter’s challenging start with the onset of COVID-19, we made tremendous progress transforming our business and optimizing our off-premise capabilities, which is reflected by the consistent improvement in our sales during the second quarter, including positive comps in June. I’d add that positive sales have continued into the third quarter with comparable restaurant system sales having increased 2.8% to date. Our teams have also done a fantastic job delivering operational efficiency throughout the pandemic, as we have actively made adjustments to our labor deployment, managed our food costs with greater precision, and are more efficiently servicing our customers both on and off-premise. These efficiencies helped us achieve a 19.6% restaurant contribution margin for the quarter.”</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Acoca concluded, “I’m proud that our actions have supported our communities during these trying times while also delivering solid financial results. It is a testament to the resilience and dedication of our restaurant teams, who are on the front lines every day executing our business during these trying times and I am convinced that our actions over the last few months will serve our business well over the longer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333375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b w:val="1"/>
          <w:bCs w:val="1"/>
          <w:color w:val="auto"/>
        </w:rPr>
        <w:t>COVID-19 Impact</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 xml:space="preserve">The COVID-19 pandemic has continued to disrupt the Company’s operations. Except for nine restaurants in Houston and one in Utah, all of the Company’s restaurants are operating on a take-away, mobile pick-up and delivery basis, as well as maintaining drive-thru operations where available, </w:t>
      </w:r>
      <w:r>
        <w:rPr>
          <w:rFonts w:ascii="Arial" w:cs="Arial" w:eastAsia="Arial" w:hAnsi="Arial"/>
          <w:sz w:val="16"/>
          <w:szCs w:val="16"/>
          <w:color w:val="212529"/>
        </w:rPr>
        <w:t>in order to protect its employees</w:t>
      </w:r>
      <w:r>
        <w:rPr>
          <w:rFonts w:ascii="Arial" w:cs="Arial" w:eastAsia="Arial" w:hAnsi="Arial"/>
          <w:sz w:val="16"/>
          <w:szCs w:val="16"/>
          <w:color w:val="auto"/>
        </w:rPr>
        <w:t xml:space="preserve"> and customers from the spread of the COVID-19 pandemic and to comply with the government mandates. Currently, 192 out of 196 company-operated El Pollo Loco restaurants are in operation, while 279 of 283 franchised El Pollo Loco restaurants are in operation.</w:t>
      </w:r>
    </w:p>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Below is a summary of other actions we have taken to enhance financial and operating flexibility for the Company and for our franchisees, and to protect our employees and customers:</w:t>
      </w:r>
    </w:p>
    <w:p>
      <w:pPr>
        <w:spacing w:after="0" w:line="170" w:lineRule="exact"/>
        <w:rPr>
          <w:sz w:val="20"/>
          <w:szCs w:val="20"/>
          <w:color w:val="auto"/>
        </w:rPr>
      </w:pPr>
    </w:p>
    <w:p>
      <w:pPr>
        <w:jc w:val="both"/>
        <w:ind w:left="600" w:right="79" w:hanging="334"/>
        <w:spacing w:after="0" w:line="255"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precautionary measure, the Company bolstered its existing cash position in the first quarter of 2020 by fully drawing down its $150 million 2018 Revolver, adding $34.5 million of cash to the balance sheet. At current sales levels, the Company expects to be cash flow positive.</w:t>
      </w:r>
    </w:p>
    <w:p>
      <w:pPr>
        <w:spacing w:after="0" w:line="2" w:lineRule="exact"/>
        <w:rPr>
          <w:rFonts w:ascii="Arial" w:cs="Arial" w:eastAsia="Arial" w:hAnsi="Arial"/>
          <w:sz w:val="18"/>
          <w:szCs w:val="18"/>
          <w:color w:val="auto"/>
        </w:rPr>
      </w:pPr>
    </w:p>
    <w:p>
      <w:pPr>
        <w:jc w:val="both"/>
        <w:ind w:left="600" w:right="79" w:hanging="334"/>
        <w:spacing w:after="0" w:line="265"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has temporarily suspended all share repurchase activity, significantly reduced capital spending, reevaluated essential support center general and administrative expenses, and fine-tuned its restaurant labor model based on indoor dining room restrictions, limited dining room capacity in restaurants located in geographies where indoor dining is permitted, dining room closures and fluctuating sales volumes.</w:t>
      </w:r>
    </w:p>
    <w:p>
      <w:pPr>
        <w:jc w:val="both"/>
        <w:ind w:left="600" w:right="79" w:hanging="334"/>
        <w:spacing w:after="0" w:line="250"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El Pollo Loco franchisees, the Company deferred 50% of April royalties until July 1, 2020, which will be repaid evenly over the remainder of fiscal 2020, and also deferred 100% of franchisee 2020 remodel and new build requirements until 2021. The Company has also established a support team to assist franchisees in accessing funds and benefits provided by the CARES Act legislation.</w:t>
      </w:r>
    </w:p>
    <w:p>
      <w:pPr>
        <w:spacing w:after="0" w:line="1" w:lineRule="exact"/>
        <w:rPr>
          <w:rFonts w:ascii="Arial" w:cs="Arial" w:eastAsia="Arial" w:hAnsi="Arial"/>
          <w:sz w:val="18"/>
          <w:szCs w:val="18"/>
          <w:color w:val="auto"/>
        </w:rPr>
      </w:pPr>
    </w:p>
    <w:p>
      <w:pPr>
        <w:jc w:val="both"/>
        <w:ind w:left="600" w:right="79" w:hanging="334"/>
        <w:spacing w:after="0" w:line="250"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continues to implement actions to help protect its employees from COVID-19 while working in El Pollo Loco restaurants, including enhanced cleaning procedures in all restaurants, providing gloves and masks to all system restaurant employees, installing plexiglass shields at company restaurant cashier stations and initiating other social distancing measures. Additionally, the Company is providing extended sick leave benefits to employees impacted by COVID-19.</w:t>
      </w:r>
    </w:p>
    <w:p>
      <w:pPr>
        <w:spacing w:after="0" w:line="1" w:lineRule="exact"/>
        <w:rPr>
          <w:rFonts w:ascii="Arial" w:cs="Arial" w:eastAsia="Arial" w:hAnsi="Arial"/>
          <w:sz w:val="18"/>
          <w:szCs w:val="18"/>
          <w:color w:val="auto"/>
        </w:rPr>
      </w:pPr>
    </w:p>
    <w:p>
      <w:pPr>
        <w:ind w:left="600" w:right="79" w:hanging="334"/>
        <w:spacing w:after="0" w:line="260"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has shifted its marketing to highlight a new free delivery program; Family Meals as a healthier and affordable option; and a meaningful value platform.</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Second Quarter 2020 Financial Results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Company-operated restaurant revenue in the second quarter of 2020 was $87.7 million, compared to $100.1 million in the second quarter of 2019. The decline in company-operated restaurant sales was primarily due to a decrease in company-operated restaurant revenue of $8.1 million due to an 8.5% decrease in company-operated comparable restaurant sales, which we believe was primarily related to the impact of the COVID-19 pandemic. Additionally, there was a $4.2 million decrease in revenue from the closure of two restaurants and the sale of 16 company-operated restaurants to franchisees during or subsequent to the second quarter of 2019, and a $0.7 million decrease due to temporary closures, primarily related to the COVID-19 pandemic. This was partially offset by an increase in revenue generated from the three new restaurants opened during the same time period.</w:t>
      </w:r>
    </w:p>
    <w:p>
      <w:pPr>
        <w:spacing w:after="0" w:line="17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Franchise revenue in the second quarter of 2020 decreased 8.6% to $6.7 million, compared to $7.9 million in the second quarter of 2019. This decrease was primarily due to a franchise comparable restaurant sales decrease of 10.6%, which we believe was primarily due to the COVID-19 pandemic, the closure of eight franchise locations during or subsequent to the second quarter of 2019 and a decrease in fees received from franchised restaurants related to their use of our point-of-sales system. This franchise revenue decrease was partially offset by the opening of two new franchised restaurants and revenue generated from 16 company-operated restaurants sold by the Company to franchisees during the same time period.</w:t>
      </w:r>
    </w:p>
    <w:p>
      <w:pPr>
        <w:spacing w:after="0" w:line="16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Income from continuing operations in the second quarter of 2020 was $7.5 million, compared to $20.6 million in the second quarter of 2019. Restaurant contribution was $17.2 million, or 19.6% of company-operated restaurant revenue, compared to $19.9 million, or 19.9% of company-operated restaurant revenue, in the second quarter of 2019. The decrease was largely due to the impact of wage increases in California, increased delivery fees and the decrease in revenue previously mentioned. The decrease was partially offset by higher prices and the sale of lower-performing company-owned restaurants to franchisees during 2019. Restaurant contribution is a non-GAAP measure defined below under "Key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319405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6" w:name="page7"/>
    <w:bookmarkEnd w:id="6"/>
    <w:p>
      <w:pPr>
        <w:jc w:val="both"/>
        <w:ind w:left="60" w:right="59"/>
        <w:spacing w:after="0" w:line="277" w:lineRule="auto"/>
        <w:rPr>
          <w:sz w:val="20"/>
          <w:szCs w:val="20"/>
          <w:color w:val="auto"/>
        </w:rPr>
      </w:pPr>
      <w:r>
        <w:rPr>
          <w:rFonts w:ascii="Arial" w:cs="Arial" w:eastAsia="Arial" w:hAnsi="Arial"/>
          <w:sz w:val="18"/>
          <w:szCs w:val="18"/>
          <w:color w:val="auto"/>
        </w:rPr>
        <w:t>Financial Definitions." A reconciliation of GAAP income from operations to restaurant contribution is included in the accompanying financial data. See also “Non-GAAP Financial Measures.”</w:t>
      </w:r>
    </w:p>
    <w:p>
      <w:pPr>
        <w:spacing w:after="0" w:line="17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General and administrative expenses in the second quarter of 2020 were $10.5 million, compared to $9.3 million in the second quarter of 2019. The increase was due primarily to a $1.9 million increase in legal expenses, primarily related to a $2.5 million settlement accrual, described below, partially offset by a $0.7 million decrease in labor related costs related to a decrease in management bonus expense and a $0.1 million decrease in other general and administrative expenses.</w:t>
      </w:r>
    </w:p>
    <w:p>
      <w:pPr>
        <w:spacing w:after="0" w:line="15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During the second quarter of 2020, the Company recognized a $2.5 million expense related to an agreement in principle to resolve the longstanding lawsuit involving a contract dispute with one of the Company’s franchisees concerning asserted territory rights.</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During the second quarter of 2019, the Company completed the sale of four company-operated restaurants within the San Francisco, CA area to an existing franchisee and seven company-operated restaurants in the Phoenix, AZ area to another existing franchisee. This resulted in a net loss on sale of restaurants of $0.9 million for the quarter, and a total net loss on sale of restaurants of $5.1 million, including the $4.2 million loss on held for sale assets recognized in the first quarter. Additionally, the Company received insurance proceeds of $10.0 million related to the settlement of a previously disclosed securities class action lawsuit.</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Net income for the second quarter of 2020 was $5.5 million, or $0.16 per diluted share, compared to net income of $14.1 million, or $0.37 per diluted share, in the second quarter of 2019. Pro forma net income was $6.9 million, or $0.20 per diluted share, during the second quarter of 2020, compared to $8.7 million, or $0.23 per diluted share, during the second quarter of 2019. A reconciliation between GAAP net income and pro forma net income is included in the accompanying financial data. See also “Non-GAAP Financial Measures.”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2020 Outlook</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previously announced, due to the ongoing uncertainty around the duration and severity of the COVID-19 pandemic, the Company has withdrawn its 2020 financial guidance for the period ending December 30,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Financial Definitions</w:t>
      </w:r>
    </w:p>
    <w:p>
      <w:pPr>
        <w:spacing w:after="0" w:line="225" w:lineRule="exact"/>
        <w:rPr>
          <w:sz w:val="20"/>
          <w:szCs w:val="20"/>
          <w:color w:val="auto"/>
        </w:rPr>
      </w:pPr>
    </w:p>
    <w:p>
      <w:pPr>
        <w:jc w:val="both"/>
        <w:ind w:left="60" w:right="59"/>
        <w:spacing w:after="0" w:line="303" w:lineRule="auto"/>
        <w:rPr>
          <w:sz w:val="20"/>
          <w:szCs w:val="20"/>
          <w:color w:val="auto"/>
        </w:rPr>
      </w:pPr>
      <w:r>
        <w:rPr>
          <w:rFonts w:ascii="Arial" w:cs="Arial" w:eastAsia="Arial" w:hAnsi="Arial"/>
          <w:sz w:val="16"/>
          <w:szCs w:val="16"/>
          <w:b w:val="1"/>
          <w:bCs w:val="1"/>
          <w:color w:val="auto"/>
        </w:rPr>
        <w:t xml:space="preserve">Comparable restaurant sales </w:t>
      </w:r>
      <w:r>
        <w:rPr>
          <w:rFonts w:ascii="Arial" w:cs="Arial" w:eastAsia="Arial" w:hAnsi="Arial"/>
          <w:sz w:val="16"/>
          <w:szCs w:val="16"/>
          <w:color w:val="auto"/>
        </w:rPr>
        <w:t>reflect the change in year-over-year sales for the comparable company, franchised and total</w:t>
      </w:r>
      <w:r>
        <w:rPr>
          <w:rFonts w:ascii="Arial" w:cs="Arial" w:eastAsia="Arial" w:hAnsi="Arial"/>
          <w:sz w:val="16"/>
          <w:szCs w:val="16"/>
          <w:b w:val="1"/>
          <w:bCs w:val="1"/>
          <w:color w:val="auto"/>
        </w:rPr>
        <w:t xml:space="preserve"> </w:t>
      </w:r>
      <w:r>
        <w:rPr>
          <w:rFonts w:ascii="Arial" w:cs="Arial" w:eastAsia="Arial" w:hAnsi="Arial"/>
          <w:sz w:val="16"/>
          <w:szCs w:val="16"/>
          <w:color w:val="auto"/>
        </w:rPr>
        <w:t>system restaurant base. The comparable restaurant base is defined to include those restaurants open for 15 months or longer and excludes restaurants that were closed during the applicable period. At June 24, 2020, there were 191 restaurants in our comparable company-operated restaurant base and 469 restaurants in our comparable system restaurant base.</w:t>
      </w:r>
    </w:p>
    <w:p>
      <w:pPr>
        <w:spacing w:after="0" w:line="15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b w:val="1"/>
          <w:bCs w:val="1"/>
          <w:color w:val="auto"/>
        </w:rPr>
        <w:t xml:space="preserve">Restaurant contribution </w:t>
      </w:r>
      <w:r>
        <w:rPr>
          <w:rFonts w:ascii="Arial" w:cs="Arial" w:eastAsia="Arial" w:hAnsi="Arial"/>
          <w:sz w:val="17"/>
          <w:szCs w:val="17"/>
          <w:color w:val="auto"/>
        </w:rPr>
        <w:t>and</w:t>
      </w:r>
      <w:r>
        <w:rPr>
          <w:rFonts w:ascii="Arial" w:cs="Arial" w:eastAsia="Arial" w:hAnsi="Arial"/>
          <w:sz w:val="17"/>
          <w:szCs w:val="17"/>
          <w:b w:val="1"/>
          <w:bCs w:val="1"/>
          <w:color w:val="auto"/>
        </w:rPr>
        <w:t xml:space="preserve"> restaurant contribution margin </w:t>
      </w:r>
      <w:r>
        <w:rPr>
          <w:rFonts w:ascii="Arial" w:cs="Arial" w:eastAsia="Arial" w:hAnsi="Arial"/>
          <w:sz w:val="17"/>
          <w:szCs w:val="17"/>
          <w:color w:val="auto"/>
        </w:rPr>
        <w:t>are neither required by, nor presented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GAAP. Restaurant contribution is defined as company-operated restaurant revenue less company restaurant expenses, which are food and paper costs, labor and related expenses, and occupancy and other operating expenses. Restaurant contribution excludes certain costs, such as general and administrative expenses, depreciation and amortization, asset impairment and closed-store reserves, loss on sale of restaurants, recovery of securities lawsuits related legal expenses and other costs that are considered normal operating costs. Accordingly, restaurant contribution is not indicative of overall Company results and does not accrue directly to the benefit of shareholders because of the exclusion of certain corporate-level expenses. Restaurant contribution margin is defined as restaurant contribution as a percentage of net company-operated restaurant revenue. See also “Non-GAAP Financial Measures.”</w:t>
      </w:r>
    </w:p>
    <w:p>
      <w:pPr>
        <w:spacing w:after="0" w:line="174" w:lineRule="exact"/>
        <w:rPr>
          <w:sz w:val="20"/>
          <w:szCs w:val="20"/>
          <w:color w:val="auto"/>
        </w:rPr>
      </w:pPr>
    </w:p>
    <w:p>
      <w:pPr>
        <w:jc w:val="both"/>
        <w:ind w:left="60" w:right="59"/>
        <w:spacing w:after="0" w:line="281" w:lineRule="auto"/>
        <w:rPr>
          <w:sz w:val="20"/>
          <w:szCs w:val="20"/>
          <w:color w:val="auto"/>
        </w:rPr>
      </w:pPr>
      <w:r>
        <w:rPr>
          <w:rFonts w:ascii="Arial" w:cs="Arial" w:eastAsia="Arial" w:hAnsi="Arial"/>
          <w:sz w:val="17"/>
          <w:szCs w:val="17"/>
          <w:b w:val="1"/>
          <w:bCs w:val="1"/>
          <w:color w:val="auto"/>
        </w:rPr>
        <w:t xml:space="preserve">EBITDA </w:t>
      </w:r>
      <w:r>
        <w:rPr>
          <w:rFonts w:ascii="Arial" w:cs="Arial" w:eastAsia="Arial" w:hAnsi="Arial"/>
          <w:sz w:val="17"/>
          <w:szCs w:val="17"/>
          <w:color w:val="auto"/>
        </w:rPr>
        <w:t>and</w:t>
      </w:r>
      <w:r>
        <w:rPr>
          <w:rFonts w:ascii="Arial" w:cs="Arial" w:eastAsia="Arial" w:hAnsi="Arial"/>
          <w:sz w:val="17"/>
          <w:szCs w:val="17"/>
          <w:b w:val="1"/>
          <w:bCs w:val="1"/>
          <w:color w:val="auto"/>
        </w:rPr>
        <w:t xml:space="preserve"> adjusted EBITDA </w:t>
      </w:r>
      <w:r>
        <w:rPr>
          <w:rFonts w:ascii="Arial" w:cs="Arial" w:eastAsia="Arial" w:hAnsi="Arial"/>
          <w:sz w:val="17"/>
          <w:szCs w:val="17"/>
          <w:color w:val="auto"/>
        </w:rPr>
        <w:t>are neither required by, nor presented in accordance with, GAAP. EBITDA represents</w:t>
      </w:r>
      <w:r>
        <w:rPr>
          <w:rFonts w:ascii="Arial" w:cs="Arial" w:eastAsia="Arial" w:hAnsi="Arial"/>
          <w:sz w:val="17"/>
          <w:szCs w:val="17"/>
          <w:b w:val="1"/>
          <w:bCs w:val="1"/>
          <w:color w:val="auto"/>
        </w:rPr>
        <w:t xml:space="preserve"> </w:t>
      </w:r>
      <w:r>
        <w:rPr>
          <w:rFonts w:ascii="Arial" w:cs="Arial" w:eastAsia="Arial" w:hAnsi="Arial"/>
          <w:sz w:val="17"/>
          <w:szCs w:val="17"/>
          <w:color w:val="auto"/>
        </w:rPr>
        <w:t>net income before interest expense, provision for income taxes, depreciation, and amortization, and adjusted EBITDA represents EBITDA before items that we do not consider representative of our ongoing operating performance, as identified in the GAAP reconciliation in the accompanying financial data. See also “Non-GAAP Financial Measures.”</w:t>
      </w:r>
    </w:p>
    <w:p>
      <w:pPr>
        <w:spacing w:after="0" w:line="165" w:lineRule="exact"/>
        <w:rPr>
          <w:sz w:val="20"/>
          <w:szCs w:val="20"/>
          <w:color w:val="auto"/>
        </w:rPr>
      </w:pPr>
    </w:p>
    <w:p>
      <w:pPr>
        <w:jc w:val="both"/>
        <w:ind w:left="60" w:right="59"/>
        <w:spacing w:after="0" w:line="298" w:lineRule="auto"/>
        <w:rPr>
          <w:sz w:val="20"/>
          <w:szCs w:val="20"/>
          <w:color w:val="auto"/>
        </w:rPr>
      </w:pPr>
      <w:r>
        <w:rPr>
          <w:rFonts w:ascii="Arial" w:cs="Arial" w:eastAsia="Arial" w:hAnsi="Arial"/>
          <w:sz w:val="16"/>
          <w:szCs w:val="16"/>
          <w:b w:val="1"/>
          <w:bCs w:val="1"/>
          <w:color w:val="auto"/>
        </w:rPr>
        <w:t xml:space="preserve">Pro forma net income </w:t>
      </w:r>
      <w:r>
        <w:rPr>
          <w:rFonts w:ascii="Arial" w:cs="Arial" w:eastAsia="Arial" w:hAnsi="Arial"/>
          <w:sz w:val="16"/>
          <w:szCs w:val="16"/>
          <w:color w:val="auto"/>
        </w:rPr>
        <w:t>is neither required by, nor presented in accordance with, GAAP. Pro forma net income represents</w:t>
      </w:r>
      <w:r>
        <w:rPr>
          <w:rFonts w:ascii="Arial" w:cs="Arial" w:eastAsia="Arial" w:hAnsi="Arial"/>
          <w:sz w:val="16"/>
          <w:szCs w:val="16"/>
          <w:b w:val="1"/>
          <w:bCs w:val="1"/>
          <w:color w:val="auto"/>
        </w:rPr>
        <w:t xml:space="preserve"> </w:t>
      </w:r>
      <w:r>
        <w:rPr>
          <w:rFonts w:ascii="Arial" w:cs="Arial" w:eastAsia="Arial" w:hAnsi="Arial"/>
          <w:sz w:val="16"/>
          <w:szCs w:val="16"/>
          <w:color w:val="auto"/>
        </w:rPr>
        <w:t>net income adjusted for (i) costs (or gains) related to loss (or gains) on disposal of assets or assets held for sale and asset impairment and closed store costs, (ii) amortization expense and other estimate adjustments (whether expense or income) incurred on the Tax Receivable Agreement (“TRA”) completed at the time of our IPO, (iii) legal costs associated with securities class action litigation, (iv) extraordinary legal settlement costs, (v) insurance proceeds received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314960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jc w:val="both"/>
        <w:ind w:left="60" w:right="79"/>
        <w:spacing w:after="0" w:line="296" w:lineRule="auto"/>
        <w:rPr>
          <w:sz w:val="20"/>
          <w:szCs w:val="20"/>
          <w:color w:val="auto"/>
        </w:rPr>
      </w:pPr>
      <w:r>
        <w:rPr>
          <w:rFonts w:ascii="Arial" w:cs="Arial" w:eastAsia="Arial" w:hAnsi="Arial"/>
          <w:sz w:val="16"/>
          <w:szCs w:val="16"/>
          <w:color w:val="auto"/>
        </w:rPr>
        <w:t>securities class action legal expenses, (vi) costs associated with the transition of our CEO and (vii) provision for income taxes at a normalized tax rate of 26.5% for the thirteen and twenty-six weeks ended June 24, 2020 and June 26, 2019, which reflects our estimated long-term effective tax rate, including both federal and state income taxes (excluding the impact of the income tax receivable agreement and valuation allowance) and applied after giving effect to the foregoing adjustments. See the GAAP reconciliation in the accompanying financial data and “Non-GAAP Financial Measures.”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will host a conference call to discuss financial results for the second quarter of 2020 today at 4:30 PM Eastern Time. Bernard Acoca, President and Chief Executive Officer and Larry Roberts, Chief Financial Officer will host the call.</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conference call can be accessed live over the phone by dialing 877-407-3982 or for international callers by dialing 201-493-6780. A replay will be available after the call and can be accessed by dialing 844-512-2921 or for international callers by dialing 412-317-6671; the passcode is 13706915. The replay will be available until Thursday, August 13, 2020. The conference call will also be webcast live from the Company’s corporate website at investor.elpolloloco.com under the “Events &amp; Presentations” page. An archive of the webcast will be available at the same location on the corporate website shortly after the call has concluded.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About El Pollo Loco</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El Pollo Loco (Nasdaq:LOCO) is the nation’s leading fire-grilled chicken restaurant chain renowned for its masterfully citrus-marinated, fire-grilled chicken and handcrafted entrees using fresh ingredients inspired by Mexican recipes. With more than 475 company-owned and franchised restaurants in Arizona, California, Nevada, Texas, Utah, and Louisiana. El Pollo Loco is expanding its presence in key markets through a combination of company and existing and new franchisee development. Visit us on our website at ElPolloLoco.com.</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This press release contains forward-looking statements that are subject to risks and uncertainties. All statements other than statements of historical fact included in this press release are forward-looking statements. Forward-looking statements discuss our current expectations and projections relating to our financial condition, results of operations, plans, objectives, future performance and business, including in connection with the expected impact of the COVID-19 pandemic.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press release and include statements regarding our intentions, beliefs or current expectations concerning, among other things, our results of operations, financial condition, sales levels, liquidity, prospects, growth, strategies and the industry in which we operate. All forward-looking statements are subject to risks and uncertainties that could cause actual results to differ materially from those that we expected.</w:t>
      </w:r>
    </w:p>
    <w:p>
      <w:pPr>
        <w:spacing w:after="0" w:line="18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that could cause outcomes to differ materially from our expectations. These factors include, but are not limited to: the impact of the COVID-19 pandemic on our company, our employees, our customers, our partners, our industry and the economy as a whole; our franchisees ability to maintain operations in their individual restaurants; our ability to open new restaurants in existing and new markets and to expand our franchise system, including difficulty in finding sites and in negotiating acceptable leases; our ability to compete successfully and the intense competition in the restaurant industry; the adverse impact of economic conditions on our (i) operating results and financial condition, (ii) ability to comply with the terms and covenants of our debt agreements, and (iii) ability to pay or refinance our existing debt or to obtain additional financing; vulnerability to changes in consumer preferences and economic conditions; political and social factors, including regarding trade, immigration and customer preferences; vulnerability to conditions in the greater Los Angeles area; vulnerability to natural disasters given the geographic concentration and real estate intensive nature of our business; increases in chicken and other input costs;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323215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jc w:val="both"/>
        <w:ind w:left="60" w:right="59"/>
        <w:spacing w:after="0" w:line="293" w:lineRule="auto"/>
        <w:rPr>
          <w:sz w:val="20"/>
          <w:szCs w:val="20"/>
          <w:color w:val="auto"/>
        </w:rPr>
      </w:pPr>
      <w:r>
        <w:rPr>
          <w:rFonts w:ascii="Arial" w:cs="Arial" w:eastAsia="Arial" w:hAnsi="Arial"/>
          <w:sz w:val="16"/>
          <w:szCs w:val="16"/>
          <w:color w:val="auto"/>
        </w:rPr>
        <w:t>ability to recognize and respond to and effectively manage the impact of social media and our ability to expand our digital business, deliver orders and catering; delayed or canceled future restaurant openings; restaurant closures, due to financial performance or otherwise; and other risks set forth in our filings with the Securities and Exchange Commission from time to time, including under Item 1A, Risk Factors in our annual report on Form 10-K for the year ended December 25, 2019, and under Item 1A, Risk Factors in our quarterly report on Form 10-Q for the quarter ended March 25, 2020, which such filings are available online at www.sec.gov, at www.elpolloloco.com or upon request from El Pollo Loco.</w:t>
      </w:r>
    </w:p>
    <w:p>
      <w:pPr>
        <w:spacing w:after="0" w:line="16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press release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To supplement our consolidated financial statements, which are prepared and presented in accordance with GAAP, we use non-GAAP financial measures which include supplemental measures of operating performance of our restaurants. Our calculations of supplemental measures and other non-GAAP financial measures indicated above may not be comparable to those reported by other companies. These measures have limitations as analytical tools, and are not intended to be considered in isolation or as substitutes for, or superior to, financial measures prepared and presented in accordance with GAAP. We use non-GAAP financial measures for financial and operational decision-making and as a means to evaluate period-to-period comparisons and to evaluate our restaurants’ financial performance against our competitors’ performance. We believe that they provide useful information about operating results, enhance understanding of past performance and future prospects, and allow for greater transparency with respect to key metrics used by management in its financial and operational decision making. These non-GAAP financial measures may also assist investors in evaluating our business and performance relative to industry peers and provide greater transparency with respect to the Company’s financial condition and results of operation.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Fitzhugh Taylor, ICR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fitzhugh.taylor@icrinc.com</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714-599-5200</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Hanna Gray, Edible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hannah.gray@edible-inc.com</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323-202-1477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jc w:val="center"/>
        <w:ind w:left="1500" w:right="1980"/>
        <w:spacing w:after="0" w:line="266" w:lineRule="auto"/>
        <w:rPr>
          <w:sz w:val="20"/>
          <w:szCs w:val="20"/>
          <w:color w:val="auto"/>
        </w:rPr>
      </w:pPr>
      <w:r>
        <w:rPr>
          <w:rFonts w:ascii="Arial" w:cs="Arial" w:eastAsia="Arial" w:hAnsi="Arial"/>
          <w:sz w:val="18"/>
          <w:szCs w:val="18"/>
          <w:b w:val="1"/>
          <w:bCs w:val="1"/>
          <w:color w:val="auto"/>
        </w:rPr>
        <w:t>EL POLLO LOCO HOLDINGS, INC. UNAUDITED CONSOLIDATED STATEMENTS OF INCOME (in thousands, except share data)</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rPr>
              <w:t>Thirteen Weeks Ended</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auto"/>
              </w:rPr>
              <w:t>Twenty-Six Weeks Ended</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tcPr>
          <w:p>
            <w:pPr>
              <w:ind w:left="180"/>
              <w:spacing w:after="0" w:line="155" w:lineRule="exact"/>
              <w:rPr>
                <w:sz w:val="20"/>
                <w:szCs w:val="20"/>
                <w:color w:val="auto"/>
              </w:rPr>
            </w:pPr>
            <w:r>
              <w:rPr>
                <w:rFonts w:ascii="Arial" w:cs="Arial" w:eastAsia="Arial" w:hAnsi="Arial"/>
                <w:sz w:val="14"/>
                <w:szCs w:val="14"/>
                <w:b w:val="1"/>
                <w:bCs w:val="1"/>
                <w:color w:val="auto"/>
              </w:rPr>
              <w:t>June 24, 2020</w:t>
            </w:r>
          </w:p>
        </w:tc>
        <w:tc>
          <w:tcPr>
            <w:tcW w:w="100" w:type="dxa"/>
            <w:vAlign w:val="bottom"/>
          </w:tcPr>
          <w:p>
            <w:pPr>
              <w:spacing w:after="0"/>
              <w:rPr>
                <w:sz w:val="13"/>
                <w:szCs w:val="13"/>
                <w:color w:val="auto"/>
              </w:rPr>
            </w:pPr>
          </w:p>
        </w:tc>
        <w:tc>
          <w:tcPr>
            <w:tcW w:w="1300" w:type="dxa"/>
            <w:vAlign w:val="bottom"/>
            <w:gridSpan w:val="3"/>
          </w:tcPr>
          <w:p>
            <w:pPr>
              <w:jc w:val="right"/>
              <w:ind w:right="208"/>
              <w:spacing w:after="0" w:line="155" w:lineRule="exact"/>
              <w:rPr>
                <w:sz w:val="20"/>
                <w:szCs w:val="20"/>
                <w:color w:val="auto"/>
              </w:rPr>
            </w:pPr>
            <w:r>
              <w:rPr>
                <w:rFonts w:ascii="Arial" w:cs="Arial" w:eastAsia="Arial" w:hAnsi="Arial"/>
                <w:sz w:val="14"/>
                <w:szCs w:val="14"/>
                <w:b w:val="1"/>
                <w:bCs w:val="1"/>
                <w:color w:val="auto"/>
              </w:rPr>
              <w:t>June 26, 2019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jc w:val="right"/>
              <w:ind w:right="440"/>
              <w:spacing w:after="0" w:line="155" w:lineRule="exact"/>
              <w:rPr>
                <w:sz w:val="20"/>
                <w:szCs w:val="20"/>
                <w:color w:val="auto"/>
              </w:rPr>
            </w:pPr>
            <w:r>
              <w:rPr>
                <w:rFonts w:ascii="Arial" w:cs="Arial" w:eastAsia="Arial" w:hAnsi="Arial"/>
                <w:sz w:val="14"/>
                <w:szCs w:val="14"/>
                <w:b w:val="1"/>
                <w:bCs w:val="1"/>
                <w:color w:val="auto"/>
              </w:rPr>
              <w:t>June 24, 2020</w:t>
            </w:r>
          </w:p>
        </w:tc>
        <w:tc>
          <w:tcPr>
            <w:tcW w:w="100" w:type="dxa"/>
            <w:vAlign w:val="bottom"/>
          </w:tcPr>
          <w:p>
            <w:pPr>
              <w:spacing w:after="0"/>
              <w:rPr>
                <w:sz w:val="13"/>
                <w:szCs w:val="13"/>
                <w:color w:val="auto"/>
              </w:rPr>
            </w:pPr>
          </w:p>
        </w:tc>
        <w:tc>
          <w:tcPr>
            <w:tcW w:w="1300" w:type="dxa"/>
            <w:vAlign w:val="bottom"/>
            <w:gridSpan w:val="3"/>
          </w:tcPr>
          <w:p>
            <w:pPr>
              <w:jc w:val="right"/>
              <w:ind w:right="208"/>
              <w:spacing w:after="0" w:line="155" w:lineRule="exact"/>
              <w:rPr>
                <w:sz w:val="20"/>
                <w:szCs w:val="20"/>
                <w:color w:val="auto"/>
              </w:rPr>
            </w:pPr>
            <w:r>
              <w:rPr>
                <w:rFonts w:ascii="Arial" w:cs="Arial" w:eastAsia="Arial" w:hAnsi="Arial"/>
                <w:sz w:val="14"/>
                <w:szCs w:val="14"/>
                <w:b w:val="1"/>
                <w:bCs w:val="1"/>
                <w:color w:val="auto"/>
              </w:rPr>
              <w:t>June 26, 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Revenue:</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Company-operated restaurant revenue</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87,707</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88.1</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100,139</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88.0</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180,341</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88.1</w:t>
            </w:r>
          </w:p>
        </w:tc>
        <w:tc>
          <w:tcPr>
            <w:tcW w:w="1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197,289</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Franchise revenue</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6,719</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7,918</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13,781</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14,362</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4"/>
                <w:szCs w:val="14"/>
                <w:color w:val="auto"/>
              </w:rPr>
              <w:t>Franchise advertising fee revenue</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5,178</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5,683</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10,645</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11,066</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gridSpan w:val="2"/>
            <w:shd w:val="clear" w:color="auto" w:fill="CCEEFF"/>
          </w:tcPr>
          <w:p>
            <w:pPr>
              <w:ind w:left="340"/>
              <w:spacing w:after="0" w:line="142" w:lineRule="exact"/>
              <w:rPr>
                <w:sz w:val="20"/>
                <w:szCs w:val="20"/>
                <w:color w:val="auto"/>
              </w:rPr>
            </w:pPr>
            <w:r>
              <w:rPr>
                <w:rFonts w:ascii="Arial" w:cs="Arial" w:eastAsia="Arial" w:hAnsi="Arial"/>
                <w:sz w:val="14"/>
                <w:szCs w:val="14"/>
                <w:b w:val="1"/>
                <w:bCs w:val="1"/>
                <w:color w:val="auto"/>
              </w:rPr>
              <w:t>Total revenue</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99,604</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113,740</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204,767</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222,717</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Costs of operations: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Food and paper cost (1)</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22,873</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27,886</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48,435</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55,038</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Labor and related expenses (1)</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25,759</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29,272</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54,452</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30.2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58,848</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Occupancy and other operating expenses (1)</w:t>
            </w: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21,922</w:t>
            </w:r>
          </w:p>
        </w:tc>
        <w:tc>
          <w:tcPr>
            <w:tcW w:w="16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23,032</w:t>
            </w:r>
          </w:p>
        </w:tc>
        <w:tc>
          <w:tcPr>
            <w:tcW w:w="16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23.0</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44,031</w:t>
            </w:r>
          </w:p>
        </w:tc>
        <w:tc>
          <w:tcPr>
            <w:tcW w:w="16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24.4</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46,259</w:t>
            </w:r>
          </w:p>
        </w:tc>
        <w:tc>
          <w:tcPr>
            <w:tcW w:w="16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gridSpan w:val="2"/>
          </w:tcPr>
          <w:p>
            <w:pPr>
              <w:ind w:left="340"/>
              <w:spacing w:after="0" w:line="142" w:lineRule="exact"/>
              <w:rPr>
                <w:sz w:val="20"/>
                <w:szCs w:val="20"/>
                <w:color w:val="auto"/>
              </w:rPr>
            </w:pPr>
            <w:r>
              <w:rPr>
                <w:rFonts w:ascii="Arial" w:cs="Arial" w:eastAsia="Arial" w:hAnsi="Arial"/>
                <w:sz w:val="14"/>
                <w:szCs w:val="14"/>
                <w:b w:val="1"/>
                <w:bCs w:val="1"/>
                <w:color w:val="auto"/>
              </w:rPr>
              <w:t>Company restaurant expenses (1)</w:t>
            </w: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70,554</w:t>
            </w:r>
          </w:p>
        </w:tc>
        <w:tc>
          <w:tcPr>
            <w:tcW w:w="16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color w:val="auto"/>
              </w:rPr>
              <w:t>80.4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80,190</w:t>
            </w:r>
          </w:p>
        </w:tc>
        <w:tc>
          <w:tcPr>
            <w:tcW w:w="16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color w:val="auto"/>
              </w:rPr>
              <w:t>80.1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146,918</w:t>
            </w:r>
          </w:p>
        </w:tc>
        <w:tc>
          <w:tcPr>
            <w:tcW w:w="16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color w:val="auto"/>
              </w:rPr>
              <w:t>81.5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160,145</w:t>
            </w:r>
          </w:p>
        </w:tc>
        <w:tc>
          <w:tcPr>
            <w:tcW w:w="16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color w:val="auto"/>
              </w:rPr>
              <w:t>81.2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General and administrative expenses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10,465</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9,348</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19,796</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20,696</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Franchise expenses</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6,627</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7,542</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13,538</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13,686</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4,168</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4,454</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8,537</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9,215</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Loss on disposal of assets</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4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Recovery of securities lawsuits related legal</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expenses and other insurance claims</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(123)</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(10,000)</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(123)</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(10,000)</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Impairment and closed-store reserves</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565</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2,839</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874</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Loss on disposition of restaurants</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5,051</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gridSpan w:val="2"/>
          </w:tcPr>
          <w:p>
            <w:pPr>
              <w:ind w:left="340"/>
              <w:spacing w:after="0" w:line="142" w:lineRule="exact"/>
              <w:rPr>
                <w:sz w:val="20"/>
                <w:szCs w:val="20"/>
                <w:color w:val="auto"/>
              </w:rPr>
            </w:pPr>
            <w:r>
              <w:rPr>
                <w:rFonts w:ascii="Arial" w:cs="Arial" w:eastAsia="Arial" w:hAnsi="Arial"/>
                <w:sz w:val="14"/>
                <w:szCs w:val="14"/>
                <w:b w:val="1"/>
                <w:bCs w:val="1"/>
                <w:color w:val="auto"/>
              </w:rPr>
              <w:t>Total expenses</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92,155</w:t>
            </w: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92.5</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93,160</w:t>
            </w: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81.9</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191,632</w:t>
            </w: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93.6</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199,845</w:t>
            </w:r>
          </w:p>
        </w:tc>
        <w:tc>
          <w:tcPr>
            <w:tcW w:w="1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Income from operations</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7,449</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20,580</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13,135</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22,872</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Interest expense, net of interest income</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1,813</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1,781</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4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Income tax receivable agreement expense</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gridSpan w:val="2"/>
          </w:tcPr>
          <w:p>
            <w:pPr>
              <w:ind w:left="20"/>
              <w:spacing w:after="0"/>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290</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(94)</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170</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77</w:t>
            </w:r>
          </w:p>
        </w:tc>
        <w:tc>
          <w:tcPr>
            <w:tcW w:w="16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8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Income before provision for income taxes</w:t>
            </w: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6,251</w:t>
            </w: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19,752</w:t>
            </w: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11,152</w:t>
            </w: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21,014</w:t>
            </w: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4"/>
                <w:szCs w:val="14"/>
                <w:color w:val="auto"/>
              </w:rPr>
              <w:t>Provision for income taxes</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752</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0.8</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5,665</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2,053</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6,014</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income</w:t>
            </w: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5,499</w:t>
            </w:r>
          </w:p>
        </w:tc>
        <w:tc>
          <w:tcPr>
            <w:tcW w:w="1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14,087</w:t>
            </w:r>
          </w:p>
        </w:tc>
        <w:tc>
          <w:tcPr>
            <w:tcW w:w="1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12.4</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9,099</w:t>
            </w:r>
          </w:p>
        </w:tc>
        <w:tc>
          <w:tcPr>
            <w:tcW w:w="1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4.4</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15,000</w:t>
            </w:r>
          </w:p>
        </w:tc>
        <w:tc>
          <w:tcPr>
            <w:tcW w:w="1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income per share:</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0.16</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0.37</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0.39</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Diluted</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0.16</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0.37</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0.26</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0.38</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40" w:type="dxa"/>
            <w:vAlign w:val="bottom"/>
            <w:gridSpan w:val="2"/>
            <w:shd w:val="clear" w:color="auto" w:fill="CCEEFF"/>
          </w:tcPr>
          <w:p>
            <w:pPr>
              <w:ind w:left="20"/>
              <w:spacing w:after="0" w:line="126" w:lineRule="exact"/>
              <w:rPr>
                <w:sz w:val="20"/>
                <w:szCs w:val="20"/>
                <w:color w:val="auto"/>
              </w:rPr>
            </w:pPr>
            <w:r>
              <w:rPr>
                <w:rFonts w:ascii="Arial" w:cs="Arial" w:eastAsia="Arial" w:hAnsi="Arial"/>
                <w:sz w:val="14"/>
                <w:szCs w:val="14"/>
                <w:b w:val="1"/>
                <w:bCs w:val="1"/>
                <w:color w:val="auto"/>
                <w:w w:val="94"/>
              </w:rPr>
              <w:t>Weighted average shares used in computing</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per share: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Basic</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4"/>
              </w:rPr>
              <w:t>34,836,410</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4"/>
              </w:rPr>
              <w:t>37,939,912</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1"/>
              </w:rPr>
              <w:t>34,747,785</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4"/>
              </w:rPr>
              <w:t>38,296,807</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35,410,198</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38,580,722</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35,382,607</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39,043,477</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50" w:lineRule="auto"/>
        <w:tabs>
          <w:tab w:leader="none" w:pos="380" w:val="left"/>
        </w:tabs>
        <w:numPr>
          <w:ilvl w:val="0"/>
          <w:numId w:val="4"/>
        </w:numPr>
        <w:rPr>
          <w:rFonts w:ascii="Arial" w:cs="Arial" w:eastAsia="Arial" w:hAnsi="Arial"/>
          <w:sz w:val="20"/>
          <w:szCs w:val="20"/>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611505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SELECTED BALANCE SHEETS AND SELECTED OPERATING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1"/>
              </w:rPr>
              <w:t>As of</w:t>
            </w:r>
          </w:p>
        </w:tc>
        <w:tc>
          <w:tcPr>
            <w:tcW w:w="800" w:type="dxa"/>
            <w:vAlign w:val="bottom"/>
            <w:tcBorders>
              <w:bottom w:val="single" w:sz="8" w:color="auto"/>
            </w:tcBorders>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22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7"/>
              </w:rPr>
              <w:t>June 24, 2020   December 25, 2019</w:t>
            </w:r>
          </w:p>
        </w:tc>
      </w:tr>
      <w:tr>
        <w:trPr>
          <w:trHeight w:val="209"/>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Selected Balance Sheet Data:</w:t>
            </w: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jc w:val="right"/>
              <w:spacing w:after="0"/>
              <w:rPr>
                <w:sz w:val="20"/>
                <w:szCs w:val="20"/>
                <w:color w:val="auto"/>
              </w:rPr>
            </w:pPr>
            <w:r>
              <w:rPr>
                <w:rFonts w:ascii="Arial" w:cs="Arial" w:eastAsia="Arial" w:hAnsi="Arial"/>
                <w:sz w:val="18"/>
                <w:szCs w:val="18"/>
                <w:color w:val="auto"/>
              </w:rPr>
              <w:t>$   60,342</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8,070</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665,592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624,752</w:t>
            </w: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880" w:type="dxa"/>
            <w:vAlign w:val="bottom"/>
          </w:tcPr>
          <w:p>
            <w:pPr>
              <w:jc w:val="right"/>
              <w:spacing w:after="0"/>
              <w:rPr>
                <w:sz w:val="20"/>
                <w:szCs w:val="20"/>
                <w:color w:val="auto"/>
              </w:rPr>
            </w:pPr>
            <w:r>
              <w:rPr>
                <w:rFonts w:ascii="Arial" w:cs="Arial" w:eastAsia="Arial" w:hAnsi="Arial"/>
                <w:sz w:val="18"/>
                <w:szCs w:val="18"/>
                <w:color w:val="auto"/>
              </w:rPr>
              <w:t>138,800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97,000</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409,033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379,186</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880" w:type="dxa"/>
            <w:vAlign w:val="bottom"/>
          </w:tcPr>
          <w:p>
            <w:pPr>
              <w:jc w:val="right"/>
              <w:spacing w:after="0"/>
              <w:rPr>
                <w:sz w:val="20"/>
                <w:szCs w:val="20"/>
                <w:color w:val="auto"/>
              </w:rPr>
            </w:pPr>
            <w:r>
              <w:rPr>
                <w:rFonts w:ascii="Arial" w:cs="Arial" w:eastAsia="Arial" w:hAnsi="Arial"/>
                <w:sz w:val="18"/>
                <w:szCs w:val="18"/>
                <w:color w:val="auto"/>
              </w:rPr>
              <w:t>256,559</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245,566</w:t>
            </w:r>
          </w:p>
        </w:tc>
      </w:tr>
    </w:tbl>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2360" w:type="dxa"/>
            <w:vAlign w:val="bottom"/>
            <w:gridSpan w:val="5"/>
          </w:tcPr>
          <w:p>
            <w:pPr>
              <w:ind w:left="300"/>
              <w:spacing w:after="0"/>
              <w:rPr>
                <w:sz w:val="20"/>
                <w:szCs w:val="20"/>
                <w:color w:val="auto"/>
              </w:rPr>
            </w:pPr>
            <w:r>
              <w:rPr>
                <w:rFonts w:ascii="Arial" w:cs="Arial" w:eastAsia="Arial" w:hAnsi="Arial"/>
                <w:sz w:val="14"/>
                <w:szCs w:val="14"/>
                <w:b w:val="1"/>
                <w:bCs w:val="1"/>
                <w:color w:val="auto"/>
              </w:rPr>
              <w:t>Twenty-Six Weeks Ended</w:t>
            </w:r>
          </w:p>
        </w:tc>
      </w:tr>
      <w:tr>
        <w:trPr>
          <w:trHeight w:val="142"/>
        </w:trPr>
        <w:tc>
          <w:tcPr>
            <w:tcW w:w="656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2"/>
              </w:rPr>
              <w:t>June 24, 2020</w:t>
            </w:r>
          </w:p>
        </w:tc>
        <w:tc>
          <w:tcPr>
            <w:tcW w:w="104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June 26, 2019</w:t>
            </w:r>
          </w:p>
        </w:tc>
        <w:tc>
          <w:tcPr>
            <w:tcW w:w="180" w:type="dxa"/>
            <w:vAlign w:val="bottom"/>
            <w:gridSpan w:val="2"/>
          </w:tcPr>
          <w:p>
            <w:pPr>
              <w:spacing w:after="0"/>
              <w:rPr>
                <w:sz w:val="12"/>
                <w:szCs w:val="12"/>
                <w:color w:val="auto"/>
              </w:rPr>
            </w:pPr>
          </w:p>
        </w:tc>
      </w:tr>
      <w:tr>
        <w:trPr>
          <w:trHeight w:val="209"/>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Selected Operating Data:</w:t>
            </w: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Company-operated restaurants at end of period</w:t>
            </w:r>
          </w:p>
        </w:tc>
        <w:tc>
          <w:tcPr>
            <w:tcW w:w="880" w:type="dxa"/>
            <w:vAlign w:val="bottom"/>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Franchised restaurants at end of period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Company-operated:</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Comparable restaurant sales (decline) growth</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18"/>
                <w:szCs w:val="18"/>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Restaurants in the comparable base</w:t>
            </w:r>
          </w:p>
        </w:tc>
        <w:tc>
          <w:tcPr>
            <w:tcW w:w="880" w:type="dxa"/>
            <w:vAlign w:val="bottom"/>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978"/>
        </w:trPr>
        <w:tc>
          <w:tcPr>
            <w:tcW w:w="6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RECONCILIATION OF NET INCOME TO EBITDA AND ADJUSTED EBITDA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Thirteen Weeks Ended</w:t>
            </w:r>
          </w:p>
        </w:tc>
        <w:tc>
          <w:tcPr>
            <w:tcW w:w="12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24, 2020</w:t>
            </w: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June 26, 2019</w:t>
            </w:r>
          </w:p>
        </w:tc>
        <w:tc>
          <w:tcPr>
            <w:tcW w:w="160" w:type="dxa"/>
            <w:vAlign w:val="bottom"/>
          </w:tcPr>
          <w:p>
            <w:pPr>
              <w:spacing w:after="0"/>
              <w:rPr>
                <w:sz w:val="12"/>
                <w:szCs w:val="12"/>
                <w:color w:val="auto"/>
              </w:rPr>
            </w:pPr>
          </w:p>
        </w:tc>
        <w:tc>
          <w:tcPr>
            <w:tcW w:w="10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June 24, 2020</w:t>
            </w: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26, 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Net income, as reported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5,499</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14,087</w:t>
            </w:r>
          </w:p>
        </w:tc>
        <w:tc>
          <w:tcPr>
            <w:tcW w:w="16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9,099</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EBITDA</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25,128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 (a)</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Loss on disposal of assets (b)</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Recovery of securities lawsuits related legal expense and other</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8"/>
              </w:rPr>
              <w:t>(10,000)</w:t>
            </w:r>
          </w:p>
        </w:tc>
        <w:tc>
          <w:tcPr>
            <w:tcW w:w="1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508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insurance claims (c)</w:t>
            </w:r>
          </w:p>
        </w:tc>
        <w:tc>
          <w:tcPr>
            <w:tcW w:w="16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8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Impairment and closed-store reserves (d)</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Loss on disposition of restaurants (e)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Income tax receivable agreement expense (income) (f)</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Securities class action legal expense (g)</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Legal settlements (h)</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Pre-opening costs (i)</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120"/>
              <w:spacing w:after="0"/>
              <w:rPr>
                <w:sz w:val="20"/>
                <w:szCs w:val="20"/>
                <w:color w:val="auto"/>
              </w:rPr>
            </w:pPr>
            <w:r>
              <w:rPr>
                <w:rFonts w:ascii="Arial" w:cs="Arial" w:eastAsia="Arial" w:hAnsi="Arial"/>
                <w:sz w:val="18"/>
                <w:szCs w:val="18"/>
                <w:color w:val="auto"/>
              </w:rPr>
              <w:t>Executive transition costs (j)</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80" w:hanging="330"/>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non-cash, stock-based compensation.</w:t>
      </w:r>
    </w:p>
    <w:p>
      <w:pPr>
        <w:ind w:left="380" w:right="259" w:hanging="330"/>
        <w:spacing w:after="0" w:line="221"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Loss on disposal of assets includes the loss on disposal of assets related to retirements and replacement or write-off of leasehold improvements or equipment.</w:t>
      </w:r>
    </w:p>
    <w:p>
      <w:pPr>
        <w:jc w:val="both"/>
        <w:ind w:left="380" w:right="219" w:hanging="330"/>
        <w:spacing w:after="0" w:line="221"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During the thirteen and twenty-six weeks ended June 24, 2020, we received insurance proceeds of $0.1 million related to a property claim. During the thirteen and twenty-six weeks ended June 26, 2019, we received insurance proceeds of $10.0 million related to the settlement of the securities class action lawsuit.</w:t>
      </w:r>
    </w:p>
    <w:p>
      <w:pPr>
        <w:ind w:left="380" w:right="79" w:hanging="330"/>
        <w:spacing w:after="0" w:line="243" w:lineRule="auto"/>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Includes costs related to impairment of long-lived assets and closing restaurants. During the thirteen and twenty-six weeks ended June 24, 2020, we recognized a $0.1 million and $2.0 million non-cash impairment charge, primarily related to the carrying value of the right-of-use (“ROU”) assets of one restaurant in Texas and the long-lived assets of three restaurants in California. During the thirteen and twenty-six weeks ended June 26, 2019, we recorded a non-cash impairment charge of $0.2 million, primarily related to the carrying value of the assets of one restaurant in California. Given the difficulty in projecting results for newer restaurants in newer markets, as well as the impact of the COVID-19 pandemic,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16" w:lineRule="exact"/>
        <w:rPr>
          <w:rFonts w:ascii="Arial" w:cs="Arial" w:eastAsia="Arial" w:hAnsi="Arial"/>
          <w:sz w:val="13"/>
          <w:szCs w:val="13"/>
          <w:color w:val="auto"/>
        </w:rPr>
      </w:pPr>
    </w:p>
    <w:p>
      <w:pPr>
        <w:ind w:left="380" w:right="259"/>
        <w:spacing w:after="0" w:line="244" w:lineRule="auto"/>
        <w:rPr>
          <w:rFonts w:ascii="Arial" w:cs="Arial" w:eastAsia="Arial" w:hAnsi="Arial"/>
          <w:sz w:val="13"/>
          <w:szCs w:val="13"/>
          <w:color w:val="auto"/>
        </w:rPr>
      </w:pPr>
      <w:r>
        <w:rPr>
          <w:rFonts w:ascii="Arial" w:cs="Arial" w:eastAsia="Arial" w:hAnsi="Arial"/>
          <w:sz w:val="13"/>
          <w:szCs w:val="13"/>
          <w:color w:val="auto"/>
        </w:rPr>
        <w:t>When a restaurant is closed, we will evaluate the ROU asset for impairment, based on anticipated sublease recoveries. The remaining value of the ROU asset is amortized on a straight-line basis, with the expense recognized in closed-store reserve expense. Additionally, any property tax and CAM payments relating to closed restaurants are included within closed-store expense. During the thirteen and twenty-six weeks ended</w:t>
      </w:r>
    </w:p>
    <w:p>
      <w:pPr>
        <w:spacing w:after="0" w:line="1" w:lineRule="exact"/>
        <w:rPr>
          <w:rFonts w:ascii="Arial" w:cs="Arial" w:eastAsia="Arial" w:hAnsi="Arial"/>
          <w:sz w:val="13"/>
          <w:szCs w:val="13"/>
          <w:color w:val="auto"/>
        </w:rPr>
      </w:pPr>
    </w:p>
    <w:p>
      <w:pPr>
        <w:ind w:left="380" w:right="119"/>
        <w:spacing w:after="0" w:line="221" w:lineRule="auto"/>
        <w:rPr>
          <w:rFonts w:ascii="Arial" w:cs="Arial" w:eastAsia="Arial" w:hAnsi="Arial"/>
          <w:sz w:val="13"/>
          <w:szCs w:val="13"/>
          <w:color w:val="auto"/>
        </w:rPr>
      </w:pPr>
      <w:r>
        <w:rPr>
          <w:rFonts w:ascii="Arial" w:cs="Arial" w:eastAsia="Arial" w:hAnsi="Arial"/>
          <w:sz w:val="14"/>
          <w:szCs w:val="14"/>
          <w:color w:val="auto"/>
        </w:rPr>
        <w:t>June 24, 2020, we recognized $0.4 million and $0.9 million, respectively, of closed-store reserve expense related to the amortization of ROU assets, property taxes and CAM payments for our closed locations. During the twenty-six weeks ended June 26, 2019, we closed one restaurant in California and one restaurant in Texas, and recognized $0.3 million and $0.6 million of closed-store reserve expense for the thirteen and twenty-six weeks ended June 26, 2019, respectively, primarily related to the amortization of ROU assets, property taxes and common area maintenance payments for our closed locations.</w:t>
      </w:r>
    </w:p>
    <w:p>
      <w:pPr>
        <w:spacing w:after="0" w:line="1" w:lineRule="exact"/>
        <w:rPr>
          <w:rFonts w:ascii="Arial" w:cs="Arial" w:eastAsia="Arial" w:hAnsi="Arial"/>
          <w:sz w:val="13"/>
          <w:szCs w:val="13"/>
          <w:color w:val="auto"/>
        </w:rPr>
      </w:pPr>
    </w:p>
    <w:p>
      <w:pPr>
        <w:ind w:left="380" w:right="179" w:hanging="330"/>
        <w:spacing w:after="0" w:line="238" w:lineRule="auto"/>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During the thirteen and twenty-six weeks ended June 26, 2019, we completed the sale of four company-operated restaurants within the San Francisco area to an existing franchisee and seven company-operated restaurants in the Phoenix area to another existing franchisee. These sales resulted in cash proceeds of $4.8 million and a net loss on sale of restaurants of $0.9 million and $5.1 million for the thirteen and twenty-six weeks ended June 26, 2019, respectively. These restaurants are now included in our franchised restaurant totals.</w:t>
      </w:r>
    </w:p>
    <w:p>
      <w:pPr>
        <w:spacing w:after="0" w:line="1" w:lineRule="exact"/>
        <w:rPr>
          <w:rFonts w:ascii="Arial" w:cs="Arial" w:eastAsia="Arial" w:hAnsi="Arial"/>
          <w:sz w:val="13"/>
          <w:szCs w:val="13"/>
          <w:color w:val="auto"/>
        </w:rPr>
      </w:pPr>
    </w:p>
    <w:p>
      <w:pPr>
        <w:ind w:left="380" w:right="419" w:hanging="330"/>
        <w:spacing w:after="0" w:line="238" w:lineRule="auto"/>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thirteen and twenty-six weeks ended June 24, 2020 and June 26, 2019, income tax receivable agreement expense (income) consisted of the amortization of interest expense and changes in estimates for actual tax returns filed, related to our total expected TRA payments.</w:t>
      </w:r>
    </w:p>
    <w:p>
      <w:pPr>
        <w:spacing w:after="0" w:line="1" w:lineRule="exact"/>
        <w:rPr>
          <w:rFonts w:ascii="Arial" w:cs="Arial" w:eastAsia="Arial" w:hAnsi="Arial"/>
          <w:sz w:val="13"/>
          <w:szCs w:val="13"/>
          <w:color w:val="auto"/>
        </w:rPr>
      </w:pPr>
    </w:p>
    <w:p>
      <w:pPr>
        <w:ind w:left="380" w:hanging="330"/>
        <w:spacing w:after="0" w:line="221"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Consists of costs related to the defense of securities lawsuits.</w:t>
      </w:r>
    </w:p>
    <w:p>
      <w:pPr>
        <w:jc w:val="both"/>
        <w:ind w:left="380" w:right="179" w:hanging="330"/>
        <w:spacing w:after="0" w:line="221"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an accrual related to an agreement in principle to resolve the longstanding lawsuit involving a contract dispute with one of the Company’s franchisees concerning asserted territory rights, as well as amounts incurred related to the payment of the final settlement amounts for consolidated wage and hour class action lawsuits resolved in prior quarters.</w:t>
      </w:r>
    </w:p>
    <w:p>
      <w:pPr>
        <w:ind w:left="380" w:right="439" w:hanging="330"/>
        <w:spacing w:after="0" w:line="238" w:lineRule="auto"/>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1" w:lineRule="exact"/>
        <w:rPr>
          <w:rFonts w:ascii="Arial" w:cs="Arial" w:eastAsia="Arial" w:hAnsi="Arial"/>
          <w:sz w:val="13"/>
          <w:szCs w:val="13"/>
          <w:color w:val="auto"/>
        </w:rPr>
      </w:pPr>
    </w:p>
    <w:p>
      <w:pPr>
        <w:ind w:left="380" w:hanging="330"/>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costs associated with the transition of our CEO, such as CEO sign-on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RECONCILIATION OF NET INCOME TO PRO FORMA NET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Thirteen Weeks Ended</w:t>
            </w:r>
          </w:p>
        </w:tc>
        <w:tc>
          <w:tcPr>
            <w:tcW w:w="80" w:type="dxa"/>
            <w:vAlign w:val="bottom"/>
          </w:tcPr>
          <w:p>
            <w:pPr>
              <w:spacing w:after="0"/>
              <w:rPr>
                <w:sz w:val="14"/>
                <w:szCs w:val="14"/>
                <w:color w:val="auto"/>
              </w:rPr>
            </w:pPr>
          </w:p>
        </w:tc>
        <w:tc>
          <w:tcPr>
            <w:tcW w:w="21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0"/>
              </w:rPr>
              <w:t>June 24, 2020</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26, 2019</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0"/>
              </w:rPr>
              <w:t>June 24, 2020</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26, 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 forma net income:</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Net income, as reported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5,499</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14,087</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9,099</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taxes, as reported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Income tax receivable agreement expense (income)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disposal of assets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tcPr>
          <w:p>
            <w:pPr>
              <w:ind w:left="220"/>
              <w:spacing w:after="0" w:line="201" w:lineRule="exact"/>
              <w:rPr>
                <w:sz w:val="20"/>
                <w:szCs w:val="20"/>
                <w:color w:val="auto"/>
              </w:rPr>
            </w:pPr>
            <w:r>
              <w:rPr>
                <w:rFonts w:ascii="Arial" w:cs="Arial" w:eastAsia="Arial" w:hAnsi="Arial"/>
                <w:sz w:val="18"/>
                <w:szCs w:val="18"/>
                <w:color w:val="auto"/>
                <w:w w:val="98"/>
              </w:rPr>
              <w:t>Recovery of securities lawsuits related legal expense</w:t>
            </w:r>
          </w:p>
        </w:tc>
        <w:tc>
          <w:tcPr>
            <w:tcW w:w="100" w:type="dxa"/>
            <w:vAlign w:val="bottom"/>
          </w:tcPr>
          <w:p>
            <w:pPr>
              <w:spacing w:after="0"/>
              <w:rPr>
                <w:sz w:val="17"/>
                <w:szCs w:val="17"/>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7"/>
                <w:szCs w:val="17"/>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7"/>
                <w:szCs w:val="17"/>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7"/>
                <w:szCs w:val="17"/>
                <w:color w:val="auto"/>
              </w:rPr>
            </w:pP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22"/>
        </w:trPr>
        <w:tc>
          <w:tcPr>
            <w:tcW w:w="4400" w:type="dxa"/>
            <w:vAlign w:val="bottom"/>
            <w:vMerge w:val="restart"/>
          </w:tcPr>
          <w:p>
            <w:pPr>
              <w:ind w:left="220"/>
              <w:spacing w:after="0"/>
              <w:rPr>
                <w:sz w:val="20"/>
                <w:szCs w:val="20"/>
                <w:color w:val="auto"/>
              </w:rPr>
            </w:pPr>
            <w:r>
              <w:rPr>
                <w:rFonts w:ascii="Arial" w:cs="Arial" w:eastAsia="Arial" w:hAnsi="Arial"/>
                <w:sz w:val="18"/>
                <w:szCs w:val="18"/>
                <w:color w:val="auto"/>
              </w:rPr>
              <w:t>and other insurance claims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disposition of restaurants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Impairment and closed-store reserves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 lawsuits related legal expenses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Legal settlements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Executive transition costs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(2,496)</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(3,137)</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(4,497)</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 forma 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3"/>
              </w:rPr>
              <w:t>Pro forma weighted-average share and per share data:</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income per share</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400" w:type="dxa"/>
            <w:vAlign w:val="bottom"/>
            <w:tcBorders>
              <w:bottom w:val="single" w:sz="8" w:color="CCEEFF"/>
            </w:tcBorders>
            <w:shd w:val="clear" w:color="auto" w:fill="CCEEFF"/>
          </w:tcPr>
          <w:p>
            <w:pPr>
              <w:ind w:left="120"/>
              <w:spacing w:after="0" w:line="190" w:lineRule="exact"/>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0.20</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0.23</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0.35</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
              <w:spacing w:after="0" w:line="195" w:lineRule="exact"/>
              <w:rPr>
                <w:sz w:val="20"/>
                <w:szCs w:val="20"/>
                <w:color w:val="auto"/>
              </w:rPr>
            </w:pPr>
            <w:r>
              <w:rPr>
                <w:rFonts w:ascii="Arial" w:cs="Arial" w:eastAsia="Arial" w:hAnsi="Arial"/>
                <w:sz w:val="18"/>
                <w:szCs w:val="18"/>
                <w:color w:val="auto"/>
                <w:w w:val="92"/>
              </w:rPr>
              <w:t>Weighted-average shares used in computing pro forma net</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income per share</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34,836,410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37,939,912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34,747,785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38,296,807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35,410,198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38,580,722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35,382,607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39,043,477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8"/>
        </w:trPr>
        <w:tc>
          <w:tcPr>
            <w:tcW w:w="4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RECONCILIATION OF INCOME FROM OPERATIONS TO RESTAURANT CONTRIBUTION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7"/>
              </w:rPr>
              <w:t>Thirteen Weeks Ended</w:t>
            </w:r>
          </w:p>
        </w:tc>
        <w:tc>
          <w:tcPr>
            <w:tcW w:w="140" w:type="dxa"/>
            <w:vAlign w:val="bottom"/>
          </w:tcPr>
          <w:p>
            <w:pPr>
              <w:spacing w:after="0"/>
              <w:rPr>
                <w:sz w:val="14"/>
                <w:szCs w:val="14"/>
                <w:color w:val="auto"/>
              </w:rPr>
            </w:pPr>
          </w:p>
        </w:tc>
        <w:tc>
          <w:tcPr>
            <w:tcW w:w="1980" w:type="dxa"/>
            <w:vAlign w:val="bottom"/>
            <w:gridSpan w:val="6"/>
          </w:tcPr>
          <w:p>
            <w:pPr>
              <w:ind w:left="40"/>
              <w:spacing w:after="0"/>
              <w:rPr>
                <w:sz w:val="20"/>
                <w:szCs w:val="20"/>
                <w:color w:val="auto"/>
              </w:rPr>
            </w:pPr>
            <w:r>
              <w:rPr>
                <w:rFonts w:ascii="Arial" w:cs="Arial" w:eastAsia="Arial" w:hAnsi="Arial"/>
                <w:sz w:val="14"/>
                <w:szCs w:val="14"/>
                <w:b w:val="1"/>
                <w:bCs w:val="1"/>
                <w:color w:val="auto"/>
              </w:rPr>
              <w:t>Twenty-Six Weeks Ended</w:t>
            </w:r>
          </w:p>
        </w:tc>
      </w:tr>
      <w:tr>
        <w:trPr>
          <w:trHeight w:val="142"/>
        </w:trPr>
        <w:tc>
          <w:tcPr>
            <w:tcW w:w="472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24, 2020</w:t>
            </w: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26, 2019</w:t>
            </w:r>
          </w:p>
        </w:tc>
        <w:tc>
          <w:tcPr>
            <w:tcW w:w="16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24, 2020</w:t>
            </w: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26, 2019</w:t>
            </w:r>
          </w:p>
        </w:tc>
        <w:tc>
          <w:tcPr>
            <w:tcW w:w="200" w:type="dxa"/>
            <w:vAlign w:val="bottom"/>
            <w:gridSpan w:val="2"/>
          </w:tcPr>
          <w:p>
            <w:pPr>
              <w:spacing w:after="0"/>
              <w:rPr>
                <w:sz w:val="12"/>
                <w:szCs w:val="12"/>
                <w:color w:val="auto"/>
              </w:rPr>
            </w:pPr>
          </w:p>
        </w:tc>
      </w:tr>
      <w:tr>
        <w:trPr>
          <w:trHeight w:val="209"/>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Restaurant contribution:</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7,449</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20,580</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13,135</w:t>
            </w:r>
          </w:p>
        </w:tc>
        <w:tc>
          <w:tcPr>
            <w:tcW w:w="2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22,872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(less):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20" w:type="dxa"/>
            <w:vAlign w:val="bottom"/>
          </w:tcPr>
          <w:p>
            <w:pPr>
              <w:ind w:left="1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10,465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20,696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Franchise expenses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7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4,168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8,537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gain on disposal of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20" w:type="dxa"/>
            <w:vAlign w:val="bottom"/>
          </w:tcPr>
          <w:p>
            <w:pPr>
              <w:ind w:left="120"/>
              <w:spacing w:after="0"/>
              <w:rPr>
                <w:sz w:val="20"/>
                <w:szCs w:val="20"/>
                <w:color w:val="auto"/>
              </w:rPr>
            </w:pPr>
            <w:r>
              <w:rPr>
                <w:rFonts w:ascii="Arial" w:cs="Arial" w:eastAsia="Arial" w:hAnsi="Arial"/>
                <w:sz w:val="18"/>
                <w:szCs w:val="18"/>
                <w:color w:val="auto"/>
              </w:rPr>
              <w:t>Loss on assets held for sale</w:t>
            </w: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Franchise revenue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(6,719)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(13,781)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(14,362)</w:t>
            </w:r>
          </w:p>
        </w:tc>
        <w:tc>
          <w:tcPr>
            <w:tcW w:w="20" w:type="dxa"/>
            <w:vAlign w:val="bottom"/>
          </w:tcPr>
          <w:p>
            <w:pPr>
              <w:spacing w:after="0"/>
              <w:rPr>
                <w:sz w:val="18"/>
                <w:szCs w:val="18"/>
                <w:color w:val="auto"/>
              </w:rPr>
            </w:pPr>
          </w:p>
        </w:tc>
      </w:tr>
      <w:tr>
        <w:trPr>
          <w:trHeight w:val="216"/>
        </w:trPr>
        <w:tc>
          <w:tcPr>
            <w:tcW w:w="4720" w:type="dxa"/>
            <w:vAlign w:val="bottom"/>
          </w:tcPr>
          <w:p>
            <w:pPr>
              <w:ind w:left="120"/>
              <w:spacing w:after="0"/>
              <w:rPr>
                <w:sz w:val="20"/>
                <w:szCs w:val="20"/>
                <w:color w:val="auto"/>
              </w:rPr>
            </w:pPr>
            <w:r>
              <w:rPr>
                <w:rFonts w:ascii="Arial" w:cs="Arial" w:eastAsia="Arial" w:hAnsi="Arial"/>
                <w:sz w:val="18"/>
                <w:szCs w:val="18"/>
                <w:color w:val="auto"/>
              </w:rPr>
              <w:t>Franchise advertising fee revenue</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(5,178)</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(5,683)</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(10,645)</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(11,066)</w:t>
            </w:r>
          </w:p>
        </w:tc>
        <w:tc>
          <w:tcPr>
            <w:tcW w:w="20" w:type="dxa"/>
            <w:vAlign w:val="bottom"/>
          </w:tcPr>
          <w:p>
            <w:pPr>
              <w:spacing w:after="0"/>
              <w:rPr>
                <w:sz w:val="18"/>
                <w:szCs w:val="18"/>
                <w:color w:val="auto"/>
              </w:rPr>
            </w:pPr>
          </w:p>
        </w:tc>
      </w:tr>
      <w:tr>
        <w:trPr>
          <w:trHeight w:val="202"/>
        </w:trPr>
        <w:tc>
          <w:tcPr>
            <w:tcW w:w="47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Recovery of securities lawsuits related legal expenses and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insurance claims</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20"/>
                <w:szCs w:val="20"/>
                <w:color w:val="auto"/>
              </w:rPr>
            </w:pPr>
          </w:p>
        </w:tc>
      </w:tr>
      <w:tr>
        <w:trPr>
          <w:trHeight w:val="216"/>
        </w:trPr>
        <w:tc>
          <w:tcPr>
            <w:tcW w:w="4720" w:type="dxa"/>
            <w:vAlign w:val="bottom"/>
          </w:tcPr>
          <w:p>
            <w:pPr>
              <w:ind w:left="120"/>
              <w:spacing w:after="0"/>
              <w:rPr>
                <w:sz w:val="20"/>
                <w:szCs w:val="20"/>
                <w:color w:val="auto"/>
              </w:rPr>
            </w:pPr>
            <w:r>
              <w:rPr>
                <w:rFonts w:ascii="Arial" w:cs="Arial" w:eastAsia="Arial" w:hAnsi="Arial"/>
                <w:sz w:val="18"/>
                <w:szCs w:val="18"/>
                <w:color w:val="auto"/>
              </w:rPr>
              <w:t>Impairment and closed-store reserves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sale of restaurants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9"/>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Restaurant contribution</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17,153</w:t>
            </w:r>
          </w:p>
        </w:tc>
        <w:tc>
          <w:tcPr>
            <w:tcW w:w="2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19,949</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33,423</w:t>
            </w:r>
          </w:p>
        </w:tc>
        <w:tc>
          <w:tcPr>
            <w:tcW w:w="2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37,144</w:t>
            </w:r>
          </w:p>
        </w:tc>
        <w:tc>
          <w:tcPr>
            <w:tcW w:w="18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7"/>
        </w:trPr>
        <w:tc>
          <w:tcPr>
            <w:tcW w:w="4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Company-operated restaurant revenue:</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113,740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204,767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222,717</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Less: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Franchise revenue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(6,719)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(13,781)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(14,362)</w:t>
            </w:r>
          </w:p>
        </w:tc>
        <w:tc>
          <w:tcPr>
            <w:tcW w:w="20" w:type="dxa"/>
            <w:vAlign w:val="bottom"/>
          </w:tcPr>
          <w:p>
            <w:pPr>
              <w:spacing w:after="0"/>
              <w:rPr>
                <w:sz w:val="18"/>
                <w:szCs w:val="18"/>
                <w:color w:val="auto"/>
              </w:rPr>
            </w:pPr>
          </w:p>
        </w:tc>
      </w:tr>
      <w:tr>
        <w:trPr>
          <w:trHeight w:val="216"/>
        </w:trPr>
        <w:tc>
          <w:tcPr>
            <w:tcW w:w="4720" w:type="dxa"/>
            <w:vAlign w:val="bottom"/>
          </w:tcPr>
          <w:p>
            <w:pPr>
              <w:ind w:left="120"/>
              <w:spacing w:after="0"/>
              <w:rPr>
                <w:sz w:val="20"/>
                <w:szCs w:val="20"/>
                <w:color w:val="auto"/>
              </w:rPr>
            </w:pPr>
            <w:r>
              <w:rPr>
                <w:rFonts w:ascii="Arial" w:cs="Arial" w:eastAsia="Arial" w:hAnsi="Arial"/>
                <w:sz w:val="18"/>
                <w:szCs w:val="18"/>
                <w:color w:val="auto"/>
              </w:rPr>
              <w:t>Franchise advertising fee revenue</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(5,178)</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(5,683)</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(10,645)</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(11,066)</w:t>
            </w:r>
          </w:p>
        </w:tc>
        <w:tc>
          <w:tcPr>
            <w:tcW w:w="20" w:type="dxa"/>
            <w:vAlign w:val="bottom"/>
          </w:tcPr>
          <w:p>
            <w:pPr>
              <w:spacing w:after="0"/>
              <w:rPr>
                <w:sz w:val="18"/>
                <w:szCs w:val="18"/>
                <w:color w:val="auto"/>
              </w:rPr>
            </w:pPr>
          </w:p>
        </w:tc>
      </w:tr>
      <w:tr>
        <w:trPr>
          <w:trHeight w:val="209"/>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Company-operated restaurant revenue</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87,707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100,139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180,341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197,289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4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Restaurant contribution margin (%)</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19.6 %</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19.9 %</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18.5 %</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18.8 %</w:t>
            </w:r>
          </w:p>
        </w:tc>
        <w:tc>
          <w:tcPr>
            <w:tcW w:w="20" w:type="dxa"/>
            <w:vAlign w:val="bottom"/>
          </w:tcPr>
          <w:p>
            <w:pPr>
              <w:spacing w:after="0"/>
              <w:rPr>
                <w:sz w:val="18"/>
                <w:szCs w:val="18"/>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7"/>
        </w:trPr>
        <w:tc>
          <w:tcPr>
            <w:tcW w:w="4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2020-07-30T18:22:12Z</dcterms:created>
  <dcterms:modified xsi:type="dcterms:W3CDTF">2020-07-30T18:22:12Z</dcterms:modified>
</cp:coreProperties>
</file>