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111760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92075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7"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720" w:right="260" w:hanging="656"/>
        <w:spacing w:after="0" w:line="267" w:lineRule="auto"/>
        <w:tabs>
          <w:tab w:leader="none" w:pos="7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28, 2023</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05" w:lineRule="exact"/>
        <w:rPr>
          <w:sz w:val="24"/>
          <w:szCs w:val="24"/>
          <w:color w:val="auto"/>
        </w:rPr>
      </w:pPr>
    </w:p>
    <w:p>
      <w:pPr>
        <w:ind w:left="720" w:right="220" w:hanging="656"/>
        <w:spacing w:after="0" w:line="266" w:lineRule="auto"/>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2" w:lineRule="exact"/>
        <w:rPr>
          <w:sz w:val="24"/>
          <w:szCs w:val="24"/>
          <w:color w:val="auto"/>
        </w:rPr>
      </w:pPr>
    </w:p>
    <w:p>
      <w:pPr>
        <w:ind w:left="3140"/>
        <w:spacing w:after="0"/>
        <w:tabs>
          <w:tab w:leader="none" w:pos="6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3347720</wp:posOffset>
            </wp:positionH>
            <wp:positionV relativeFrom="paragraph">
              <wp:posOffset>-4445</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80645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EL POLLO LOCO HOLDINGS,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111760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620" w:type="dxa"/>
        <w:tblCellMar>
          <w:top w:w="0" w:type="dxa"/>
          <w:left w:w="0" w:type="dxa"/>
          <w:bottom w:w="0" w:type="dxa"/>
          <w:right w:w="0" w:type="dxa"/>
        </w:tblCellMar>
      </w:tblPr>
      <w:tr>
        <w:trPr>
          <w:trHeight w:val="198"/>
        </w:trPr>
        <w:tc>
          <w:tcPr>
            <w:tcW w:w="6060" w:type="dxa"/>
            <w:vAlign w:val="bottom"/>
          </w:tcPr>
          <w:p>
            <w:pPr>
              <w:jc w:val="center"/>
              <w:ind w:right="2288"/>
              <w:spacing w:after="0"/>
              <w:rPr>
                <w:sz w:val="20"/>
                <w:szCs w:val="20"/>
                <w:color w:val="auto"/>
              </w:rPr>
            </w:pPr>
            <w:r>
              <w:rPr>
                <w:rFonts w:ascii="Arial" w:cs="Arial" w:eastAsia="Arial" w:hAnsi="Arial"/>
                <w:sz w:val="16"/>
                <w:szCs w:val="16"/>
                <w:b w:val="1"/>
                <w:bCs w:val="1"/>
                <w:color w:val="auto"/>
                <w:w w:val="93"/>
              </w:rPr>
              <w:t>Delaware</w:t>
            </w:r>
          </w:p>
        </w:tc>
        <w:tc>
          <w:tcPr>
            <w:tcW w:w="2060" w:type="dxa"/>
            <w:vAlign w:val="bottom"/>
          </w:tcPr>
          <w:p>
            <w:pPr>
              <w:jc w:val="right"/>
              <w:ind w:right="508"/>
              <w:spacing w:after="0"/>
              <w:rPr>
                <w:sz w:val="20"/>
                <w:szCs w:val="20"/>
                <w:color w:val="auto"/>
              </w:rPr>
            </w:pPr>
            <w:r>
              <w:rPr>
                <w:rFonts w:ascii="Arial" w:cs="Arial" w:eastAsia="Arial" w:hAnsi="Arial"/>
                <w:sz w:val="16"/>
                <w:szCs w:val="16"/>
                <w:b w:val="1"/>
                <w:bCs w:val="1"/>
                <w:color w:val="auto"/>
              </w:rPr>
              <w:t>20-3563182</w:t>
            </w:r>
          </w:p>
        </w:tc>
      </w:tr>
      <w:tr>
        <w:trPr>
          <w:trHeight w:val="164"/>
        </w:trPr>
        <w:tc>
          <w:tcPr>
            <w:tcW w:w="6060" w:type="dxa"/>
            <w:vAlign w:val="bottom"/>
          </w:tcPr>
          <w:p>
            <w:pPr>
              <w:jc w:val="center"/>
              <w:ind w:right="2308"/>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060" w:type="dxa"/>
            <w:vAlign w:val="bottom"/>
          </w:tcPr>
          <w:p>
            <w:pPr>
              <w:jc w:val="center"/>
              <w:ind w:left="48"/>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551"/>
        </w:trPr>
        <w:tc>
          <w:tcPr>
            <w:tcW w:w="6060" w:type="dxa"/>
            <w:vAlign w:val="bottom"/>
          </w:tcPr>
          <w:p>
            <w:pPr>
              <w:jc w:val="center"/>
              <w:ind w:right="2308"/>
              <w:spacing w:after="0"/>
              <w:rPr>
                <w:sz w:val="20"/>
                <w:szCs w:val="20"/>
                <w:color w:val="auto"/>
              </w:rPr>
            </w:pPr>
            <w:r>
              <w:rPr>
                <w:rFonts w:ascii="Arial" w:cs="Arial" w:eastAsia="Arial" w:hAnsi="Arial"/>
                <w:sz w:val="16"/>
                <w:szCs w:val="16"/>
                <w:b w:val="1"/>
                <w:bCs w:val="1"/>
                <w:color w:val="auto"/>
                <w:w w:val="92"/>
              </w:rPr>
              <w:t>3535 Harbor Blvd., Suite 100, Costa Mesa, California</w:t>
            </w:r>
          </w:p>
        </w:tc>
        <w:tc>
          <w:tcPr>
            <w:tcW w:w="2060" w:type="dxa"/>
            <w:vAlign w:val="bottom"/>
          </w:tcPr>
          <w:p>
            <w:pPr>
              <w:jc w:val="right"/>
              <w:ind w:right="688"/>
              <w:spacing w:after="0"/>
              <w:rPr>
                <w:sz w:val="20"/>
                <w:szCs w:val="20"/>
                <w:color w:val="auto"/>
              </w:rPr>
            </w:pPr>
            <w:r>
              <w:rPr>
                <w:rFonts w:ascii="Arial" w:cs="Arial" w:eastAsia="Arial" w:hAnsi="Arial"/>
                <w:sz w:val="16"/>
                <w:szCs w:val="16"/>
                <w:b w:val="1"/>
                <w:bCs w:val="1"/>
                <w:color w:val="auto"/>
              </w:rPr>
              <w:t>92626</w:t>
            </w:r>
          </w:p>
        </w:tc>
      </w:tr>
      <w:tr>
        <w:trPr>
          <w:trHeight w:val="164"/>
        </w:trPr>
        <w:tc>
          <w:tcPr>
            <w:tcW w:w="6060" w:type="dxa"/>
            <w:vAlign w:val="bottom"/>
          </w:tcPr>
          <w:p>
            <w:pPr>
              <w:jc w:val="center"/>
              <w:ind w:right="230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060" w:type="dxa"/>
            <w:vAlign w:val="bottom"/>
          </w:tcPr>
          <w:p>
            <w:pPr>
              <w:jc w:val="center"/>
              <w:ind w:left="48"/>
              <w:spacing w:after="0"/>
              <w:rPr>
                <w:sz w:val="20"/>
                <w:szCs w:val="20"/>
                <w:color w:val="auto"/>
              </w:rPr>
            </w:pPr>
            <w:r>
              <w:rPr>
                <w:rFonts w:ascii="Arial" w:cs="Arial" w:eastAsia="Arial" w:hAnsi="Arial"/>
                <w:sz w:val="13"/>
                <w:szCs w:val="13"/>
                <w:b w:val="1"/>
                <w:bCs w:val="1"/>
                <w:color w:val="auto"/>
                <w:w w:val="90"/>
              </w:rPr>
              <w:t>(Zip Code)</w:t>
            </w:r>
          </w:p>
        </w:tc>
      </w:tr>
      <w:tr>
        <w:trPr>
          <w:trHeight w:val="457"/>
        </w:trPr>
        <w:tc>
          <w:tcPr>
            <w:tcW w:w="6060" w:type="dxa"/>
            <w:vAlign w:val="bottom"/>
          </w:tcPr>
          <w:p>
            <w:pPr>
              <w:jc w:val="right"/>
              <w:ind w:right="968"/>
              <w:spacing w:after="0"/>
              <w:rPr>
                <w:sz w:val="20"/>
                <w:szCs w:val="20"/>
                <w:color w:val="auto"/>
              </w:rPr>
            </w:pPr>
            <w:r>
              <w:rPr>
                <w:rFonts w:ascii="Arial" w:cs="Arial" w:eastAsia="Arial" w:hAnsi="Arial"/>
                <w:sz w:val="16"/>
                <w:szCs w:val="16"/>
                <w:b w:val="1"/>
                <w:bCs w:val="1"/>
                <w:color w:val="auto"/>
              </w:rPr>
              <w:t>(714) 599-5000</w:t>
            </w:r>
          </w:p>
        </w:tc>
        <w:tc>
          <w:tcPr>
            <w:tcW w:w="2060" w:type="dxa"/>
            <w:vAlign w:val="bottom"/>
          </w:tcPr>
          <w:p>
            <w:pPr>
              <w:spacing w:after="0"/>
              <w:rPr>
                <w:sz w:val="24"/>
                <w:szCs w:val="24"/>
                <w:color w:val="auto"/>
              </w:rPr>
            </w:pPr>
          </w:p>
        </w:tc>
      </w:tr>
      <w:tr>
        <w:trPr>
          <w:trHeight w:val="164"/>
        </w:trPr>
        <w:tc>
          <w:tcPr>
            <w:tcW w:w="6060" w:type="dxa"/>
            <w:vAlign w:val="bottom"/>
          </w:tcPr>
          <w:p>
            <w:pPr>
              <w:jc w:val="center"/>
              <w:ind w:left="2868"/>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2060" w:type="dxa"/>
            <w:vAlign w:val="bottom"/>
          </w:tcPr>
          <w:p>
            <w:pPr>
              <w:spacing w:after="0"/>
              <w:rPr>
                <w:sz w:val="14"/>
                <w:szCs w:val="14"/>
                <w:color w:val="auto"/>
              </w:rPr>
            </w:pPr>
          </w:p>
        </w:tc>
      </w:tr>
    </w:tbl>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N/A</w:t>
      </w:r>
    </w:p>
    <w:p>
      <w:pPr>
        <w:jc w:val="center"/>
        <w:ind w:right="-1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6"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LOCO</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196850</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both"/>
        <w:ind w:left="20" w:right="140" w:firstLine="506"/>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1" w:lineRule="exact"/>
        <w:rPr>
          <w:sz w:val="24"/>
          <w:szCs w:val="24"/>
          <w:color w:val="auto"/>
        </w:rPr>
      </w:pPr>
    </w:p>
    <w:p>
      <w:pPr>
        <w:ind w:left="20" w:right="40" w:firstLine="506"/>
        <w:spacing w:after="0" w:line="30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320" w:hanging="229"/>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2" w:lineRule="exact"/>
        <w:rPr>
          <w:sz w:val="24"/>
          <w:szCs w:val="24"/>
          <w:color w:val="auto"/>
        </w:rPr>
      </w:pPr>
    </w:p>
    <w:p>
      <w:pPr>
        <w:ind w:left="20" w:right="60" w:firstLine="50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60" w:type="dxa"/>
        <w:tblCellMar>
          <w:top w:w="0" w:type="dxa"/>
          <w:left w:w="0" w:type="dxa"/>
          <w:bottom w:w="0" w:type="dxa"/>
          <w:right w:w="0" w:type="dxa"/>
        </w:tblCellMar>
      </w:tblPr>
      <w:tr>
        <w:trPr>
          <w:trHeight w:val="272"/>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2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2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Pr>
          <w:p>
            <w:pPr>
              <w:ind w:left="262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6" w:lineRule="exact"/>
        <w:rPr>
          <w:sz w:val="24"/>
          <w:szCs w:val="24"/>
          <w:color w:val="auto"/>
        </w:rPr>
      </w:pPr>
    </w:p>
    <w:p>
      <w:pPr>
        <w:ind w:left="20" w:right="40" w:firstLine="506"/>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20" w:right="1180"/>
        <w:spacing w:after="0" w:line="25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July 28, 2023, there were 35,464,393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664845</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64770</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107315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7060" w:type="dxa"/>
            <w:vAlign w:val="bottom"/>
            <w:gridSpan w:val="23"/>
          </w:tcPr>
          <w:p>
            <w:pPr>
              <w:spacing w:after="0"/>
              <w:rPr>
                <w:sz w:val="20"/>
                <w:szCs w:val="20"/>
                <w:color w:val="auto"/>
              </w:rPr>
            </w:pPr>
            <w:r>
              <w:rPr>
                <w:rFonts w:ascii="Arial" w:cs="Arial" w:eastAsia="Arial" w:hAnsi="Arial"/>
                <w:sz w:val="14"/>
                <w:szCs w:val="14"/>
                <w:b w:val="1"/>
                <w:bCs w:val="1"/>
                <w:color w:val="auto"/>
              </w:rPr>
              <w:t>Table of Contents</w:t>
            </w:r>
          </w:p>
        </w:tc>
        <w:tc>
          <w:tcPr>
            <w:tcW w:w="1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9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PART I—FINANCIAL INFORMATION</w:t>
            </w:r>
          </w:p>
        </w:tc>
        <w:tc>
          <w:tcPr>
            <w:tcW w:w="124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640" w:type="dxa"/>
            <w:vAlign w:val="bottom"/>
            <w:vMerge w:val="restart"/>
          </w:tcPr>
          <w:p>
            <w:pPr>
              <w:spacing w:after="0"/>
              <w:rPr>
                <w:sz w:val="24"/>
                <w:szCs w:val="24"/>
                <w:color w:val="auto"/>
              </w:rPr>
            </w:pPr>
          </w:p>
        </w:tc>
        <w:tc>
          <w:tcPr>
            <w:tcW w:w="560" w:type="dxa"/>
            <w:vAlign w:val="bottom"/>
            <w:vMerge w:val="restart"/>
          </w:tcPr>
          <w:p>
            <w:pPr>
              <w:spacing w:after="0"/>
              <w:rPr>
                <w:sz w:val="24"/>
                <w:szCs w:val="24"/>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80" w:type="dxa"/>
            <w:vAlign w:val="bottom"/>
            <w:gridSpan w:val="9"/>
            <w:vMerge w:val="restart"/>
          </w:tcPr>
          <w:p>
            <w:pPr>
              <w:spacing w:after="0"/>
              <w:rPr>
                <w:sz w:val="20"/>
                <w:szCs w:val="20"/>
                <w:color w:val="auto"/>
              </w:rPr>
            </w:pPr>
            <w:r>
              <w:rPr>
                <w:rFonts w:ascii="Arial" w:cs="Arial" w:eastAsia="Arial" w:hAnsi="Arial"/>
                <w:sz w:val="18"/>
                <w:szCs w:val="18"/>
                <w:color w:val="0000EE"/>
                <w:w w:val="88"/>
              </w:rPr>
              <w:t>Item 1. Financial Statements.</w:t>
            </w: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080" w:type="dxa"/>
            <w:vAlign w:val="bottom"/>
            <w:tcBorders>
              <w:bottom w:val="single" w:sz="8" w:color="0000EE"/>
            </w:tcBorders>
            <w:gridSpan w:val="9"/>
            <w:vMerge w:val="continue"/>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480" w:type="dxa"/>
            <w:vAlign w:val="bottom"/>
            <w:vMerge w:val="restart"/>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40" w:type="dxa"/>
            <w:vAlign w:val="bottom"/>
            <w:vMerge w:val="restart"/>
          </w:tcPr>
          <w:p>
            <w:pPr>
              <w:spacing w:after="0"/>
              <w:rPr>
                <w:sz w:val="15"/>
                <w:szCs w:val="15"/>
                <w:color w:val="auto"/>
              </w:rPr>
            </w:pPr>
          </w:p>
        </w:tc>
        <w:tc>
          <w:tcPr>
            <w:tcW w:w="560" w:type="dxa"/>
            <w:vAlign w:val="bottom"/>
            <w:vMerge w:val="restart"/>
          </w:tcPr>
          <w:p>
            <w:pPr>
              <w:spacing w:after="0"/>
              <w:rPr>
                <w:sz w:val="15"/>
                <w:szCs w:val="15"/>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840" w:type="dxa"/>
            <w:vAlign w:val="bottom"/>
            <w:gridSpan w:val="13"/>
            <w:vMerge w:val="restart"/>
          </w:tcPr>
          <w:p>
            <w:pPr>
              <w:spacing w:after="0"/>
              <w:rPr>
                <w:sz w:val="20"/>
                <w:szCs w:val="20"/>
                <w:color w:val="auto"/>
              </w:rPr>
            </w:pPr>
            <w:r>
              <w:rPr>
                <w:rFonts w:ascii="Arial" w:cs="Arial" w:eastAsia="Arial" w:hAnsi="Arial"/>
                <w:sz w:val="18"/>
                <w:szCs w:val="18"/>
                <w:color w:val="0000EE"/>
                <w:w w:val="88"/>
              </w:rPr>
              <w:t>Condensed Consolidated Balance Sheets (Unaudited)</w:t>
            </w: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40" w:type="dxa"/>
            <w:vAlign w:val="bottom"/>
            <w:tcBorders>
              <w:bottom w:val="single" w:sz="8" w:color="0000EE"/>
            </w:tcBorders>
            <w:gridSpan w:val="13"/>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4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Condensed Consolidated Statements of Income (Unaudited)</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500" w:type="dxa"/>
            <w:vAlign w:val="bottom"/>
            <w:gridSpan w:val="19"/>
            <w:vMerge w:val="restart"/>
          </w:tcPr>
          <w:p>
            <w:pPr>
              <w:spacing w:after="0"/>
              <w:rPr>
                <w:sz w:val="20"/>
                <w:szCs w:val="20"/>
                <w:color w:val="auto"/>
              </w:rPr>
            </w:pPr>
            <w:r>
              <w:rPr>
                <w:rFonts w:ascii="Arial" w:cs="Arial" w:eastAsia="Arial" w:hAnsi="Arial"/>
                <w:sz w:val="18"/>
                <w:szCs w:val="18"/>
                <w:color w:val="0000EE"/>
                <w:w w:val="89"/>
              </w:rPr>
              <w:t>Condensed Consolidated Statements of Comprehensive Income (Unaudited)</w:t>
            </w: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500" w:type="dxa"/>
            <w:vAlign w:val="bottom"/>
            <w:tcBorders>
              <w:bottom w:val="single" w:sz="8" w:color="0000EE"/>
            </w:tcBorders>
            <w:gridSpan w:val="19"/>
            <w:vMerge w:val="continue"/>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vMerge w:val="restart"/>
          </w:tcPr>
          <w:p>
            <w:pPr>
              <w:spacing w:after="0"/>
              <w:rPr>
                <w:sz w:val="15"/>
                <w:szCs w:val="15"/>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140" w:type="dxa"/>
            <w:vAlign w:val="bottom"/>
            <w:gridSpan w:val="20"/>
            <w:vMerge w:val="restart"/>
          </w:tcPr>
          <w:p>
            <w:pPr>
              <w:spacing w:after="0"/>
              <w:rPr>
                <w:sz w:val="20"/>
                <w:szCs w:val="20"/>
                <w:color w:val="auto"/>
              </w:rPr>
            </w:pPr>
            <w:r>
              <w:rPr>
                <w:rFonts w:ascii="Arial" w:cs="Arial" w:eastAsia="Arial" w:hAnsi="Arial"/>
                <w:sz w:val="18"/>
                <w:szCs w:val="18"/>
                <w:color w:val="0000EE"/>
                <w:w w:val="89"/>
              </w:rPr>
              <w:t>Condensed Consolidated Statements of Changes in Stockholders’ Equity (Unaudited)</w:t>
            </w:r>
          </w:p>
        </w:tc>
        <w:tc>
          <w:tcPr>
            <w:tcW w:w="560" w:type="dxa"/>
            <w:vAlign w:val="bottom"/>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140" w:type="dxa"/>
            <w:vAlign w:val="bottom"/>
            <w:tcBorders>
              <w:bottom w:val="single" w:sz="8" w:color="0000EE"/>
            </w:tcBorders>
            <w:gridSpan w:val="20"/>
            <w:vMerge w:val="continue"/>
          </w:tcPr>
          <w:p>
            <w:pPr>
              <w:spacing w:after="0"/>
              <w:rPr>
                <w:sz w:val="15"/>
                <w:szCs w:val="15"/>
                <w:color w:val="auto"/>
              </w:rPr>
            </w:pPr>
          </w:p>
        </w:tc>
        <w:tc>
          <w:tcPr>
            <w:tcW w:w="560" w:type="dxa"/>
            <w:vAlign w:val="bottom"/>
          </w:tcPr>
          <w:p>
            <w:pPr>
              <w:spacing w:after="0"/>
              <w:rPr>
                <w:sz w:val="15"/>
                <w:szCs w:val="15"/>
                <w:color w:val="auto"/>
              </w:rPr>
            </w:pPr>
          </w:p>
        </w:tc>
        <w:tc>
          <w:tcPr>
            <w:tcW w:w="174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Condensed Consolidated Statements of Cash Flows (Unaudited)</w:t>
            </w:r>
          </w:p>
        </w:tc>
        <w:tc>
          <w:tcPr>
            <w:tcW w:w="260" w:type="dxa"/>
            <w:vAlign w:val="bottom"/>
          </w:tcPr>
          <w:p>
            <w:pPr>
              <w:spacing w:after="0"/>
              <w:rPr>
                <w:sz w:val="19"/>
                <w:szCs w:val="19"/>
                <w:color w:val="auto"/>
              </w:rPr>
            </w:pPr>
          </w:p>
        </w:tc>
        <w:tc>
          <w:tcPr>
            <w:tcW w:w="1800" w:type="dxa"/>
            <w:vAlign w:val="bottom"/>
            <w:gridSpan w:val="3"/>
            <w:vMerge w:val="restart"/>
          </w:tcPr>
          <w:p>
            <w:pPr>
              <w:spacing w:after="0"/>
              <w:rPr>
                <w:sz w:val="19"/>
                <w:szCs w:val="19"/>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80" w:type="dxa"/>
            <w:vAlign w:val="bottom"/>
            <w:gridSpan w:val="17"/>
            <w:vMerge w:val="restart"/>
          </w:tcPr>
          <w:p>
            <w:pPr>
              <w:spacing w:after="0"/>
              <w:rPr>
                <w:sz w:val="20"/>
                <w:szCs w:val="20"/>
                <w:color w:val="auto"/>
              </w:rPr>
            </w:pPr>
            <w:r>
              <w:rPr>
                <w:rFonts w:ascii="Arial" w:cs="Arial" w:eastAsia="Arial" w:hAnsi="Arial"/>
                <w:sz w:val="18"/>
                <w:szCs w:val="18"/>
                <w:color w:val="0000EE"/>
                <w:w w:val="88"/>
              </w:rPr>
              <w:t>Notes to Condensed Consolidated Financial Statements (Unaudited)</w:t>
            </w:r>
          </w:p>
        </w:tc>
        <w:tc>
          <w:tcPr>
            <w:tcW w:w="1800" w:type="dxa"/>
            <w:vAlign w:val="bottom"/>
            <w:gridSpan w:val="3"/>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Borders>
              <w:bottom w:val="single" w:sz="8" w:color="0000EE"/>
            </w:tcBorders>
            <w:gridSpan w:val="17"/>
            <w:vMerge w:val="continue"/>
          </w:tcPr>
          <w:p>
            <w:pPr>
              <w:spacing w:after="0"/>
              <w:rPr>
                <w:sz w:val="15"/>
                <w:szCs w:val="15"/>
                <w:color w:val="auto"/>
              </w:rPr>
            </w:pPr>
          </w:p>
        </w:tc>
        <w:tc>
          <w:tcPr>
            <w:tcW w:w="1800" w:type="dxa"/>
            <w:vAlign w:val="bottom"/>
            <w:gridSpan w:val="3"/>
          </w:tcPr>
          <w:p>
            <w:pPr>
              <w:spacing w:after="0"/>
              <w:rPr>
                <w:sz w:val="15"/>
                <w:szCs w:val="15"/>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1"/>
        </w:trPr>
        <w:tc>
          <w:tcPr>
            <w:tcW w:w="7060" w:type="dxa"/>
            <w:vAlign w:val="bottom"/>
            <w:gridSpan w:val="23"/>
            <w:vMerge w:val="restart"/>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060" w:type="dxa"/>
            <w:vAlign w:val="bottom"/>
            <w:tcBorders>
              <w:bottom w:val="single" w:sz="8" w:color="0000EE"/>
            </w:tcBorders>
            <w:gridSpan w:val="23"/>
            <w:vMerge w:val="continue"/>
          </w:tcPr>
          <w:p>
            <w:pPr>
              <w:spacing w:after="0"/>
              <w:rPr>
                <w:sz w:val="15"/>
                <w:szCs w:val="15"/>
                <w:color w:val="auto"/>
              </w:rPr>
            </w:pPr>
          </w:p>
        </w:tc>
        <w:tc>
          <w:tcPr>
            <w:tcW w:w="174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2"/>
              </w:rPr>
              <w:t>Item 3. Quantitative and Qualitative Disclosures About Market Risk.</w:t>
            </w:r>
          </w:p>
        </w:tc>
        <w:tc>
          <w:tcPr>
            <w:tcW w:w="2080" w:type="dxa"/>
            <w:vAlign w:val="bottom"/>
            <w:gridSpan w:val="5"/>
            <w:vMerge w:val="restart"/>
          </w:tcPr>
          <w:p>
            <w:pPr>
              <w:spacing w:after="0"/>
              <w:rPr>
                <w:sz w:val="19"/>
                <w:szCs w:val="19"/>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61"/>
        </w:trPr>
        <w:tc>
          <w:tcPr>
            <w:tcW w:w="2380" w:type="dxa"/>
            <w:vAlign w:val="bottom"/>
            <w:gridSpan w:val="11"/>
            <w:vMerge w:val="restart"/>
          </w:tcPr>
          <w:p>
            <w:pPr>
              <w:spacing w:after="0"/>
              <w:rPr>
                <w:sz w:val="20"/>
                <w:szCs w:val="20"/>
                <w:color w:val="auto"/>
              </w:rPr>
            </w:pPr>
            <w:r>
              <w:rPr>
                <w:rFonts w:ascii="Arial" w:cs="Arial" w:eastAsia="Arial" w:hAnsi="Arial"/>
                <w:sz w:val="18"/>
                <w:szCs w:val="18"/>
                <w:color w:val="0000EE"/>
                <w:w w:val="89"/>
              </w:rPr>
              <w:t>Item 4. Controls and Procedures.</w:t>
            </w: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4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gridSpan w:val="5"/>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80" w:type="dxa"/>
            <w:vAlign w:val="bottom"/>
            <w:tcBorders>
              <w:bottom w:val="single" w:sz="8" w:color="0000EE"/>
            </w:tcBorders>
            <w:gridSpan w:val="11"/>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vMerge w:val="restart"/>
          </w:tcPr>
          <w:p>
            <w:pPr>
              <w:spacing w:after="0"/>
              <w:rPr>
                <w:sz w:val="15"/>
                <w:szCs w:val="15"/>
                <w:color w:val="auto"/>
              </w:rPr>
            </w:pPr>
          </w:p>
        </w:tc>
        <w:tc>
          <w:tcPr>
            <w:tcW w:w="2040" w:type="dxa"/>
            <w:vAlign w:val="bottom"/>
            <w:gridSpan w:val="4"/>
            <w:vMerge w:val="restart"/>
          </w:tcPr>
          <w:p>
            <w:pPr>
              <w:spacing w:after="0"/>
              <w:rPr>
                <w:sz w:val="15"/>
                <w:szCs w:val="15"/>
                <w:color w:val="auto"/>
              </w:rPr>
            </w:pPr>
          </w:p>
        </w:tc>
        <w:tc>
          <w:tcPr>
            <w:tcW w:w="2100" w:type="dxa"/>
            <w:vAlign w:val="bottom"/>
            <w:gridSpan w:val="6"/>
            <w:vMerge w:val="restart"/>
          </w:tcPr>
          <w:p>
            <w:pPr>
              <w:spacing w:after="0"/>
              <w:rPr>
                <w:sz w:val="15"/>
                <w:szCs w:val="15"/>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1"/>
        </w:trPr>
        <w:tc>
          <w:tcPr>
            <w:tcW w:w="2660" w:type="dxa"/>
            <w:vAlign w:val="bottom"/>
            <w:gridSpan w:val="12"/>
            <w:vMerge w:val="restart"/>
          </w:tcPr>
          <w:p>
            <w:pPr>
              <w:spacing w:after="0"/>
              <w:rPr>
                <w:sz w:val="20"/>
                <w:szCs w:val="20"/>
                <w:color w:val="auto"/>
              </w:rPr>
            </w:pPr>
            <w:r>
              <w:rPr>
                <w:rFonts w:ascii="Arial" w:cs="Arial" w:eastAsia="Arial" w:hAnsi="Arial"/>
                <w:sz w:val="18"/>
                <w:szCs w:val="18"/>
                <w:color w:val="0000EE"/>
                <w:w w:val="95"/>
              </w:rPr>
              <w:t>PART II—OTHER INFORMATION</w:t>
            </w:r>
          </w:p>
        </w:tc>
        <w:tc>
          <w:tcPr>
            <w:tcW w:w="260" w:type="dxa"/>
            <w:vAlign w:val="bottom"/>
            <w:vMerge w:val="continue"/>
          </w:tcPr>
          <w:p>
            <w:pPr>
              <w:spacing w:after="0"/>
              <w:rPr>
                <w:sz w:val="5"/>
                <w:szCs w:val="5"/>
                <w:color w:val="auto"/>
              </w:rPr>
            </w:pPr>
          </w:p>
        </w:tc>
        <w:tc>
          <w:tcPr>
            <w:tcW w:w="2040" w:type="dxa"/>
            <w:vAlign w:val="bottom"/>
            <w:gridSpan w:val="4"/>
            <w:vMerge w:val="continue"/>
          </w:tcPr>
          <w:p>
            <w:pPr>
              <w:spacing w:after="0"/>
              <w:rPr>
                <w:sz w:val="5"/>
                <w:szCs w:val="5"/>
                <w:color w:val="auto"/>
              </w:rPr>
            </w:pPr>
          </w:p>
        </w:tc>
        <w:tc>
          <w:tcPr>
            <w:tcW w:w="2100" w:type="dxa"/>
            <w:vAlign w:val="bottom"/>
            <w:gridSpan w:val="6"/>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3"/>
        </w:trPr>
        <w:tc>
          <w:tcPr>
            <w:tcW w:w="2660" w:type="dxa"/>
            <w:vAlign w:val="bottom"/>
            <w:tcBorders>
              <w:bottom w:val="single" w:sz="8" w:color="0000EE"/>
            </w:tcBorders>
            <w:gridSpan w:val="12"/>
            <w:vMerge w:val="continue"/>
          </w:tcPr>
          <w:p>
            <w:pPr>
              <w:spacing w:after="0"/>
              <w:rPr>
                <w:sz w:val="24"/>
                <w:szCs w:val="24"/>
                <w:color w:val="auto"/>
              </w:rPr>
            </w:pPr>
          </w:p>
        </w:tc>
        <w:tc>
          <w:tcPr>
            <w:tcW w:w="260" w:type="dxa"/>
            <w:vAlign w:val="bottom"/>
            <w:vMerge w:val="restart"/>
          </w:tcPr>
          <w:p>
            <w:pPr>
              <w:spacing w:after="0"/>
              <w:rPr>
                <w:sz w:val="24"/>
                <w:szCs w:val="24"/>
                <w:color w:val="auto"/>
              </w:rPr>
            </w:pPr>
          </w:p>
        </w:tc>
        <w:tc>
          <w:tcPr>
            <w:tcW w:w="2040" w:type="dxa"/>
            <w:vAlign w:val="bottom"/>
            <w:gridSpan w:val="4"/>
            <w:vMerge w:val="restart"/>
          </w:tcPr>
          <w:p>
            <w:pPr>
              <w:spacing w:after="0"/>
              <w:rPr>
                <w:sz w:val="24"/>
                <w:szCs w:val="24"/>
                <w:color w:val="auto"/>
              </w:rPr>
            </w:pPr>
          </w:p>
        </w:tc>
        <w:tc>
          <w:tcPr>
            <w:tcW w:w="2100" w:type="dxa"/>
            <w:vAlign w:val="bottom"/>
            <w:gridSpan w:val="6"/>
            <w:vMerge w:val="restart"/>
          </w:tcPr>
          <w:p>
            <w:pPr>
              <w:spacing w:after="0"/>
              <w:rPr>
                <w:sz w:val="24"/>
                <w:szCs w:val="24"/>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1"/>
        </w:trPr>
        <w:tc>
          <w:tcPr>
            <w:tcW w:w="1940" w:type="dxa"/>
            <w:vAlign w:val="bottom"/>
            <w:gridSpan w:val="9"/>
            <w:vMerge w:val="restart"/>
          </w:tcPr>
          <w:p>
            <w:pPr>
              <w:spacing w:after="0"/>
              <w:rPr>
                <w:sz w:val="20"/>
                <w:szCs w:val="20"/>
                <w:color w:val="auto"/>
              </w:rPr>
            </w:pPr>
            <w:r>
              <w:rPr>
                <w:rFonts w:ascii="Arial" w:cs="Arial" w:eastAsia="Arial" w:hAnsi="Arial"/>
                <w:sz w:val="18"/>
                <w:szCs w:val="18"/>
                <w:color w:val="0000EE"/>
                <w:w w:val="89"/>
              </w:rPr>
              <w:t>Item 1. Legal Proceedings.</w:t>
            </w:r>
          </w:p>
        </w:tc>
        <w:tc>
          <w:tcPr>
            <w:tcW w:w="720" w:type="dxa"/>
            <w:vAlign w:val="bottom"/>
            <w:gridSpan w:val="3"/>
          </w:tcPr>
          <w:p>
            <w:pPr>
              <w:spacing w:after="0"/>
              <w:rPr>
                <w:sz w:val="5"/>
                <w:szCs w:val="5"/>
                <w:color w:val="auto"/>
              </w:rPr>
            </w:pPr>
          </w:p>
        </w:tc>
        <w:tc>
          <w:tcPr>
            <w:tcW w:w="260" w:type="dxa"/>
            <w:vAlign w:val="bottom"/>
            <w:vMerge w:val="continue"/>
          </w:tcPr>
          <w:p>
            <w:pPr>
              <w:spacing w:after="0"/>
              <w:rPr>
                <w:sz w:val="5"/>
                <w:szCs w:val="5"/>
                <w:color w:val="auto"/>
              </w:rPr>
            </w:pPr>
          </w:p>
        </w:tc>
        <w:tc>
          <w:tcPr>
            <w:tcW w:w="2040" w:type="dxa"/>
            <w:vAlign w:val="bottom"/>
            <w:gridSpan w:val="4"/>
            <w:vMerge w:val="continue"/>
          </w:tcPr>
          <w:p>
            <w:pPr>
              <w:spacing w:after="0"/>
              <w:rPr>
                <w:sz w:val="5"/>
                <w:szCs w:val="5"/>
                <w:color w:val="auto"/>
              </w:rPr>
            </w:pPr>
          </w:p>
        </w:tc>
        <w:tc>
          <w:tcPr>
            <w:tcW w:w="2100" w:type="dxa"/>
            <w:vAlign w:val="bottom"/>
            <w:gridSpan w:val="6"/>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40" w:type="dxa"/>
            <w:vAlign w:val="bottom"/>
            <w:tcBorders>
              <w:bottom w:val="single" w:sz="8" w:color="0000EE"/>
            </w:tcBorders>
            <w:gridSpan w:val="9"/>
            <w:vMerge w:val="continue"/>
          </w:tcPr>
          <w:p>
            <w:pPr>
              <w:spacing w:after="0"/>
              <w:rPr>
                <w:sz w:val="15"/>
                <w:szCs w:val="15"/>
                <w:color w:val="auto"/>
              </w:rPr>
            </w:pPr>
          </w:p>
        </w:tc>
        <w:tc>
          <w:tcPr>
            <w:tcW w:w="980" w:type="dxa"/>
            <w:vAlign w:val="bottom"/>
            <w:gridSpan w:val="4"/>
            <w:vMerge w:val="restart"/>
          </w:tcPr>
          <w:p>
            <w:pPr>
              <w:spacing w:after="0"/>
              <w:rPr>
                <w:sz w:val="15"/>
                <w:szCs w:val="15"/>
                <w:color w:val="auto"/>
              </w:rPr>
            </w:pPr>
          </w:p>
        </w:tc>
        <w:tc>
          <w:tcPr>
            <w:tcW w:w="2040" w:type="dxa"/>
            <w:vAlign w:val="bottom"/>
            <w:gridSpan w:val="4"/>
            <w:vMerge w:val="restart"/>
          </w:tcPr>
          <w:p>
            <w:pPr>
              <w:spacing w:after="0"/>
              <w:rPr>
                <w:sz w:val="15"/>
                <w:szCs w:val="15"/>
                <w:color w:val="auto"/>
              </w:rPr>
            </w:pPr>
          </w:p>
        </w:tc>
        <w:tc>
          <w:tcPr>
            <w:tcW w:w="2100" w:type="dxa"/>
            <w:vAlign w:val="bottom"/>
            <w:gridSpan w:val="6"/>
            <w:vMerge w:val="restart"/>
          </w:tcPr>
          <w:p>
            <w:pPr>
              <w:spacing w:after="0"/>
              <w:rPr>
                <w:sz w:val="15"/>
                <w:szCs w:val="15"/>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1"/>
        </w:trPr>
        <w:tc>
          <w:tcPr>
            <w:tcW w:w="1640" w:type="dxa"/>
            <w:vAlign w:val="bottom"/>
            <w:gridSpan w:val="7"/>
            <w:vMerge w:val="restart"/>
          </w:tcPr>
          <w:p>
            <w:pPr>
              <w:spacing w:after="0"/>
              <w:rPr>
                <w:sz w:val="20"/>
                <w:szCs w:val="20"/>
                <w:color w:val="auto"/>
              </w:rPr>
            </w:pPr>
            <w:r>
              <w:rPr>
                <w:rFonts w:ascii="Arial" w:cs="Arial" w:eastAsia="Arial" w:hAnsi="Arial"/>
                <w:sz w:val="18"/>
                <w:szCs w:val="18"/>
                <w:color w:val="0000EE"/>
                <w:w w:val="91"/>
              </w:rPr>
              <w:t>Item 1A. Risk Factors.</w:t>
            </w: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2040" w:type="dxa"/>
            <w:vAlign w:val="bottom"/>
            <w:gridSpan w:val="4"/>
            <w:vMerge w:val="continue"/>
          </w:tcPr>
          <w:p>
            <w:pPr>
              <w:spacing w:after="0"/>
              <w:rPr>
                <w:sz w:val="5"/>
                <w:szCs w:val="5"/>
                <w:color w:val="auto"/>
              </w:rPr>
            </w:pPr>
          </w:p>
        </w:tc>
        <w:tc>
          <w:tcPr>
            <w:tcW w:w="2100" w:type="dxa"/>
            <w:vAlign w:val="bottom"/>
            <w:gridSpan w:val="6"/>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640" w:type="dxa"/>
            <w:vAlign w:val="bottom"/>
            <w:tcBorders>
              <w:bottom w:val="single" w:sz="8" w:color="0000EE"/>
            </w:tcBorders>
            <w:gridSpan w:val="7"/>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5"/>
          </w:tcPr>
          <w:p>
            <w:pPr>
              <w:spacing w:after="0"/>
              <w:rPr>
                <w:sz w:val="15"/>
                <w:szCs w:val="15"/>
                <w:color w:val="auto"/>
              </w:rPr>
            </w:pPr>
          </w:p>
        </w:tc>
        <w:tc>
          <w:tcPr>
            <w:tcW w:w="2040" w:type="dxa"/>
            <w:vAlign w:val="bottom"/>
            <w:gridSpan w:val="4"/>
          </w:tcPr>
          <w:p>
            <w:pPr>
              <w:spacing w:after="0"/>
              <w:rPr>
                <w:sz w:val="15"/>
                <w:szCs w:val="15"/>
                <w:color w:val="auto"/>
              </w:rPr>
            </w:pPr>
          </w:p>
        </w:tc>
        <w:tc>
          <w:tcPr>
            <w:tcW w:w="2100" w:type="dxa"/>
            <w:vAlign w:val="bottom"/>
            <w:gridSpan w:val="6"/>
          </w:tcPr>
          <w:p>
            <w:pPr>
              <w:spacing w:after="0"/>
              <w:rPr>
                <w:sz w:val="15"/>
                <w:szCs w:val="15"/>
                <w:color w:val="auto"/>
              </w:rPr>
            </w:pPr>
          </w:p>
        </w:tc>
        <w:tc>
          <w:tcPr>
            <w:tcW w:w="174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Item 2. Unregistered Sales of Equity Securities and Use of Proceeds.</w:t>
            </w:r>
          </w:p>
        </w:tc>
        <w:tc>
          <w:tcPr>
            <w:tcW w:w="2100" w:type="dxa"/>
            <w:vAlign w:val="bottom"/>
            <w:gridSpan w:val="6"/>
            <w:vMerge w:val="restart"/>
          </w:tcPr>
          <w:p>
            <w:pPr>
              <w:spacing w:after="0"/>
              <w:rPr>
                <w:sz w:val="19"/>
                <w:szCs w:val="19"/>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1"/>
        </w:trPr>
        <w:tc>
          <w:tcPr>
            <w:tcW w:w="2920" w:type="dxa"/>
            <w:vAlign w:val="bottom"/>
            <w:gridSpan w:val="13"/>
            <w:vMerge w:val="restart"/>
          </w:tcPr>
          <w:p>
            <w:pPr>
              <w:spacing w:after="0"/>
              <w:rPr>
                <w:sz w:val="20"/>
                <w:szCs w:val="20"/>
                <w:color w:val="auto"/>
              </w:rPr>
            </w:pPr>
            <w:r>
              <w:rPr>
                <w:rFonts w:ascii="Arial" w:cs="Arial" w:eastAsia="Arial" w:hAnsi="Arial"/>
                <w:sz w:val="18"/>
                <w:szCs w:val="18"/>
                <w:color w:val="0000EE"/>
                <w:w w:val="90"/>
              </w:rPr>
              <w:t>Item 3. Defaults Upon Senior Securities.</w:t>
            </w:r>
          </w:p>
        </w:tc>
        <w:tc>
          <w:tcPr>
            <w:tcW w:w="2040" w:type="dxa"/>
            <w:vAlign w:val="bottom"/>
            <w:gridSpan w:val="4"/>
          </w:tcPr>
          <w:p>
            <w:pPr>
              <w:spacing w:after="0"/>
              <w:rPr>
                <w:sz w:val="5"/>
                <w:szCs w:val="5"/>
                <w:color w:val="auto"/>
              </w:rPr>
            </w:pPr>
          </w:p>
        </w:tc>
        <w:tc>
          <w:tcPr>
            <w:tcW w:w="2100" w:type="dxa"/>
            <w:vAlign w:val="bottom"/>
            <w:gridSpan w:val="6"/>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920" w:type="dxa"/>
            <w:vAlign w:val="bottom"/>
            <w:tcBorders>
              <w:bottom w:val="single" w:sz="8" w:color="0000EE"/>
            </w:tcBorders>
            <w:gridSpan w:val="13"/>
            <w:vMerge w:val="continue"/>
          </w:tcPr>
          <w:p>
            <w:pPr>
              <w:spacing w:after="0"/>
              <w:rPr>
                <w:sz w:val="15"/>
                <w:szCs w:val="15"/>
                <w:color w:val="auto"/>
              </w:rPr>
            </w:pPr>
          </w:p>
        </w:tc>
        <w:tc>
          <w:tcPr>
            <w:tcW w:w="4140" w:type="dxa"/>
            <w:vAlign w:val="bottom"/>
            <w:gridSpan w:val="10"/>
            <w:vMerge w:val="restart"/>
          </w:tcPr>
          <w:p>
            <w:pPr>
              <w:spacing w:after="0"/>
              <w:rPr>
                <w:sz w:val="15"/>
                <w:szCs w:val="15"/>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7"/>
        </w:trPr>
        <w:tc>
          <w:tcPr>
            <w:tcW w:w="760" w:type="dxa"/>
            <w:vAlign w:val="bottom"/>
            <w:gridSpan w:val="4"/>
          </w:tcPr>
          <w:p>
            <w:pPr>
              <w:spacing w:after="0"/>
              <w:rPr>
                <w:sz w:val="4"/>
                <w:szCs w:val="4"/>
                <w:color w:val="auto"/>
              </w:rPr>
            </w:pPr>
          </w:p>
        </w:tc>
        <w:tc>
          <w:tcPr>
            <w:tcW w:w="44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1000" w:type="dxa"/>
            <w:vAlign w:val="bottom"/>
            <w:gridSpan w:val="5"/>
          </w:tcPr>
          <w:p>
            <w:pPr>
              <w:spacing w:after="0"/>
              <w:rPr>
                <w:sz w:val="4"/>
                <w:szCs w:val="4"/>
                <w:color w:val="auto"/>
              </w:rPr>
            </w:pPr>
          </w:p>
        </w:tc>
        <w:tc>
          <w:tcPr>
            <w:tcW w:w="4140" w:type="dxa"/>
            <w:vAlign w:val="bottom"/>
            <w:gridSpan w:val="10"/>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380" w:type="dxa"/>
            <w:vAlign w:val="bottom"/>
            <w:tcBorders>
              <w:bottom w:val="single" w:sz="8" w:color="0000EE"/>
            </w:tcBorders>
            <w:gridSpan w:val="11"/>
          </w:tcPr>
          <w:p>
            <w:pPr>
              <w:spacing w:after="0" w:line="170" w:lineRule="exact"/>
              <w:rPr>
                <w:sz w:val="20"/>
                <w:szCs w:val="20"/>
                <w:color w:val="auto"/>
              </w:rPr>
            </w:pPr>
            <w:r>
              <w:rPr>
                <w:rFonts w:ascii="Arial" w:cs="Arial" w:eastAsia="Arial" w:hAnsi="Arial"/>
                <w:sz w:val="18"/>
                <w:szCs w:val="18"/>
                <w:color w:val="0000EE"/>
                <w:w w:val="91"/>
              </w:rPr>
              <w:t>Item 4. Mine Safety Disclosures.</w:t>
            </w:r>
          </w:p>
        </w:tc>
        <w:tc>
          <w:tcPr>
            <w:tcW w:w="4680" w:type="dxa"/>
            <w:vAlign w:val="bottom"/>
            <w:gridSpan w:val="12"/>
          </w:tcPr>
          <w:p>
            <w:pPr>
              <w:spacing w:after="0"/>
              <w:rPr>
                <w:sz w:val="16"/>
                <w:szCs w:val="16"/>
                <w:color w:val="auto"/>
              </w:rPr>
            </w:pPr>
          </w:p>
        </w:tc>
        <w:tc>
          <w:tcPr>
            <w:tcW w:w="1740" w:type="dxa"/>
            <w:vAlign w:val="bottom"/>
            <w:gridSpan w:val="3"/>
          </w:tcPr>
          <w:p>
            <w:pPr>
              <w:jc w:val="right"/>
              <w:spacing w:after="0" w:line="18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Item 5. Other Information.</w:t>
            </w:r>
          </w:p>
        </w:tc>
        <w:tc>
          <w:tcPr>
            <w:tcW w:w="5140" w:type="dxa"/>
            <w:vAlign w:val="bottom"/>
            <w:gridSpan w:val="15"/>
            <w:vMerge w:val="restart"/>
          </w:tcPr>
          <w:p>
            <w:pPr>
              <w:spacing w:after="0"/>
              <w:rPr>
                <w:sz w:val="19"/>
                <w:szCs w:val="19"/>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61"/>
        </w:trPr>
        <w:tc>
          <w:tcPr>
            <w:tcW w:w="1200" w:type="dxa"/>
            <w:vAlign w:val="bottom"/>
            <w:gridSpan w:val="6"/>
            <w:vMerge w:val="restart"/>
          </w:tcPr>
          <w:p>
            <w:pPr>
              <w:spacing w:after="0"/>
              <w:rPr>
                <w:sz w:val="20"/>
                <w:szCs w:val="20"/>
                <w:color w:val="auto"/>
              </w:rPr>
            </w:pPr>
            <w:r>
              <w:rPr>
                <w:rFonts w:ascii="Arial" w:cs="Arial" w:eastAsia="Arial" w:hAnsi="Arial"/>
                <w:sz w:val="18"/>
                <w:szCs w:val="18"/>
                <w:color w:val="0000EE"/>
                <w:w w:val="92"/>
              </w:rPr>
              <w:t>Item 6. Exhibits.</w:t>
            </w:r>
          </w:p>
        </w:tc>
        <w:tc>
          <w:tcPr>
            <w:tcW w:w="720" w:type="dxa"/>
            <w:vAlign w:val="bottom"/>
            <w:gridSpan w:val="2"/>
          </w:tcPr>
          <w:p>
            <w:pPr>
              <w:spacing w:after="0"/>
              <w:rPr>
                <w:sz w:val="5"/>
                <w:szCs w:val="5"/>
                <w:color w:val="auto"/>
              </w:rPr>
            </w:pPr>
          </w:p>
        </w:tc>
        <w:tc>
          <w:tcPr>
            <w:tcW w:w="5140" w:type="dxa"/>
            <w:vAlign w:val="bottom"/>
            <w:gridSpan w:val="15"/>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200" w:type="dxa"/>
            <w:vAlign w:val="bottom"/>
            <w:tcBorders>
              <w:bottom w:val="single" w:sz="8" w:color="0000EE"/>
            </w:tcBorders>
            <w:gridSpan w:val="6"/>
            <w:vMerge w:val="continue"/>
          </w:tcPr>
          <w:p>
            <w:pPr>
              <w:spacing w:after="0"/>
              <w:rPr>
                <w:sz w:val="15"/>
                <w:szCs w:val="15"/>
                <w:color w:val="auto"/>
              </w:rPr>
            </w:pPr>
          </w:p>
        </w:tc>
        <w:tc>
          <w:tcPr>
            <w:tcW w:w="5860" w:type="dxa"/>
            <w:vAlign w:val="bottom"/>
            <w:gridSpan w:val="17"/>
            <w:vMerge w:val="restart"/>
          </w:tcPr>
          <w:p>
            <w:pPr>
              <w:spacing w:after="0"/>
              <w:rPr>
                <w:sz w:val="15"/>
                <w:szCs w:val="15"/>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61"/>
        </w:trPr>
        <w:tc>
          <w:tcPr>
            <w:tcW w:w="760" w:type="dxa"/>
            <w:vAlign w:val="bottom"/>
            <w:gridSpan w:val="4"/>
            <w:vMerge w:val="restart"/>
          </w:tcPr>
          <w:p>
            <w:pPr>
              <w:spacing w:after="0"/>
              <w:rPr>
                <w:sz w:val="20"/>
                <w:szCs w:val="20"/>
                <w:color w:val="auto"/>
              </w:rPr>
            </w:pPr>
            <w:r>
              <w:rPr>
                <w:rFonts w:ascii="Arial" w:cs="Arial" w:eastAsia="Arial" w:hAnsi="Arial"/>
                <w:sz w:val="18"/>
                <w:szCs w:val="18"/>
                <w:color w:val="0000EE"/>
                <w:w w:val="85"/>
              </w:rPr>
              <w:t>Signatures</w:t>
            </w:r>
          </w:p>
        </w:tc>
        <w:tc>
          <w:tcPr>
            <w:tcW w:w="440" w:type="dxa"/>
            <w:vAlign w:val="bottom"/>
            <w:gridSpan w:val="2"/>
          </w:tcPr>
          <w:p>
            <w:pPr>
              <w:spacing w:after="0"/>
              <w:rPr>
                <w:sz w:val="5"/>
                <w:szCs w:val="5"/>
                <w:color w:val="auto"/>
              </w:rPr>
            </w:pPr>
          </w:p>
        </w:tc>
        <w:tc>
          <w:tcPr>
            <w:tcW w:w="5860" w:type="dxa"/>
            <w:vAlign w:val="bottom"/>
            <w:gridSpan w:val="17"/>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60" w:type="dxa"/>
            <w:vAlign w:val="bottom"/>
            <w:tcBorders>
              <w:bottom w:val="single" w:sz="8" w:color="0000EE"/>
            </w:tcBorders>
            <w:gridSpan w:val="4"/>
            <w:vMerge w:val="continue"/>
          </w:tcPr>
          <w:p>
            <w:pPr>
              <w:spacing w:after="0"/>
              <w:rPr>
                <w:sz w:val="15"/>
                <w:szCs w:val="15"/>
                <w:color w:val="auto"/>
              </w:rPr>
            </w:pPr>
          </w:p>
        </w:tc>
        <w:tc>
          <w:tcPr>
            <w:tcW w:w="6300" w:type="dxa"/>
            <w:vAlign w:val="bottom"/>
            <w:gridSpan w:val="19"/>
          </w:tcPr>
          <w:p>
            <w:pPr>
              <w:spacing w:after="0"/>
              <w:rPr>
                <w:sz w:val="15"/>
                <w:szCs w:val="15"/>
                <w:color w:val="auto"/>
              </w:rPr>
            </w:pPr>
          </w:p>
        </w:tc>
        <w:tc>
          <w:tcPr>
            <w:tcW w:w="174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left="1560" w:right="1620"/>
        <w:spacing w:after="0" w:line="389" w:lineRule="auto"/>
        <w:rPr>
          <w:sz w:val="20"/>
          <w:szCs w:val="20"/>
          <w:color w:val="auto"/>
        </w:rPr>
      </w:pPr>
      <w:r>
        <w:rPr>
          <w:rFonts w:ascii="Arial" w:cs="Arial" w:eastAsia="Arial" w:hAnsi="Arial"/>
          <w:sz w:val="18"/>
          <w:szCs w:val="18"/>
          <w:b w:val="1"/>
          <w:bCs w:val="1"/>
          <w:color w:val="auto"/>
        </w:rPr>
        <w:t>EL POLLO LOCO HOLDINGS, INC. CONDENSED CONSOLIDATED BALANCE SHEETS (UNAUDITED) (Amounts in thousands, except share data)</w:t>
      </w:r>
    </w:p>
    <w:tbl>
      <w:tblPr>
        <w:tblLayout w:type="fixed"/>
        <w:tblInd w:w="40" w:type="dxa"/>
        <w:tblCellMar>
          <w:top w:w="0" w:type="dxa"/>
          <w:left w:w="0" w:type="dxa"/>
          <w:bottom w:w="0" w:type="dxa"/>
          <w:right w:w="0" w:type="dxa"/>
        </w:tblCellMar>
      </w:tblPr>
      <w:tr>
        <w:trPr>
          <w:trHeight w:val="150"/>
        </w:trPr>
        <w:tc>
          <w:tcPr>
            <w:tcW w:w="6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19"/>
              <w:spacing w:after="0" w:line="150" w:lineRule="exact"/>
              <w:rPr>
                <w:sz w:val="20"/>
                <w:szCs w:val="20"/>
                <w:color w:val="auto"/>
              </w:rPr>
            </w:pPr>
            <w:r>
              <w:rPr>
                <w:rFonts w:ascii="Arial" w:cs="Arial" w:eastAsia="Arial" w:hAnsi="Arial"/>
                <w:sz w:val="14"/>
                <w:szCs w:val="14"/>
                <w:b w:val="1"/>
                <w:bCs w:val="1"/>
                <w:color w:val="auto"/>
              </w:rPr>
              <w:t>June 28,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79"/>
              <w:spacing w:after="0" w:line="150" w:lineRule="exact"/>
              <w:rPr>
                <w:sz w:val="20"/>
                <w:szCs w:val="20"/>
                <w:color w:val="auto"/>
              </w:rPr>
            </w:pPr>
            <w:r>
              <w:rPr>
                <w:rFonts w:ascii="Arial" w:cs="Arial" w:eastAsia="Arial" w:hAnsi="Arial"/>
                <w:sz w:val="14"/>
                <w:szCs w:val="14"/>
                <w:b w:val="1"/>
                <w:bCs w:val="1"/>
                <w:color w:val="auto"/>
                <w:w w:val="92"/>
              </w:rPr>
              <w:t>December 28,</w:t>
            </w:r>
          </w:p>
        </w:tc>
      </w:tr>
      <w:tr>
        <w:trPr>
          <w:trHeight w:val="171"/>
        </w:trPr>
        <w:tc>
          <w:tcPr>
            <w:tcW w:w="6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20,493</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Accounts and other receivables, net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11,439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10,084</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3,662</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receivable</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r>
      <w:tr>
        <w:trPr>
          <w:trHeight w:val="196"/>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27,136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37,449</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85,079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78,644</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Property and equipment held under finance lease, net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1,532</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held under operating leases, net ("ROU asset")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169,565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165,584</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248,674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248,674</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61,888</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w:t>
            </w:r>
          </w:p>
        </w:tc>
      </w:tr>
      <w:tr>
        <w:trPr>
          <w:trHeight w:val="23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597,164</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597,218</w:t>
            </w:r>
          </w:p>
        </w:tc>
      </w:tr>
      <w:tr>
        <w:trPr>
          <w:trHeight w:val="183"/>
        </w:trPr>
        <w:tc>
          <w:tcPr>
            <w:tcW w:w="63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obligations under finance leases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Current portion of obligations under operating leases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19,464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19,995</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12,741</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Accrued salaries and vacation</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10,698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8,873</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insurance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11,120</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Accrued income taxes payable</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3,459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Current portion of income tax receivable agreement payable</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expenses and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11,318</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15,120</w:t>
            </w:r>
          </w:p>
        </w:tc>
      </w:tr>
      <w:tr>
        <w:trPr>
          <w:trHeight w:val="196"/>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73,743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68,513</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Revolver loan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66,000</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Obligations under finance leases, net of current portion</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1,626</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under operating leases, net of current portion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169,742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165,149</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8,829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8,517</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receivable agreement payable, net of current portion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02"/>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5,920</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5,856</w:t>
            </w: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320,204</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316,070</w:t>
            </w: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7)</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w w:val="96"/>
              </w:rPr>
              <w:t>Preferred stock, $0.01 par value, 100,000,000 shares authorized; none issued or outstanding</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Common stock, $0.01 par value, 200,000,000 shares authorized; 35,643,747 and 37,008,061</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and outstanding as June 28, 2023 and December 28, 2022, respectively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276,222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292,244</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 (Accumulated deficit)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(11,592)</w:t>
            </w:r>
          </w:p>
        </w:tc>
      </w:tr>
      <w:tr>
        <w:trPr>
          <w:trHeight w:val="20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276,960</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281,148</w:t>
            </w:r>
          </w:p>
        </w:tc>
      </w:tr>
      <w:tr>
        <w:trPr>
          <w:trHeight w:val="196"/>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597,164</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597,218</w:t>
            </w: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ind w:left="2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June 28, 2023</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29, 2022</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June 28, 2023</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0"/>
              </w:rPr>
              <w:t>June 29, 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Company-operated restaurant revenue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103,901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106,454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201,774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200,411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Franchise advertising fee revenue</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121,492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124,111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236,018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Cost of operations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paper cost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Labor and related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65,687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and other operating expenses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w w:val="93"/>
              </w:rPr>
              <w:t>Gain on recovery of insurance proceeds, lost profits,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Company restaurant expenses</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90,538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169,505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174,787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expenses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disposal of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line="201" w:lineRule="exact"/>
              <w:rPr>
                <w:sz w:val="20"/>
                <w:szCs w:val="20"/>
                <w:color w:val="auto"/>
              </w:rPr>
            </w:pPr>
            <w:r>
              <w:rPr>
                <w:rFonts w:ascii="Arial" w:cs="Arial" w:eastAsia="Arial" w:hAnsi="Arial"/>
                <w:sz w:val="18"/>
                <w:szCs w:val="18"/>
                <w:color w:val="auto"/>
              </w:rPr>
              <w:t>Gain on recovery of insurance proceeds, property,</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equipment and expenses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disposition of restaurants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and closed-store reserves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110,604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217,379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Income tax receivable agreement expense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Weighted-average shares used in computing net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per share</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35,433,414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36,331,099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35,833,759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36,278,423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35,534,104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36,473,960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36,018,288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36,478,808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w w:val="98"/>
              </w:rPr>
              <w:t>Thirteen Weeks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Twenty-Six Weeks Ended</w:t>
            </w:r>
          </w:p>
        </w:tc>
      </w:tr>
      <w:tr>
        <w:trPr>
          <w:trHeight w:val="142"/>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28, 2023</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June 29, 2022</w:t>
            </w:r>
          </w:p>
        </w:tc>
        <w:tc>
          <w:tcPr>
            <w:tcW w:w="140" w:type="dxa"/>
            <w:vAlign w:val="bottom"/>
          </w:tcPr>
          <w:p>
            <w:pPr>
              <w:spacing w:after="0"/>
              <w:rPr>
                <w:sz w:val="12"/>
                <w:szCs w:val="12"/>
                <w:color w:val="auto"/>
              </w:rPr>
            </w:pPr>
          </w:p>
        </w:tc>
        <w:tc>
          <w:tcPr>
            <w:tcW w:w="104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June 28, 2023</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29, 2022</w:t>
            </w:r>
          </w:p>
        </w:tc>
        <w:tc>
          <w:tcPr>
            <w:tcW w:w="180" w:type="dxa"/>
            <w:vAlign w:val="bottom"/>
          </w:tcPr>
          <w:p>
            <w:pPr>
              <w:spacing w:after="0"/>
              <w:rPr>
                <w:sz w:val="12"/>
                <w:szCs w:val="12"/>
                <w:color w:val="auto"/>
              </w:rPr>
            </w:pP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derivative instruments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2"/>
        </w:trPr>
        <w:tc>
          <w:tcPr>
            <w:tcW w:w="4660" w:type="dxa"/>
            <w:vAlign w:val="bottom"/>
          </w:tcPr>
          <w:p>
            <w:pPr>
              <w:ind w:left="220"/>
              <w:spacing w:after="0" w:line="201" w:lineRule="exact"/>
              <w:rPr>
                <w:sz w:val="20"/>
                <w:szCs w:val="20"/>
                <w:color w:val="auto"/>
              </w:rPr>
            </w:pPr>
            <w:r>
              <w:rPr>
                <w:rFonts w:ascii="Arial" w:cs="Arial" w:eastAsia="Arial" w:hAnsi="Arial"/>
                <w:sz w:val="18"/>
                <w:szCs w:val="18"/>
                <w:color w:val="auto"/>
              </w:rPr>
              <w:t>Unrealized net gains arising during the period from</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interest rate swap</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20"/>
                <w:szCs w:val="20"/>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 of (gains) losses into net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Income tax benefit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(297)</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tcBorders>
              <w:top w:val="single" w:sz="8" w:color="CCEEFF"/>
            </w:tcBorders>
            <w:shd w:val="clear" w:color="auto" w:fill="CCEEFF"/>
          </w:tcPr>
          <w:p>
            <w:pPr>
              <w:spacing w:after="0"/>
              <w:rPr>
                <w:sz w:val="18"/>
                <w:szCs w:val="18"/>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10,062</w:t>
            </w:r>
          </w:p>
        </w:tc>
        <w:tc>
          <w:tcPr>
            <w:tcW w:w="18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Thirteen Weeks Ended June 28, 2023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0"/>
                <w:szCs w:val="10"/>
                <w:color w:val="auto"/>
              </w:rPr>
            </w:pPr>
          </w:p>
        </w:tc>
        <w:tc>
          <w:tcPr>
            <w:tcW w:w="9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4"/>
                <w:szCs w:val="1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9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68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3"/>
              <w:spacing w:after="0" w:line="142"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10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2"/>
              </w:rPr>
              <w:t>(Loss) Income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73"/>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29,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36,450,477</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$ 286,791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280,544</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 related to</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363,210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Issuance of common stock upon</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exercise of stock options, net</w:t>
            </w:r>
          </w:p>
        </w:tc>
        <w:tc>
          <w:tcPr>
            <w:tcW w:w="940" w:type="dxa"/>
            <w:vAlign w:val="bottom"/>
          </w:tcPr>
          <w:p>
            <w:pPr>
              <w:jc w:val="right"/>
              <w:spacing w:after="0"/>
              <w:rPr>
                <w:sz w:val="20"/>
                <w:szCs w:val="20"/>
                <w:color w:val="auto"/>
              </w:rPr>
            </w:pPr>
            <w:r>
              <w:rPr>
                <w:rFonts w:ascii="Arial" w:cs="Arial" w:eastAsia="Arial" w:hAnsi="Arial"/>
                <w:sz w:val="18"/>
                <w:szCs w:val="18"/>
                <w:color w:val="auto"/>
              </w:rPr>
              <w:t>179,950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Shares repurchased for employee tax</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(1,272,287)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(11,941)</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Repurchase of common stock - excise</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w w:val="99"/>
              </w:rPr>
              <w:t>Forfeiture of common stock related to</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restricted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(59,113)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28, 2023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35,643,747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$ 276,222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276,960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Thirteen Weeks Ended June 29, 2022</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0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3"/>
                <w:szCs w:val="13"/>
                <w:color w:val="auto"/>
              </w:rPr>
            </w:pPr>
          </w:p>
        </w:tc>
        <w:tc>
          <w:tcPr>
            <w:tcW w:w="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3"/>
                <w:szCs w:val="13"/>
                <w:color w:val="auto"/>
              </w:rPr>
            </w:pPr>
          </w:p>
        </w:tc>
        <w:tc>
          <w:tcPr>
            <w:tcW w:w="110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3"/>
                <w:szCs w:val="13"/>
                <w:color w:val="auto"/>
              </w:rPr>
            </w:pPr>
          </w:p>
        </w:tc>
        <w:tc>
          <w:tcPr>
            <w:tcW w:w="8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9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30, 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36,743,496</w:t>
            </w:r>
          </w:p>
        </w:tc>
        <w:tc>
          <w:tcPr>
            <w:tcW w:w="44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$ 345,296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315,606</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 related to</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298,638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Issuance of common stock upon</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8,627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Shares repurchased for employee tax</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w w:val="99"/>
              </w:rPr>
              <w:t>Forfeiture of common stock related to</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20"/>
              <w:spacing w:after="0"/>
              <w:rPr>
                <w:sz w:val="20"/>
                <w:szCs w:val="20"/>
                <w:color w:val="auto"/>
              </w:rPr>
            </w:pPr>
            <w:r>
              <w:rPr>
                <w:rFonts w:ascii="Arial" w:cs="Arial" w:eastAsia="Arial" w:hAnsi="Arial"/>
                <w:sz w:val="18"/>
                <w:szCs w:val="18"/>
                <w:color w:val="auto"/>
              </w:rPr>
              <w:t>restricted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(27,931)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29,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37,002,513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$ 346,095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323,843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6</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0"/>
          </w:tcPr>
          <w:p>
            <w:pPr>
              <w:jc w:val="right"/>
              <w:ind w:right="840"/>
              <w:spacing w:after="0"/>
              <w:rPr>
                <w:sz w:val="20"/>
                <w:szCs w:val="20"/>
                <w:color w:val="auto"/>
              </w:rPr>
            </w:pPr>
            <w:r>
              <w:rPr>
                <w:rFonts w:ascii="Arial" w:cs="Arial" w:eastAsia="Arial" w:hAnsi="Arial"/>
                <w:sz w:val="14"/>
                <w:szCs w:val="14"/>
                <w:b w:val="1"/>
                <w:bCs w:val="1"/>
                <w:color w:val="auto"/>
              </w:rPr>
              <w:t>Twenty-Six Weeks Ended June 28, 2023</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0"/>
                <w:szCs w:val="10"/>
                <w:color w:val="auto"/>
              </w:rPr>
            </w:pPr>
          </w:p>
        </w:tc>
        <w:tc>
          <w:tcPr>
            <w:tcW w:w="9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7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9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0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(Loss) Income</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28, 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37,008,061</w:t>
            </w:r>
          </w:p>
        </w:tc>
        <w:tc>
          <w:tcPr>
            <w:tcW w:w="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$ 292,244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281,148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363,210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exercise of stock options, net</w:t>
            </w:r>
          </w:p>
        </w:tc>
        <w:tc>
          <w:tcPr>
            <w:tcW w:w="940" w:type="dxa"/>
            <w:vAlign w:val="bottom"/>
          </w:tcPr>
          <w:p>
            <w:pPr>
              <w:jc w:val="right"/>
              <w:spacing w:after="0"/>
              <w:rPr>
                <w:sz w:val="20"/>
                <w:szCs w:val="20"/>
                <w:color w:val="auto"/>
              </w:rPr>
            </w:pPr>
            <w:r>
              <w:rPr>
                <w:rFonts w:ascii="Arial" w:cs="Arial" w:eastAsia="Arial" w:hAnsi="Arial"/>
                <w:sz w:val="18"/>
                <w:szCs w:val="18"/>
                <w:color w:val="auto"/>
              </w:rPr>
              <w:t>184,294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repurchased for employee tax</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(1,824,636)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(18,133)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(18,152)</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Repurchase of common stock - excise</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w w:val="99"/>
              </w:rPr>
              <w:t>Forfeiture of common stock related to</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restricted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(68,692)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11,974</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28,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35,643,747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$ 276,222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276,960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0"/>
          </w:tcPr>
          <w:p>
            <w:pPr>
              <w:jc w:val="right"/>
              <w:ind w:right="840"/>
              <w:spacing w:after="0"/>
              <w:rPr>
                <w:sz w:val="20"/>
                <w:szCs w:val="20"/>
                <w:color w:val="auto"/>
              </w:rPr>
            </w:pPr>
            <w:r>
              <w:rPr>
                <w:rFonts w:ascii="Arial" w:cs="Arial" w:eastAsia="Arial" w:hAnsi="Arial"/>
                <w:sz w:val="14"/>
                <w:szCs w:val="14"/>
                <w:b w:val="1"/>
                <w:bCs w:val="1"/>
                <w:color w:val="auto"/>
              </w:rPr>
              <w:t>Twenty-Six Weeks Ended June 29, 2022</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7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00" w:type="dxa"/>
            <w:vAlign w:val="bottom"/>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3"/>
                <w:szCs w:val="13"/>
                <w:color w:val="auto"/>
              </w:rPr>
            </w:pPr>
          </w:p>
        </w:tc>
        <w:tc>
          <w:tcPr>
            <w:tcW w:w="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3"/>
                <w:szCs w:val="13"/>
                <w:color w:val="auto"/>
              </w:rPr>
            </w:pPr>
          </w:p>
        </w:tc>
        <w:tc>
          <w:tcPr>
            <w:tcW w:w="116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9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2"/>
                <w:szCs w:val="12"/>
                <w:color w:val="auto"/>
              </w:rPr>
            </w:pPr>
          </w:p>
        </w:tc>
        <w:tc>
          <w:tcPr>
            <w:tcW w:w="10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(Loss) Income</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29,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36,601,648</w:t>
            </w:r>
          </w:p>
        </w:tc>
        <w:tc>
          <w:tcPr>
            <w:tcW w:w="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$ 342,941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310,623</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298,638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exercise of stock options, net</w:t>
            </w:r>
          </w:p>
        </w:tc>
        <w:tc>
          <w:tcPr>
            <w:tcW w:w="940" w:type="dxa"/>
            <w:vAlign w:val="bottom"/>
          </w:tcPr>
          <w:p>
            <w:pPr>
              <w:jc w:val="right"/>
              <w:spacing w:after="0"/>
              <w:rPr>
                <w:sz w:val="20"/>
                <w:szCs w:val="20"/>
                <w:color w:val="auto"/>
              </w:rPr>
            </w:pPr>
            <w:r>
              <w:rPr>
                <w:rFonts w:ascii="Arial" w:cs="Arial" w:eastAsia="Arial" w:hAnsi="Arial"/>
                <w:sz w:val="18"/>
                <w:szCs w:val="18"/>
                <w:color w:val="auto"/>
              </w:rPr>
              <w:t>150,475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repurchased for employee tax</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(20,317)</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w w:val="99"/>
              </w:rPr>
              <w:t>Forfeiture of common stock related to</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r>
              <w:rPr>
                <w:rFonts w:ascii="Arial" w:cs="Arial" w:eastAsia="Arial" w:hAnsi="Arial"/>
                <w:sz w:val="18"/>
                <w:szCs w:val="18"/>
                <w:color w:val="auto"/>
              </w:rPr>
              <w:t>restricted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(27,931)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29,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37,002,513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$ 346,095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323,843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2"/>
              </w:rPr>
              <w:t>June 28, 2023</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4"/>
              </w:rPr>
              <w:t>June 29, 2022</w:t>
            </w:r>
          </w:p>
        </w:tc>
        <w:tc>
          <w:tcPr>
            <w:tcW w:w="20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11,974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9,256</w:t>
            </w:r>
          </w:p>
        </w:tc>
        <w:tc>
          <w:tcPr>
            <w:tcW w:w="20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flows provided by operating activities: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7,215</w:t>
            </w:r>
          </w:p>
        </w:tc>
        <w:tc>
          <w:tcPr>
            <w:tcW w:w="20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200" w:type="dxa"/>
            <w:vAlign w:val="bottom"/>
            <w:shd w:val="clear" w:color="auto" w:fill="CCEEFF"/>
          </w:tcPr>
          <w:p>
            <w:pPr>
              <w:spacing w:after="0"/>
              <w:rPr>
                <w:sz w:val="17"/>
                <w:szCs w:val="17"/>
                <w:color w:val="auto"/>
              </w:rPr>
            </w:pPr>
          </w:p>
        </w:tc>
      </w:tr>
      <w:tr>
        <w:trPr>
          <w:trHeight w:val="202"/>
        </w:trPr>
        <w:tc>
          <w:tcPr>
            <w:tcW w:w="6340" w:type="dxa"/>
            <w:vAlign w:val="bottom"/>
          </w:tcPr>
          <w:p>
            <w:pPr>
              <w:ind w:left="20"/>
              <w:spacing w:after="0"/>
              <w:rPr>
                <w:sz w:val="20"/>
                <w:szCs w:val="20"/>
                <w:color w:val="auto"/>
              </w:rPr>
            </w:pPr>
            <w:r>
              <w:rPr>
                <w:rFonts w:ascii="Arial" w:cs="Arial" w:eastAsia="Arial" w:hAnsi="Arial"/>
                <w:sz w:val="16"/>
                <w:szCs w:val="16"/>
                <w:color w:val="auto"/>
              </w:rPr>
              <w:t>Income tax receivable agreement income</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(316)</w:t>
            </w: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Fire insurance proceeds for expenses paid and lost profit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(Gain) loss on disposal of assets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recovery of insurance proceeds, property, equipment and expenses, net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Impairment of property and equipment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253</w:t>
            </w:r>
          </w:p>
        </w:tc>
        <w:tc>
          <w:tcPr>
            <w:tcW w:w="20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disposition of restaurants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200" w:type="dxa"/>
            <w:vAlign w:val="bottom"/>
            <w:shd w:val="clear" w:color="auto" w:fill="CCEEFF"/>
          </w:tcPr>
          <w:p>
            <w:pPr>
              <w:spacing w:after="0"/>
              <w:rPr>
                <w:sz w:val="17"/>
                <w:szCs w:val="17"/>
                <w:color w:val="auto"/>
              </w:rPr>
            </w:pP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and other receivables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(592)</w:t>
            </w: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7"/>
                <w:szCs w:val="17"/>
                <w:color w:val="auto"/>
              </w:rPr>
            </w:pP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0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Income taxes payable (receivable)</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(2,316)</w:t>
            </w: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(812)</w:t>
            </w: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(454)</w:t>
            </w: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salaries and vacation</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(1,891)</w:t>
            </w: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Accrued insurance</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281</w:t>
            </w:r>
          </w:p>
        </w:tc>
        <w:tc>
          <w:tcPr>
            <w:tcW w:w="200" w:type="dxa"/>
            <w:vAlign w:val="bottom"/>
          </w:tcPr>
          <w:p>
            <w:pPr>
              <w:spacing w:after="0"/>
              <w:rPr>
                <w:sz w:val="17"/>
                <w:szCs w:val="17"/>
                <w:color w:val="auto"/>
              </w:rPr>
            </w:pP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accrued expenses and liabilities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(2,344)</w:t>
            </w:r>
          </w:p>
        </w:tc>
      </w:tr>
      <w:tr>
        <w:trPr>
          <w:trHeight w:val="196"/>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flows provided by operating activities</w:t>
            </w: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21,796</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11,820</w:t>
            </w:r>
          </w:p>
        </w:tc>
        <w:tc>
          <w:tcPr>
            <w:tcW w:w="200" w:type="dxa"/>
            <w:vAlign w:val="bottom"/>
            <w:tcBorders>
              <w:bottom w:val="single" w:sz="8" w:color="CCEEFF"/>
            </w:tcBorders>
          </w:tcPr>
          <w:p>
            <w:pPr>
              <w:spacing w:after="0"/>
              <w:rPr>
                <w:sz w:val="17"/>
                <w:szCs w:val="17"/>
                <w:color w:val="auto"/>
              </w:rPr>
            </w:pPr>
          </w:p>
        </w:tc>
      </w:tr>
      <w:tr>
        <w:trPr>
          <w:trHeight w:val="19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Proceeds from disposition of restaurants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fire insurance for property and equipment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r>
      <w:tr>
        <w:trPr>
          <w:trHeight w:val="202"/>
        </w:trPr>
        <w:tc>
          <w:tcPr>
            <w:tcW w:w="634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(8,831)</w:t>
            </w:r>
          </w:p>
        </w:tc>
      </w:tr>
      <w:tr>
        <w:trPr>
          <w:trHeight w:val="196"/>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used in investing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(8,831)</w:t>
            </w:r>
          </w:p>
        </w:tc>
        <w:tc>
          <w:tcPr>
            <w:tcW w:w="200" w:type="dxa"/>
            <w:vAlign w:val="bottom"/>
            <w:tcBorders>
              <w:top w:val="single" w:sz="8" w:color="CCEEFF"/>
            </w:tcBorders>
            <w:shd w:val="clear" w:color="auto" w:fill="CCEEFF"/>
          </w:tcPr>
          <w:p>
            <w:pPr>
              <w:spacing w:after="0"/>
              <w:rPr>
                <w:sz w:val="17"/>
                <w:szCs w:val="17"/>
                <w:color w:val="auto"/>
              </w:rPr>
            </w:pPr>
          </w:p>
        </w:tc>
      </w:tr>
      <w:tr>
        <w:trPr>
          <w:trHeight w:val="193"/>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borrowings on revolver and swingline loans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Payments on revolver and swingline loan</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Minimum tax withholdings related to net share settlements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(218)</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Proceeds from issuance of common stock upon exercise of stock options, net of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200" w:type="dxa"/>
            <w:vAlign w:val="bottom"/>
            <w:shd w:val="clear" w:color="auto" w:fill="CCEEFF"/>
          </w:tcPr>
          <w:p>
            <w:pPr>
              <w:spacing w:after="0"/>
              <w:rPr>
                <w:sz w:val="17"/>
                <w:szCs w:val="17"/>
                <w:color w:val="auto"/>
              </w:rPr>
            </w:pP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Payment of obligations under finance leases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(86)</w:t>
            </w:r>
          </w:p>
        </w:tc>
      </w:tr>
      <w:tr>
        <w:trPr>
          <w:trHeight w:val="196"/>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(used in) provided by financing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200" w:type="dxa"/>
            <w:vAlign w:val="bottom"/>
            <w:tcBorders>
              <w:top w:val="single" w:sz="8" w:color="CCEEFF"/>
            </w:tcBorders>
            <w:shd w:val="clear" w:color="auto" w:fill="CCEEFF"/>
          </w:tcPr>
          <w:p>
            <w:pPr>
              <w:spacing w:after="0"/>
              <w:rPr>
                <w:sz w:val="17"/>
                <w:szCs w:val="17"/>
                <w:color w:val="auto"/>
              </w:rPr>
            </w:pPr>
          </w:p>
        </w:tc>
      </w:tr>
      <w:tr>
        <w:trPr>
          <w:trHeight w:val="196"/>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(Decrease) increase in cash and cash equivalents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4,265</w:t>
            </w:r>
          </w:p>
        </w:tc>
        <w:tc>
          <w:tcPr>
            <w:tcW w:w="20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30,046</w:t>
            </w:r>
          </w:p>
        </w:tc>
        <w:tc>
          <w:tcPr>
            <w:tcW w:w="200" w:type="dxa"/>
            <w:vAlign w:val="bottom"/>
            <w:shd w:val="clear" w:color="auto" w:fill="CCEEFF"/>
          </w:tcPr>
          <w:p>
            <w:pPr>
              <w:spacing w:after="0"/>
              <w:rPr>
                <w:sz w:val="17"/>
                <w:szCs w:val="17"/>
                <w:color w:val="auto"/>
              </w:rPr>
            </w:pPr>
          </w:p>
        </w:tc>
      </w:tr>
      <w:tr>
        <w:trPr>
          <w:trHeight w:val="196"/>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34,311</w:t>
            </w:r>
          </w:p>
        </w:tc>
        <w:tc>
          <w:tcPr>
            <w:tcW w:w="20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5"/>
          </w:tcPr>
          <w:p>
            <w:pPr>
              <w:ind w:left="42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60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96"/>
              </w:rPr>
              <w:t>June 28, 2023</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w w:val="96"/>
              </w:rPr>
              <w:t>June 29, 2022</w:t>
            </w:r>
          </w:p>
        </w:tc>
        <w:tc>
          <w:tcPr>
            <w:tcW w:w="200" w:type="dxa"/>
            <w:vAlign w:val="bottom"/>
          </w:tcPr>
          <w:p>
            <w:pPr>
              <w:spacing w:after="0"/>
              <w:rPr>
                <w:sz w:val="12"/>
                <w:szCs w:val="12"/>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2"/>
        </w:trPr>
        <w:tc>
          <w:tcPr>
            <w:tcW w:w="6040" w:type="dxa"/>
            <w:vAlign w:val="bottom"/>
          </w:tcPr>
          <w:p>
            <w:pPr>
              <w:ind w:left="20"/>
              <w:spacing w:after="0"/>
              <w:rPr>
                <w:sz w:val="20"/>
                <w:szCs w:val="20"/>
                <w:color w:val="auto"/>
              </w:rPr>
            </w:pPr>
            <w:r>
              <w:rPr>
                <w:rFonts w:ascii="Arial" w:cs="Arial" w:eastAsia="Arial" w:hAnsi="Arial"/>
                <w:sz w:val="16"/>
                <w:szCs w:val="16"/>
                <w:color w:val="auto"/>
              </w:rPr>
              <w:t>Cash paid during the period for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2,077</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531</w:t>
            </w:r>
          </w:p>
        </w:tc>
        <w:tc>
          <w:tcPr>
            <w:tcW w:w="200" w:type="dxa"/>
            <w:vAlign w:val="bottom"/>
          </w:tcPr>
          <w:p>
            <w:pPr>
              <w:spacing w:after="0"/>
              <w:rPr>
                <w:sz w:val="17"/>
                <w:szCs w:val="17"/>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2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5,097</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183"/>
        </w:trPr>
        <w:tc>
          <w:tcPr>
            <w:tcW w:w="6040" w:type="dxa"/>
            <w:vAlign w:val="bottom"/>
          </w:tcPr>
          <w:p>
            <w:pPr>
              <w:ind w:left="20"/>
              <w:spacing w:after="0"/>
              <w:rPr>
                <w:sz w:val="20"/>
                <w:szCs w:val="20"/>
                <w:color w:val="auto"/>
              </w:rPr>
            </w:pPr>
            <w:r>
              <w:rPr>
                <w:rFonts w:ascii="Arial" w:cs="Arial" w:eastAsia="Arial" w:hAnsi="Arial"/>
                <w:sz w:val="16"/>
                <w:szCs w:val="16"/>
                <w:color w:val="auto"/>
              </w:rPr>
              <w:t>Unpaid purchases of property and equipment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5,894</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w:t>
            </w:r>
          </w:p>
        </w:tc>
        <w:tc>
          <w:tcPr>
            <w:tcW w:w="200" w:type="dxa"/>
            <w:vAlign w:val="bottom"/>
          </w:tcPr>
          <w:p>
            <w:pPr>
              <w:spacing w:after="0"/>
              <w:rPr>
                <w:sz w:val="15"/>
                <w:szCs w:val="15"/>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2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Unpaid repurchases of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ind w:left="60" w:right="1399" w:hanging="10"/>
        <w:spacing w:after="0" w:line="503" w:lineRule="auto"/>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left="60" w:right="259"/>
        <w:spacing w:after="0" w:line="296" w:lineRule="auto"/>
        <w:rPr>
          <w:sz w:val="20"/>
          <w:szCs w:val="20"/>
          <w:color w:val="auto"/>
        </w:rPr>
      </w:pPr>
      <w:r>
        <w:rPr>
          <w:rFonts w:ascii="Arial" w:cs="Arial" w:eastAsia="Arial" w:hAnsi="Arial"/>
          <w:sz w:val="16"/>
          <w:szCs w:val="16"/>
          <w:color w:val="auto"/>
        </w:rPr>
        <w:t>El Pollo Loco Holdings, Inc. (“Holdings”) is a Delaware corporation headquartered in Costa Mesa, California. Holdings and its direct and indirect subsidiaries are collectively referred to herein as the “Company.” The Company’s activities are conducted principally through its indirect wholly-owned subsidiary, El Pollo Loco, Inc. (“EPL”), which develops, franchises, licenses, and operates quick-service restaurants under the name El Pollo Loco® and operates under one operating segment. At June 28, 2023, the Company operated 188 and franchised 304 El Pollo Loco restaurants.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28,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uses a 52- or 53-week fiscal year ending on the last Wednesday of the calendar year. In a 52-week</w:t>
      </w:r>
    </w:p>
    <w:p>
      <w:pPr>
        <w:spacing w:after="0" w:line="35" w:lineRule="exact"/>
        <w:rPr>
          <w:sz w:val="20"/>
          <w:szCs w:val="20"/>
          <w:color w:val="auto"/>
        </w:rPr>
      </w:pPr>
    </w:p>
    <w:p>
      <w:pPr>
        <w:ind w:left="60" w:right="179"/>
        <w:spacing w:after="0" w:line="295" w:lineRule="auto"/>
        <w:rPr>
          <w:sz w:val="20"/>
          <w:szCs w:val="20"/>
          <w:color w:val="auto"/>
        </w:rPr>
      </w:pPr>
      <w:r>
        <w:rPr>
          <w:rFonts w:ascii="Arial" w:cs="Arial" w:eastAsia="Arial" w:hAnsi="Arial"/>
          <w:sz w:val="16"/>
          <w:szCs w:val="16"/>
          <w:color w:val="auto"/>
        </w:rPr>
        <w:t>fiscal year, each quarter includes 13 weeks of operations; in a 53-week fiscal year, the first, second and third quarters each include 13 weeks of operations, and the fourth quarter includes 14 weeks of operations. Every six or seven years, a 53-week fiscal year occurs. Fiscal 2023 and 2022 are both 52-week years, ending on December 27, 2023 and December 28, 2022, respectively. Revenues, expenses, and other financial and operational figures may be elevated in a 53-week year.</w:t>
      </w:r>
    </w:p>
    <w:p>
      <w:pPr>
        <w:spacing w:after="0" w:line="161"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Holdings has no material assets or operations. Holdings and Holdings’ direct subsidiary, EPL Intermediate, Inc. (“Intermediate”), guarantee EPL’s 2022 Revolver (as defined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2022 Revolver.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left="60" w:right="359"/>
        <w:spacing w:after="0" w:line="308" w:lineRule="auto"/>
        <w:rPr>
          <w:sz w:val="20"/>
          <w:szCs w:val="20"/>
          <w:color w:val="auto"/>
        </w:rPr>
      </w:pPr>
      <w:r>
        <w:rPr>
          <w:rFonts w:ascii="Arial" w:cs="Arial" w:eastAsia="Arial" w:hAnsi="Arial"/>
          <w:sz w:val="17"/>
          <w:szCs w:val="17"/>
          <w:color w:val="auto"/>
        </w:rPr>
        <w:t>The accompanying condensed consolidated financial statements include the accounts of Holdings and its wholly owned subsidiaries. All intercompany balances and transactions have been eliminated in consolidation.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income tax receivable agreement liability, contingent liabilities and income tax valuation allowances.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left="60" w:right="259"/>
        <w:spacing w:after="0" w:line="273" w:lineRule="auto"/>
        <w:rPr>
          <w:sz w:val="20"/>
          <w:szCs w:val="20"/>
          <w:color w:val="auto"/>
        </w:rPr>
      </w:pPr>
      <w:r>
        <w:rPr>
          <w:rFonts w:ascii="Arial" w:cs="Arial" w:eastAsia="Arial" w:hAnsi="Arial"/>
          <w:sz w:val="17"/>
          <w:szCs w:val="17"/>
          <w:color w:val="auto"/>
        </w:rPr>
        <w:t>During both the thirteen and twenty-six weeks ended June 28, 2023, the Company incurred $0.1 million in COVID-19 related expenses. During the thirteen and twenty-six weeks ended June 29, 2022, the Company incurred $0.3 million and $2.6 million, respectively, in COVID-19 related expenses, primarily due to leaves of absence and overtime pay. The Company may face future business disruption and related risks resulting from the uncertainty regarding a potential resurgence of COVID-19 or another pandemic, epidemic or infectious disease outbreak, or from broader macroeconomic trends, any of which could have a significant impact on our business.</w:t>
      </w:r>
    </w:p>
    <w:p>
      <w:pPr>
        <w:spacing w:after="0" w:line="178"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While the Company believes the trend towards more moderate labor related costs and less inflationary pressure continues, the Company cannot determine the ultimate impact of a potential resurgence of COVID-19 (and related economic effects) and the current macroeconomic environment will have on the Company’s condensed consolidated financial condition, liquidity, and future results of operations. Therefore, any prediction as to the ultimate materiality of the adverse impact on the Company’s condensed consolidated financial condition, liquidity, and future results of operations is uncertain.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Company considers all liquid instruments with an original maturity of three months or less at the date of purchase to be cash equivalents.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The Company’s principal liquidity and capital requirements are new restaurants, existing restaurant capital investments (remodels and maintenance), interest payments on its debt, lease obligations and working capital and general corporate needs. At June 28, 2023, the Company’s total debt was $60.0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$10.2 million at June 28, 2023 and the outstanding borrowing availability under the 2022 Revolver will be adequate to meet the Company’s liquidity needs for the next twelve months from the date of filing of these condensed consolidated financial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Cash and cash equivalents are maintained at financial institutions and, at times, these balances may exceed federally-insured limits. The Company has never experienced any losses related to these balances.</w:t>
      </w:r>
    </w:p>
    <w:p>
      <w:pPr>
        <w:spacing w:after="0" w:line="146" w:lineRule="exact"/>
        <w:rPr>
          <w:sz w:val="20"/>
          <w:szCs w:val="20"/>
          <w:color w:val="auto"/>
        </w:rPr>
      </w:pPr>
    </w:p>
    <w:p>
      <w:pPr>
        <w:ind w:left="60" w:right="419"/>
        <w:spacing w:after="0" w:line="291" w:lineRule="auto"/>
        <w:rPr>
          <w:sz w:val="20"/>
          <w:szCs w:val="20"/>
          <w:color w:val="auto"/>
        </w:rPr>
      </w:pPr>
      <w:r>
        <w:rPr>
          <w:rFonts w:ascii="Arial" w:cs="Arial" w:eastAsia="Arial" w:hAnsi="Arial"/>
          <w:sz w:val="16"/>
          <w:szCs w:val="16"/>
          <w:color w:val="auto"/>
        </w:rPr>
        <w:t>The Company had one supplier to whom amounts due totaled 30.9% and 41.7% of the Company’s accounts payable at June 28, 2023 and December 28, 2022, respectively. Purchases from the Company’s largest supplier totaled 27.8% and</w:t>
      </w:r>
    </w:p>
    <w:p>
      <w:pPr>
        <w:ind w:left="60" w:right="199"/>
        <w:spacing w:after="0" w:line="260" w:lineRule="auto"/>
        <w:rPr>
          <w:sz w:val="20"/>
          <w:szCs w:val="20"/>
          <w:color w:val="auto"/>
        </w:rPr>
      </w:pPr>
      <w:r>
        <w:rPr>
          <w:rFonts w:ascii="Arial" w:cs="Arial" w:eastAsia="Arial" w:hAnsi="Arial"/>
          <w:sz w:val="18"/>
          <w:szCs w:val="18"/>
          <w:color w:val="auto"/>
        </w:rPr>
        <w:t>27.3% of total expenses for the thirteen and twenty-six weeks ended June 28, 2023, respectively, and 27.4% and 28.5% of total expenses for the thirteen and twenty-six weeks ended June 29, 2022, respectively.</w:t>
      </w:r>
    </w:p>
    <w:p>
      <w:pPr>
        <w:spacing w:after="0" w:line="185"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Company-operated and franchised restaurants in the greater Los Angeles area generated, in the aggregate, approximately 70.9% and 70.8% of total revenue for the thirteen and twenty-six weeks ended June 28, 2023, respectively, and 70.9% for both the thirteen and twenty-six weeks ended June 29,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87" w:lineRule="exact"/>
        <w:rPr>
          <w:sz w:val="20"/>
          <w:szCs w:val="20"/>
          <w:color w:val="auto"/>
        </w:rPr>
      </w:pPr>
    </w:p>
    <w:p>
      <w:pPr>
        <w:ind w:left="60" w:right="199"/>
        <w:spacing w:after="0" w:line="311" w:lineRule="auto"/>
        <w:rPr>
          <w:sz w:val="20"/>
          <w:szCs w:val="20"/>
          <w:color w:val="auto"/>
        </w:rPr>
      </w:pPr>
      <w:r>
        <w:rPr>
          <w:rFonts w:ascii="Arial" w:cs="Arial" w:eastAsia="Arial" w:hAnsi="Arial"/>
          <w:sz w:val="16"/>
          <w:szCs w:val="16"/>
          <w:color w:val="auto"/>
        </w:rPr>
        <w:t>Upon the sale or refranchising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fair value of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the Company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The Company did not record any decrement to goodwill related to the disposition of restaurants in fiscal 2023 and 2022.</w:t>
      </w:r>
    </w:p>
    <w:p>
      <w:pPr>
        <w:spacing w:after="0" w:line="165"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The Company performs an annual impairment test for goodwill during the fourth fiscal quarter of each year, or more frequently if impairment indicators arise.</w:t>
      </w:r>
    </w:p>
    <w:p>
      <w:pPr>
        <w:spacing w:after="0" w:line="17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96" w:lineRule="exact"/>
        <w:rPr>
          <w:sz w:val="20"/>
          <w:szCs w:val="20"/>
          <w:color w:val="auto"/>
        </w:rPr>
      </w:pPr>
    </w:p>
    <w:p>
      <w:pPr>
        <w:jc w:val="both"/>
        <w:ind w:left="60" w:right="179"/>
        <w:spacing w:after="0" w:line="259" w:lineRule="auto"/>
        <w:rPr>
          <w:sz w:val="20"/>
          <w:szCs w:val="20"/>
          <w:color w:val="auto"/>
        </w:rPr>
      </w:pPr>
      <w:r>
        <w:rPr>
          <w:rFonts w:ascii="Arial" w:cs="Arial" w:eastAsia="Arial" w:hAnsi="Arial"/>
          <w:sz w:val="18"/>
          <w:szCs w:val="18"/>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87" w:lineRule="exact"/>
        <w:rPr>
          <w:sz w:val="20"/>
          <w:szCs w:val="20"/>
          <w:color w:val="auto"/>
        </w:rPr>
      </w:pPr>
    </w:p>
    <w:p>
      <w:pPr>
        <w:jc w:val="both"/>
        <w:ind w:left="60" w:right="379"/>
        <w:spacing w:after="0" w:line="311" w:lineRule="auto"/>
        <w:rPr>
          <w:sz w:val="20"/>
          <w:szCs w:val="20"/>
          <w:color w:val="auto"/>
        </w:rPr>
      </w:pPr>
      <w:r>
        <w:rPr>
          <w:rFonts w:ascii="Arial" w:cs="Arial" w:eastAsia="Arial" w:hAnsi="Arial"/>
          <w:sz w:val="16"/>
          <w:szCs w:val="16"/>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49"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The Company determined that there were no indicators of potential impairment of its goodwill and indefinite-lived intangible assets during the thirteen and twenty-six weeks ended June 28, 2023. Accordingly, the Company did not record any impairment to its goodwill or indefinite-lived intangible assets during the thirteen and twenty-six weeks ended June 28, 2023.</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84"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225"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200" w:lineRule="exact"/>
        <w:rPr>
          <w:sz w:val="20"/>
          <w:szCs w:val="20"/>
          <w:color w:val="auto"/>
        </w:rPr>
      </w:pPr>
    </w:p>
    <w:p>
      <w:pPr>
        <w:spacing w:after="0" w:line="241" w:lineRule="exact"/>
        <w:rPr>
          <w:sz w:val="20"/>
          <w:szCs w:val="20"/>
          <w:color w:val="auto"/>
        </w:rPr>
      </w:pPr>
    </w:p>
    <w:p>
      <w:pPr>
        <w:jc w:val="both"/>
        <w:ind w:left="60" w:right="379"/>
        <w:spacing w:after="0" w:line="263" w:lineRule="auto"/>
        <w:rPr>
          <w:sz w:val="20"/>
          <w:szCs w:val="20"/>
          <w:color w:val="auto"/>
        </w:rPr>
      </w:pPr>
      <w:r>
        <w:rPr>
          <w:rFonts w:ascii="Arial" w:cs="Arial" w:eastAsia="Arial" w:hAnsi="Arial"/>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following non-financial instruments were measured at fair value, on a nonrecurring basis, as of and for the thirteen and twenty-six weeks ended June 28, 2023, reflecting certain property and equipment assets and right-of-use (“ROU”) assets for which an impairment loss was recognized during the corresponding periods, as discussed under Note 2, “Property and Equipment” and immediately below under “Impairment of Long-Lived Assets and ROU Assets”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7"/>
            <w:vMerge w:val="restart"/>
          </w:tcPr>
          <w:p>
            <w:pPr>
              <w:jc w:val="right"/>
              <w:ind w:right="19"/>
              <w:spacing w:after="0"/>
              <w:rPr>
                <w:sz w:val="20"/>
                <w:szCs w:val="20"/>
                <w:color w:val="auto"/>
              </w:rPr>
            </w:pPr>
            <w:r>
              <w:rPr>
                <w:rFonts w:ascii="Arial" w:cs="Arial" w:eastAsia="Arial" w:hAnsi="Arial"/>
                <w:sz w:val="14"/>
                <w:szCs w:val="14"/>
                <w:b w:val="1"/>
                <w:bCs w:val="1"/>
                <w:color w:val="auto"/>
                <w:w w:val="92"/>
              </w:rPr>
              <w:t>Fair Value Measurements at June 28, 2023 Using</w:t>
            </w:r>
          </w:p>
        </w:tc>
        <w:tc>
          <w:tcPr>
            <w:tcW w:w="1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Thirteen Weeks</w:t>
            </w:r>
          </w:p>
        </w:tc>
        <w:tc>
          <w:tcPr>
            <w:tcW w:w="1280" w:type="dxa"/>
            <w:vAlign w:val="bottom"/>
          </w:tcPr>
          <w:p>
            <w:pPr>
              <w:jc w:val="center"/>
              <w:ind w:right="2"/>
              <w:spacing w:after="0"/>
              <w:rPr>
                <w:sz w:val="20"/>
                <w:szCs w:val="20"/>
                <w:color w:val="auto"/>
              </w:rPr>
            </w:pPr>
            <w:r>
              <w:rPr>
                <w:rFonts w:ascii="Arial" w:cs="Arial" w:eastAsia="Arial" w:hAnsi="Arial"/>
                <w:sz w:val="14"/>
                <w:szCs w:val="14"/>
                <w:b w:val="1"/>
                <w:bCs w:val="1"/>
                <w:color w:val="auto"/>
                <w:w w:val="91"/>
              </w:rPr>
              <w:t>Twenty-Six Weeks</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7"/>
            <w:vMerge w:val="continue"/>
          </w:tcPr>
          <w:p>
            <w:pPr>
              <w:spacing w:after="0"/>
              <w:rPr>
                <w:sz w:val="14"/>
                <w:szCs w:val="14"/>
                <w:color w:val="auto"/>
              </w:rPr>
            </w:pPr>
          </w:p>
        </w:tc>
        <w:tc>
          <w:tcPr>
            <w:tcW w:w="2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Ended June 28, 2023 Ended June 28, 2023</w:t>
            </w:r>
          </w:p>
        </w:tc>
        <w:tc>
          <w:tcPr>
            <w:tcW w:w="0" w:type="dxa"/>
            <w:vAlign w:val="bottom"/>
          </w:tcPr>
          <w:p>
            <w:pPr>
              <w:spacing w:after="0"/>
              <w:rPr>
                <w:sz w:val="1"/>
                <w:szCs w:val="1"/>
                <w:color w:val="auto"/>
              </w:rPr>
            </w:pPr>
          </w:p>
        </w:tc>
      </w:tr>
      <w:tr>
        <w:trPr>
          <w:trHeight w:val="142"/>
        </w:trPr>
        <w:tc>
          <w:tcPr>
            <w:tcW w:w="20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102"/>
              <w:spacing w:after="0" w:line="142" w:lineRule="exact"/>
              <w:rPr>
                <w:sz w:val="20"/>
                <w:szCs w:val="20"/>
                <w:color w:val="auto"/>
              </w:rPr>
            </w:pPr>
            <w:r>
              <w:rPr>
                <w:rFonts w:ascii="Arial" w:cs="Arial" w:eastAsia="Arial" w:hAnsi="Arial"/>
                <w:sz w:val="14"/>
                <w:szCs w:val="14"/>
                <w:b w:val="1"/>
                <w:bCs w:val="1"/>
                <w:color w:val="auto"/>
                <w:w w:val="92"/>
              </w:rPr>
              <w:t>Impairment Losses</w:t>
            </w:r>
          </w:p>
        </w:tc>
        <w:tc>
          <w:tcPr>
            <w:tcW w:w="1280" w:type="dxa"/>
            <w:vAlign w:val="bottom"/>
            <w:tcBorders>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92"/>
              </w:rPr>
              <w:t>Impairment Losses</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ROU assets, net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0"/>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twenty-six weeks ended June 29, 2022, reflecting certain property and equipment assets and ROU assets for which an impairment loss was recognized during the corresponding periods, as discussed immediately below under “Impairment of Long-Lived Assets and ROU Assets”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w w:val="95"/>
              </w:rPr>
              <w:t>Fair Value Measurements at June 29, 2022 Using</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Thirteen Weeks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Twenty-Six Weeks</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Ended June 29, 2022</w:t>
            </w:r>
          </w:p>
        </w:tc>
        <w:tc>
          <w:tcPr>
            <w:tcW w:w="12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Ended June 29, 2022</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3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Impairment Losses</w:t>
            </w:r>
          </w:p>
        </w:tc>
        <w:tc>
          <w:tcPr>
            <w:tcW w:w="120" w:type="dxa"/>
            <w:vAlign w:val="bottom"/>
          </w:tcPr>
          <w:p>
            <w:pPr>
              <w:spacing w:after="0"/>
              <w:rPr>
                <w:sz w:val="12"/>
                <w:szCs w:val="12"/>
                <w:color w:val="auto"/>
              </w:rPr>
            </w:pPr>
          </w:p>
        </w:tc>
        <w:tc>
          <w:tcPr>
            <w:tcW w:w="13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Impairment Losses</w:t>
            </w:r>
          </w:p>
        </w:tc>
        <w:tc>
          <w:tcPr>
            <w:tcW w:w="0" w:type="dxa"/>
            <w:vAlign w:val="bottom"/>
          </w:tcPr>
          <w:p>
            <w:pPr>
              <w:spacing w:after="0"/>
              <w:rPr>
                <w:sz w:val="1"/>
                <w:szCs w:val="1"/>
                <w:color w:val="auto"/>
              </w:rPr>
            </w:pPr>
          </w:p>
        </w:tc>
      </w:tr>
      <w:tr>
        <w:trPr>
          <w:trHeight w:val="195"/>
        </w:trPr>
        <w:tc>
          <w:tcPr>
            <w:tcW w:w="19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Certain property and</w:t>
            </w:r>
          </w:p>
        </w:tc>
        <w:tc>
          <w:tcPr>
            <w:tcW w:w="40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net</w:t>
            </w:r>
          </w:p>
        </w:tc>
        <w:tc>
          <w:tcPr>
            <w:tcW w:w="10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 —  $</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 and ROU Assets</w:t>
      </w:r>
    </w:p>
    <w:p>
      <w:pPr>
        <w:spacing w:after="0" w:line="229"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The Company reviews its long-lived and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average unit volume for the last twelve months is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closed or been subleased and future estimated sublease income is less than lease payments under the head lease.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twenty-six weeks ended June 28, 2023 that required an impairment review of certain of the Company’s long-lived and ROU assets. Based on the results of the analysis, the Company recorded non-cash impairment charges of less than $0.1 million for both the thirteen and twenty-six weeks ended June 28, 2023, primarily related to the carrying value of the ROU assets of one restaurant in California.</w:t>
      </w:r>
    </w:p>
    <w:p>
      <w:pPr>
        <w:spacing w:after="0" w:line="171"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recorded a non-cash impairment charge of $0.2 million and $0.3 million for the thirteen and twenty-six weeks ended June 29, 2022, respectively, primarily related to the long-lived assets of one restaurant in California. Given the inherent uncertainty in projecting results for newer restaurants in newer markets, as well as the impact of COVID-19 (and related economic effects) and the current macroeconomic environment,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Closed-Store Reserves</w:t>
      </w:r>
    </w:p>
    <w:p>
      <w:pPr>
        <w:spacing w:after="0" w:line="229" w:lineRule="exact"/>
        <w:rPr>
          <w:sz w:val="20"/>
          <w:szCs w:val="20"/>
          <w:color w:val="auto"/>
        </w:rPr>
      </w:pPr>
    </w:p>
    <w:p>
      <w:pPr>
        <w:ind w:left="60" w:right="459"/>
        <w:spacing w:after="0" w:line="342" w:lineRule="auto"/>
        <w:rPr>
          <w:sz w:val="20"/>
          <w:szCs w:val="20"/>
          <w:color w:val="auto"/>
        </w:rPr>
      </w:pPr>
      <w:r>
        <w:rPr>
          <w:rFonts w:ascii="Arial" w:cs="Arial" w:eastAsia="Arial" w:hAnsi="Arial"/>
          <w:sz w:val="16"/>
          <w:szCs w:val="16"/>
          <w:color w:val="auto"/>
        </w:rPr>
        <w:t>When a restaurant is closed, the Company will evaluate the ROU asset for impairment, based on anticipated sublease recoveries. The remaining value of the ROU asset is amortized on a straight-line basis, with the expense recognized in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closed-store reserve expense. Additionally, any property tax and common area maintenance (“CAM”) payments relating to closed restaurants are included within closed-store expense. During both the thirteen and twenty-six weeks ended</w:t>
      </w:r>
    </w:p>
    <w:p>
      <w:pPr>
        <w:ind w:left="60" w:right="219"/>
        <w:spacing w:after="0" w:line="273" w:lineRule="auto"/>
        <w:rPr>
          <w:sz w:val="20"/>
          <w:szCs w:val="20"/>
          <w:color w:val="auto"/>
        </w:rPr>
      </w:pPr>
      <w:r>
        <w:rPr>
          <w:rFonts w:ascii="Arial" w:cs="Arial" w:eastAsia="Arial" w:hAnsi="Arial"/>
          <w:sz w:val="17"/>
          <w:szCs w:val="17"/>
          <w:color w:val="auto"/>
        </w:rPr>
        <w:t>June 28, 2023, the Company recognized less than $0.1 million of closed-store reserve expense related to the amortization of ROU assets, property taxes and CAM payments for its closed locations. During both the thirteen and twenty-six weeks ended June 29, 2022, the Company recognized $0.1 million of closed-store reserve expense primarily related to the amortization of ROU assets, property taxes and CAM payments for its closed locations.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used an interest rate swap, a derivative instrument, to hedge interest rate risk and not for trading purposes.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derivative contract was entered into with a financial institution. In connection with the Company’s entry into the 2022</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Credit Agreement (as defined below), it terminated the interest rate swap on July 28, 2022.</w:t>
      </w:r>
    </w:p>
    <w:p>
      <w:pPr>
        <w:spacing w:after="0" w:line="211"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The Company recorded the derivative instrument on its condensed consolidated balance sheets at fair value. The derivative instrument qualified as a hedging instrument in a qualifying cash flow hedge relationship, and the gain or loss on the derivative instrument was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on Recovery of Insurance Proceeds, Lost Profits</w:t>
      </w:r>
    </w:p>
    <w:p>
      <w:pPr>
        <w:spacing w:after="0" w:line="229" w:lineRule="exact"/>
        <w:rPr>
          <w:sz w:val="20"/>
          <w:szCs w:val="20"/>
          <w:color w:val="auto"/>
        </w:rPr>
      </w:pPr>
    </w:p>
    <w:p>
      <w:pPr>
        <w:ind w:left="60" w:right="159"/>
        <w:spacing w:after="0" w:line="290" w:lineRule="auto"/>
        <w:rPr>
          <w:sz w:val="20"/>
          <w:szCs w:val="20"/>
          <w:color w:val="auto"/>
        </w:rPr>
      </w:pPr>
      <w:r>
        <w:rPr>
          <w:rFonts w:ascii="Arial" w:cs="Arial" w:eastAsia="Arial" w:hAnsi="Arial"/>
          <w:sz w:val="16"/>
          <w:szCs w:val="16"/>
          <w:color w:val="auto"/>
        </w:rPr>
        <w:t>In September 2022, one of the Company’s restaurants incurred damage resulting from a fire. In 2022, the Company disposed of less than $0.1 million of assets related to the fire. The restaurant was reopened for business on October 27, 2022. In fiscal 2023, the Company incurred costs directly related to the fire of less than $0.1 million. The Company recognized gains of $0.2 million, related to the reimbursement of property and equipment and expenses incurred and $0.2 million related to the reimbursement of lost profits. The gain on recovery of insurance proceeds and reimbursement of lost profits, net of the related costs, is included in the accompanying condensed consolidated statements of income, for the twenty-six weeks ended June 28, 2023, as a reduction of company restaurant expenses. The Company received from the insurance company cash of $0.4 million, net of the insurance deductible, during fiscal 2023.</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6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170" w:lineRule="exact"/>
        <w:rPr>
          <w:sz w:val="20"/>
          <w:szCs w:val="20"/>
          <w:color w:val="auto"/>
        </w:rPr>
      </w:pPr>
    </w:p>
    <w:p>
      <w:pPr>
        <w:jc w:val="both"/>
        <w:ind w:left="60" w:right="319"/>
        <w:spacing w:after="0" w:line="287" w:lineRule="auto"/>
        <w:rPr>
          <w:sz w:val="20"/>
          <w:szCs w:val="20"/>
          <w:color w:val="auto"/>
        </w:rPr>
      </w:pPr>
      <w:r>
        <w:rPr>
          <w:rFonts w:ascii="Arial" w:cs="Arial" w:eastAsia="Arial" w:hAnsi="Arial"/>
          <w:sz w:val="16"/>
          <w:szCs w:val="16"/>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w:t>
      </w:r>
    </w:p>
    <w:p>
      <w:pPr>
        <w:spacing w:after="0" w:line="2" w:lineRule="exact"/>
        <w:rPr>
          <w:sz w:val="20"/>
          <w:szCs w:val="20"/>
          <w:color w:val="auto"/>
        </w:rPr>
      </w:pPr>
    </w:p>
    <w:p>
      <w:pPr>
        <w:ind w:left="60" w:right="159"/>
        <w:spacing w:after="0" w:line="270" w:lineRule="auto"/>
        <w:rPr>
          <w:sz w:val="20"/>
          <w:szCs w:val="20"/>
          <w:color w:val="auto"/>
        </w:rPr>
      </w:pPr>
      <w:r>
        <w:rPr>
          <w:rFonts w:ascii="Arial" w:cs="Arial" w:eastAsia="Arial" w:hAnsi="Arial"/>
          <w:sz w:val="17"/>
          <w:szCs w:val="17"/>
          <w:color w:val="auto"/>
        </w:rPr>
        <w:t>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condensed consolidated financial position, results of operations, and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The Company’s policy is to recognize interest and penalties related to income tax matters in income tax expense. The Company had no accrual for interest or penalties at June 28, 2023 or at December 28, 2022. The Company did not recognize interest or penalties during the thirteen and twenty-six weeks ended June 28, 2023 and June 29, 2022, respectively, since there were no material unrecognized tax benefits. Management believes no significant changes to the amount of unrecognized tax benefits will occur within the next twelve months.</w:t>
      </w:r>
    </w:p>
    <w:p>
      <w:pPr>
        <w:spacing w:after="0" w:line="17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the thirteen and twenty-six weeks ended June 28, 2023, the Company recorded income tax receivable agreement expense of $0.1 million and income tax receivable agreement income of less than $0.1 million, respectively, and for the thirteen and twenty-six weeks ended June 29, 2022, the Company recorded income tax receivable agreement income of $0.2 million and $0.3 million, respectively, in each case, related to the amortization of interest expense related to the total expected TRA payments and changes in estimates for actual tax returns filed and future forecasted taxable income.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the quarter ended June 28, 2023, the Company recorded an income tax provision of $2.7 million, reflecting an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estimated effective tax rate of 27.9%. For the quarter ended June 29, 2022, the Company recorded an income tax provision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$3.1 million, reflecting an estimated effective tax rate of approximately 30.0%. For the year-to-date period ended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June 28, 2023, the Company recorded an income tax provision of $4.7 million, reflecting an estimated effective tax rate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28.1%. For the year-to-date period ended June 29, 2022, the Company recorded an income tax provision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$4.0 million, reflecting an estimated effective tax rate of approximately 30.0%. The difference between the 21.0% statutory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rate and the effective tax rate of 28.1% for the year-to-date period ended June 28, 2023 is primarily a result of state taxes,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non-deductible executive compensation, partially offset by a Work Opportunity Tax Credit benefit.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PROPERTY AND EQUIPMENT</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June 28, 2023</w:t>
            </w: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28, 2022</w:t>
            </w:r>
          </w:p>
        </w:tc>
      </w:tr>
      <w:tr>
        <w:trPr>
          <w:trHeight w:val="209"/>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156,901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153,377</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 and equipment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83,035</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r>
      <w:tr>
        <w:trPr>
          <w:trHeight w:val="209"/>
        </w:trPr>
        <w:tc>
          <w:tcPr>
            <w:tcW w:w="6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251,931</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(178,375)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(173,287)</w:t>
            </w:r>
          </w:p>
        </w:tc>
      </w:tr>
      <w:tr>
        <w:trPr>
          <w:trHeight w:val="210"/>
        </w:trPr>
        <w:tc>
          <w:tcPr>
            <w:tcW w:w="64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78,644</w:t>
            </w:r>
          </w:p>
        </w:tc>
      </w:tr>
      <w:tr>
        <w:trPr>
          <w:trHeight w:val="20"/>
        </w:trPr>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Depreciation expense was $3.7 million and $3.6 million for the thirteen weeks ended June 28, 2023 and June 29, 2022, respectively, and $7.3 million and $7.2 million for the twenty-six weeks ended June 28, 2023 and June 29, 2022, respectively.</w:t>
      </w:r>
    </w:p>
    <w:p>
      <w:pPr>
        <w:spacing w:after="0" w:line="184"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Based on the Company’s review of its long-lived assets for impairment, the Company did not record any non-cash impairment charges for the thirteen and twenty-six weeks ended June 28, 2023. During the thirteen and twenty-six weeks ended June 29, 2022, the Company recorded non-cash impairment charges of $0.2 million and $0.3 million, respectively, primarily related to the carrying value of the long-lived assets of one restaurant in California. See Note 1, “Basis of Presentation and Summary of Significant Accounting Policies – Impairment of Long-Lived Assets and ROU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At June 28, 2023, options to purchase 1,226,687 shares of common stock were outstanding, including 566,533 vested and 660,154 unvested. Unvested options vest over time; however, upon a change in control, the Board of Directors may accelerate vesting. At June 28, 2023, there were no premium options, which are options granted above the stock price at date of grant, that were outstanding. A summary of stock option activity as of June 28, 2023 and changes during the twenty-six weeks ended June 28, 2023 is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Weighted-Average</w:t>
            </w:r>
          </w:p>
        </w:tc>
        <w:tc>
          <w:tcPr>
            <w:tcW w:w="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4"/>
                <w:szCs w:val="14"/>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Exercise Price</w:t>
            </w:r>
          </w:p>
        </w:tc>
        <w:tc>
          <w:tcPr>
            <w:tcW w:w="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 December 28,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1,068,179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Grants</w:t>
            </w:r>
          </w:p>
        </w:tc>
        <w:tc>
          <w:tcPr>
            <w:tcW w:w="840" w:type="dxa"/>
            <w:vAlign w:val="bottom"/>
          </w:tcPr>
          <w:p>
            <w:pPr>
              <w:jc w:val="right"/>
              <w:spacing w:after="0"/>
              <w:rPr>
                <w:sz w:val="20"/>
                <w:szCs w:val="20"/>
                <w:color w:val="auto"/>
              </w:rPr>
            </w:pPr>
            <w:r>
              <w:rPr>
                <w:rFonts w:ascii="Arial" w:cs="Arial" w:eastAsia="Arial" w:hAnsi="Arial"/>
                <w:sz w:val="18"/>
                <w:szCs w:val="18"/>
                <w:color w:val="auto"/>
              </w:rPr>
              <w:t>425,230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9.08</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840" w:type="dxa"/>
            <w:vAlign w:val="bottom"/>
          </w:tcPr>
          <w:p>
            <w:pPr>
              <w:jc w:val="right"/>
              <w:spacing w:after="0"/>
              <w:rPr>
                <w:sz w:val="20"/>
                <w:szCs w:val="20"/>
                <w:color w:val="auto"/>
              </w:rPr>
            </w:pPr>
            <w:r>
              <w:rPr>
                <w:rFonts w:ascii="Arial" w:cs="Arial" w:eastAsia="Arial" w:hAnsi="Arial"/>
                <w:sz w:val="18"/>
                <w:szCs w:val="18"/>
                <w:color w:val="auto"/>
              </w:rPr>
              <w:t>(82,428)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11.25</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June 28,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1,226,687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20" w:type="dxa"/>
            <w:vAlign w:val="bottom"/>
            <w:tcBorders>
              <w:top w:val="single" w:sz="8" w:color="CCEEFF"/>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7.02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Vested and expected to vest at June 28, 2023</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308"/>
              <w:spacing w:after="0"/>
              <w:rPr>
                <w:sz w:val="20"/>
                <w:szCs w:val="20"/>
                <w:color w:val="auto"/>
              </w:rPr>
            </w:pPr>
            <w:r>
              <w:rPr>
                <w:rFonts w:ascii="Arial" w:cs="Arial" w:eastAsia="Arial" w:hAnsi="Arial"/>
                <w:sz w:val="18"/>
                <w:szCs w:val="18"/>
                <w:color w:val="auto"/>
              </w:rPr>
              <w:t>7.00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255"/>
              <w:spacing w:after="0"/>
              <w:rPr>
                <w:sz w:val="20"/>
                <w:szCs w:val="20"/>
                <w:color w:val="auto"/>
              </w:rPr>
            </w:pPr>
            <w:r>
              <w:rPr>
                <w:rFonts w:ascii="Arial" w:cs="Arial" w:eastAsia="Arial" w:hAnsi="Arial"/>
                <w:sz w:val="18"/>
                <w:szCs w:val="18"/>
                <w:color w:val="auto"/>
              </w:rPr>
              <w:t>87</w:t>
            </w:r>
          </w:p>
        </w:tc>
        <w:tc>
          <w:tcPr>
            <w:tcW w:w="0" w:type="dxa"/>
            <w:vAlign w:val="bottom"/>
          </w:tcPr>
          <w:p>
            <w:pPr>
              <w:spacing w:after="0" w:line="20" w:lineRule="exact"/>
              <w:rPr>
                <w:sz w:val="1"/>
                <w:szCs w:val="1"/>
                <w:color w:val="auto"/>
              </w:rPr>
            </w:pPr>
          </w:p>
        </w:tc>
      </w:tr>
      <w:tr>
        <w:trPr>
          <w:trHeight w:val="237"/>
        </w:trPr>
        <w:tc>
          <w:tcPr>
            <w:tcW w:w="446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1,212,549</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10.37</w:t>
            </w:r>
          </w:p>
        </w:tc>
        <w:tc>
          <w:tcPr>
            <w:tcW w:w="122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4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Exercisable at June 28, 2023</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566,533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11.33</w:t>
            </w:r>
          </w:p>
        </w:tc>
        <w:tc>
          <w:tcPr>
            <w:tcW w:w="1220" w:type="dxa"/>
            <w:vAlign w:val="bottom"/>
            <w:tcBorders>
              <w:bottom w:val="single" w:sz="8" w:color="CCEEFF"/>
            </w:tcBorders>
            <w:gridSpan w:val="2"/>
            <w:shd w:val="clear" w:color="auto" w:fill="CCEEFF"/>
          </w:tcPr>
          <w:p>
            <w:pPr>
              <w:jc w:val="right"/>
              <w:ind w:right="308"/>
              <w:spacing w:after="0" w:line="196" w:lineRule="exact"/>
              <w:rPr>
                <w:sz w:val="20"/>
                <w:szCs w:val="20"/>
                <w:color w:val="auto"/>
              </w:rPr>
            </w:pPr>
            <w:r>
              <w:rPr>
                <w:rFonts w:ascii="Arial" w:cs="Arial" w:eastAsia="Arial" w:hAnsi="Arial"/>
                <w:sz w:val="18"/>
                <w:szCs w:val="18"/>
                <w:color w:val="auto"/>
              </w:rPr>
              <w:t>4.29</w:t>
            </w: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275"/>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19"/>
        <w:spacing w:after="0" w:line="342" w:lineRule="auto"/>
        <w:rPr>
          <w:sz w:val="20"/>
          <w:szCs w:val="20"/>
          <w:color w:val="auto"/>
        </w:rPr>
      </w:pPr>
      <w:r>
        <w:rPr>
          <w:rFonts w:ascii="Arial" w:cs="Arial" w:eastAsia="Arial" w:hAnsi="Arial"/>
          <w:sz w:val="16"/>
          <w:szCs w:val="16"/>
          <w:color w:val="auto"/>
        </w:rPr>
        <w:t>The fair value of each stock option was estimated on the grant date using an exercise price of the closing stock price on the day prior to date of grant and the Black-Scholes option-pricing model with the following weighted average assumptions: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June 28, 2023</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June 29, 2022</w:t>
            </w:r>
          </w:p>
        </w:tc>
        <w:tc>
          <w:tcPr>
            <w:tcW w:w="180" w:type="dxa"/>
            <w:vAlign w:val="bottom"/>
          </w:tcPr>
          <w:p>
            <w:pPr>
              <w:spacing w:after="0"/>
              <w:rPr>
                <w:sz w:val="14"/>
                <w:szCs w:val="14"/>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43.7 %</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43.0 %</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3.5 %</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2.9 %</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3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6.25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3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3"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At June 28, 2023, the Company had total unrecognized compensation expense of $3.0 million related to unvested stock options, which it expects to recognize over a weighted-average period of 3.33 years.</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 summary of restricted share activity as of June 28, 2023 and changes during the twenty-six weeks ended June 28, 2023 is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Weighted-Average</w:t>
            </w:r>
          </w:p>
        </w:tc>
      </w:tr>
      <w:tr>
        <w:trPr>
          <w:trHeight w:val="171"/>
        </w:trPr>
        <w:tc>
          <w:tcPr>
            <w:tcW w:w="66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shares at December 28, 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363,210</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(167,188)</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cancelled, or expired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(68,692)</w:t>
            </w:r>
          </w:p>
        </w:tc>
        <w:tc>
          <w:tcPr>
            <w:tcW w:w="340" w:type="dxa"/>
            <w:vAlign w:val="bottom"/>
            <w:tcBorders>
              <w:bottom w:val="single" w:sz="8" w:color="CCEEFF"/>
            </w:tcBorders>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12.69</w:t>
            </w:r>
          </w:p>
        </w:tc>
      </w:tr>
      <w:tr>
        <w:trPr>
          <w:trHeight w:val="21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June 28,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672,810</w:t>
            </w:r>
          </w:p>
        </w:tc>
        <w:tc>
          <w:tcPr>
            <w:tcW w:w="34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0"/>
        </w:trPr>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At June 28, 2023, the Company had unrecognized compensation expense of $6.2 million related to unvested restricted shares, which it expects to recognize over a weighted-average period of 2.71 years.</w:t>
      </w:r>
    </w:p>
    <w:p>
      <w:pPr>
        <w:spacing w:after="0" w:line="170"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Total stock-based compensation expense was $0.8 million and $1.6 million for the thirteen and twenty-six weeks ended June 28, 2023, respectively, and $1.0 million and $1.8 million for the thirteen and twenty-six weeks ended June 29, 2022, respectively.</w:t>
      </w:r>
    </w:p>
    <w:p>
      <w:pPr>
        <w:spacing w:after="0" w:line="184"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On October 11, 2022, the Company’s Board of Directors approved a share repurchase program (the “2022 Stock Repurchase Plan”) under which the Company is authorized to repurchase up to $20.0 million of shares of its common stock. The 2022 Stock Repurchase Plan will terminate on March 28, 2024, may be modified, suspended or discontinued at any time, and does not obligate the Company to acquire any particular number of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319"/>
        <w:spacing w:after="0" w:line="259" w:lineRule="auto"/>
        <w:rPr>
          <w:sz w:val="20"/>
          <w:szCs w:val="20"/>
          <w:color w:val="auto"/>
        </w:rPr>
      </w:pPr>
      <w:r>
        <w:rPr>
          <w:rFonts w:ascii="Arial" w:cs="Arial" w:eastAsia="Arial" w:hAnsi="Arial"/>
          <w:sz w:val="18"/>
          <w:szCs w:val="18"/>
          <w:color w:val="auto"/>
        </w:rPr>
        <w:t>Under the 2022 Stock Repurchase Plan, the Company is permitted to repurchase its common stock from time to time, in amounts and at prices that the Company deemed appropriate, subject to market conditions and other considerations. The Company’s repurchases will be executed using open market purchases, including pursuant to Rule 10b5-1 trading plans, and/or through privately negotiated transactions.</w:t>
      </w:r>
    </w:p>
    <w:p>
      <w:pPr>
        <w:spacing w:after="0" w:line="187"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For the thirteen and twenty-six weeks ended June 28, 2023, the Company repurchased 1,272,287 and 1,824,636 shares of common stock, respectively, under the 2022 Stock Repurchase Plan, using open market purchases, for total consideration of approximately $11.9 million and $18.1 million, respectively. The common stock repurchased under 2022 Stock Repurchase Plan were retired upon repurchase. As of June 28, 2023, $1.9 million remained available for repurchases under the 2022 Stock Repurchase Plan of which the entire balance has been completed subsequent to period end.</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LONG-TERM DEBT</w:t>
      </w:r>
    </w:p>
    <w:p>
      <w:pPr>
        <w:spacing w:after="0" w:line="229"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On July 27, 2022, the Company refinanced and terminated its credit agreement (the “2018 Credit Agreement”) among EPL, as borrower, the Company and Intermediate, as guarantors, Bank of America, N.A., as administrative agent, swingline lender, and letter of credit issuer, the lenders party thereto, and the other parties thereto, which provided for a $150.0 million five-year senior secured revolving credit facility (the “2018 Revolver”). The 2018 Revolver was refinanced pursuant to a credit agreement (the “2022 Credit Agreement”) among EPL, as borrower, the Company and Intermediate, as guarantors, Bank of America, N.A., as administrative agent, swingline lender, and letter of credit issuer, the lenders party thereto, and the other parties thereto, which provides for a $150.0 million five-year senior secured revolving credit facility (the “2022 Revolver”). In connection with the refinancing, the 2018 Credit Agreement was terminated.</w:t>
      </w:r>
    </w:p>
    <w:p>
      <w:pPr>
        <w:spacing w:after="0" w:line="16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2022 Revolver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spacing w:after="0" w:line="188"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The special dividend announced by the Company’s Board of Directors on October 11, 2022 was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74"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(as defined in the 2022 Credit Agreement) with a term of one-month SOFR plus 1.00%. For Term SOFR loans, the margin is in the range of 1.25% to 2.25%, and for base rate loans the margin is in a range of 0.25% to 1.25%. Borrowings under the 2022 Revolver may be repaid and reborrowed. The interest rate range was 6.22% to 8.50% and 5.69% to 8.50% for the thirteen and twenty-six weeks ended June 28, 2023, under the 2022 Revolver, respectively, and 1.70% to 2.87% and 1.35% to 2.87% for the thirteen and twenty-six weeks ended June 29, 2022 under the 2018 Revolver, respectively.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2022 Credit Agreement contains certain financial covenants. The Company was in compliance with the financial covenants as of June 28, 2023.</w:t>
      </w:r>
    </w:p>
    <w:p>
      <w:pPr>
        <w:spacing w:after="0" w:line="170" w:lineRule="exact"/>
        <w:rPr>
          <w:sz w:val="20"/>
          <w:szCs w:val="20"/>
          <w:color w:val="auto"/>
        </w:rPr>
      </w:pPr>
    </w:p>
    <w:p>
      <w:pPr>
        <w:ind w:left="60" w:right="759"/>
        <w:spacing w:after="0" w:line="342" w:lineRule="auto"/>
        <w:rPr>
          <w:sz w:val="20"/>
          <w:szCs w:val="20"/>
          <w:color w:val="auto"/>
        </w:rPr>
      </w:pPr>
      <w:r>
        <w:rPr>
          <w:rFonts w:ascii="Arial" w:cs="Arial" w:eastAsia="Arial" w:hAnsi="Arial"/>
          <w:sz w:val="16"/>
          <w:szCs w:val="16"/>
          <w:color w:val="auto"/>
        </w:rPr>
        <w:t>At June 28, 2023, $9.8 million of letters of credit and $60.0 million in borrowings under the 2022 Revolver were outstanding. The Company had $80.2 million in borrowing availability under the 2022 Revolver at June 28, 2023.</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Maturities</w:t>
      </w:r>
    </w:p>
    <w:p>
      <w:pPr>
        <w:spacing w:after="0" w:line="229"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On July 27, 2022, the Company refinanced and terminated the 2018 Revolver pursuant to the 2022 Credit Agreement. During the twenty-six weeks ended June 28, 2023 the Company paid down $8.0 million on the 2022 Revolver. During the thirteen weeks ended June 28, 2023 the Company borrowed $2.0 million on the 2022 Revolver. No amounts were paid on the 2018 Revolver during the twenty-six weeks ended June 29, 2022. There are no required principal payments prior to maturity for the 2022 Revolver.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jc w:val="both"/>
        <w:ind w:left="60" w:right="119"/>
        <w:spacing w:after="0" w:line="286" w:lineRule="auto"/>
        <w:rPr>
          <w:sz w:val="20"/>
          <w:szCs w:val="20"/>
          <w:color w:val="auto"/>
        </w:rPr>
      </w:pPr>
      <w:r>
        <w:rPr>
          <w:rFonts w:ascii="Arial" w:cs="Arial" w:eastAsia="Arial" w:hAnsi="Arial"/>
          <w:sz w:val="16"/>
          <w:szCs w:val="16"/>
          <w:color w:val="auto"/>
        </w:rPr>
        <w:t>During the year ended December 25, 2019, the Company entered into a variable-to-fixed interest rate swap agreement with a notional amount of $40.0 million with a maturity date in June 2023. The objective of the interest rate swap was to reduce the Company’s exposure to interest rate risk for a portion of its variable-rate interest payments on its borrowings under the 2018 Revolver. The interest rate swap was designated as a cash flow hedge, as the changes in the future cash flows of</w:t>
      </w:r>
    </w:p>
    <w:p>
      <w:pPr>
        <w:spacing w:after="0" w:line="1" w:lineRule="exact"/>
        <w:rPr>
          <w:sz w:val="20"/>
          <w:szCs w:val="20"/>
          <w:color w:val="auto"/>
        </w:rPr>
      </w:pPr>
    </w:p>
    <w:p>
      <w:pPr>
        <w:ind w:left="60" w:right="779"/>
        <w:spacing w:after="0" w:line="290" w:lineRule="auto"/>
        <w:rPr>
          <w:sz w:val="20"/>
          <w:szCs w:val="20"/>
          <w:color w:val="auto"/>
        </w:rPr>
      </w:pPr>
      <w:r>
        <w:rPr>
          <w:rFonts w:ascii="Arial" w:cs="Arial" w:eastAsia="Arial" w:hAnsi="Arial"/>
          <w:sz w:val="17"/>
          <w:szCs w:val="17"/>
          <w:color w:val="auto"/>
        </w:rPr>
        <w:t>the swap were expected to offset changes in expected future interest payments on the related variable-rate debt, in accordance with Accounting Standards Codification (“ASC”) 815 “Derivatives and Hedging.”</w:t>
      </w:r>
    </w:p>
    <w:p>
      <w:pPr>
        <w:spacing w:after="0" w:line="161"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In connection with the Company’s entry into the 2022 Credit Agreement, it terminated the interest rate swap on July 28, 2022 which was previously used to hedge interest rate risk. Prior to the interest rate swap termination, the swap was a highly effective cash flow hedge. In settlement of this swap, the Company received approximately $0.6 million and derecognized the corresponding interest rate swap asset. The remaining amount in AOCI related to the hedging relationship was reclassified into earnings when the hedged forecasted transaction was reported in earnings.</w:t>
      </w:r>
    </w:p>
    <w:p>
      <w:pPr>
        <w:spacing w:after="0" w:line="1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As of June 28, 2023, there were no estimated net gains to be included in AOCI related to the Company’s cash flow hedge that would be reclassified into earnings, based on current Term SOFR interest rates.</w:t>
      </w:r>
    </w:p>
    <w:p>
      <w:pPr>
        <w:spacing w:after="0" w:line="38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following table summarizes the effect of the Company’s cash flow hedge accounting on the condensed consolidated statements of income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w w:val="98"/>
              </w:rPr>
              <w:t>Thirteen Weeks Ended</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4"/>
              </w:rPr>
              <w:t>Twenty-Six Weeks Ended</w:t>
            </w:r>
          </w:p>
        </w:tc>
      </w:tr>
      <w:tr>
        <w:trPr>
          <w:trHeight w:val="142"/>
        </w:trPr>
        <w:tc>
          <w:tcPr>
            <w:tcW w:w="4780" w:type="dxa"/>
            <w:vAlign w:val="bottom"/>
          </w:tcPr>
          <w:p>
            <w:pPr>
              <w:spacing w:after="0"/>
              <w:rPr>
                <w:sz w:val="12"/>
                <w:szCs w:val="12"/>
                <w:color w:val="auto"/>
              </w:rPr>
            </w:pPr>
          </w:p>
        </w:tc>
        <w:tc>
          <w:tcPr>
            <w:tcW w:w="10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June 28, 2023</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29, 2022</w:t>
            </w:r>
          </w:p>
        </w:tc>
        <w:tc>
          <w:tcPr>
            <w:tcW w:w="16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28, 2023</w:t>
            </w:r>
          </w:p>
        </w:tc>
        <w:tc>
          <w:tcPr>
            <w:tcW w:w="14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29, 2022</w:t>
            </w: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hedged portion of debt</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Interest (income) expense on interest rate swap</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0"/>
        </w:trPr>
        <w:tc>
          <w:tcPr>
            <w:tcW w:w="4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(income) expense on debt and derivatives, net</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The following table summarizes the effect of the Company’s cash flow hedge accounting on AOCI for the thirteen and twenty-six weeks ended June 28, 2023 and June 29, 2022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Thirteen Weeks Ended</w:t>
            </w: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Twenty-Six Weeks Ended</w:t>
            </w:r>
          </w:p>
        </w:tc>
        <w:tc>
          <w:tcPr>
            <w:tcW w:w="1020" w:type="dxa"/>
            <w:vAlign w:val="bottom"/>
            <w:tcBorders>
              <w:bottom w:val="single" w:sz="8" w:color="auto"/>
            </w:tcBorders>
          </w:tcPr>
          <w:p>
            <w:pPr>
              <w:spacing w:after="0"/>
              <w:rPr>
                <w:sz w:val="14"/>
                <w:szCs w:val="14"/>
                <w:color w:val="auto"/>
              </w:rPr>
            </w:pPr>
          </w:p>
        </w:tc>
      </w:tr>
      <w:tr>
        <w:trPr>
          <w:trHeight w:val="119"/>
        </w:trPr>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4"/>
          </w:tcPr>
          <w:p>
            <w:pPr>
              <w:jc w:val="right"/>
              <w:ind w:right="168"/>
              <w:spacing w:after="0" w:line="119" w:lineRule="exact"/>
              <w:rPr>
                <w:sz w:val="20"/>
                <w:szCs w:val="20"/>
                <w:color w:val="auto"/>
              </w:rPr>
            </w:pPr>
            <w:r>
              <w:rPr>
                <w:rFonts w:ascii="Arial" w:cs="Arial" w:eastAsia="Arial" w:hAnsi="Arial"/>
                <w:sz w:val="13"/>
                <w:szCs w:val="13"/>
                <w:b w:val="1"/>
                <w:bCs w:val="1"/>
                <w:color w:val="auto"/>
              </w:rPr>
              <w:t>(Gain) Loss Reclassified from</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40" w:type="dxa"/>
            <w:vAlign w:val="bottom"/>
            <w:gridSpan w:val="4"/>
          </w:tcPr>
          <w:p>
            <w:pPr>
              <w:jc w:val="right"/>
              <w:ind w:right="188"/>
              <w:spacing w:after="0" w:line="119" w:lineRule="exact"/>
              <w:rPr>
                <w:sz w:val="20"/>
                <w:szCs w:val="20"/>
                <w:color w:val="auto"/>
              </w:rPr>
            </w:pPr>
            <w:r>
              <w:rPr>
                <w:rFonts w:ascii="Arial" w:cs="Arial" w:eastAsia="Arial" w:hAnsi="Arial"/>
                <w:sz w:val="13"/>
                <w:szCs w:val="13"/>
                <w:b w:val="1"/>
                <w:bCs w:val="1"/>
                <w:color w:val="auto"/>
              </w:rPr>
              <w:t>(Gain) Loss Reclassified from</w:t>
            </w:r>
          </w:p>
        </w:tc>
      </w:tr>
      <w:tr>
        <w:trPr>
          <w:trHeight w:val="171"/>
        </w:trPr>
        <w:tc>
          <w:tcPr>
            <w:tcW w:w="480" w:type="dxa"/>
            <w:vAlign w:val="bottom"/>
          </w:tcPr>
          <w:p>
            <w:pPr>
              <w:spacing w:after="0"/>
              <w:rPr>
                <w:sz w:val="14"/>
                <w:szCs w:val="14"/>
                <w:color w:val="auto"/>
              </w:rPr>
            </w:pPr>
          </w:p>
        </w:tc>
        <w:tc>
          <w:tcPr>
            <w:tcW w:w="5980" w:type="dxa"/>
            <w:vAlign w:val="bottom"/>
            <w:gridSpan w:val="17"/>
          </w:tcPr>
          <w:p>
            <w:pPr>
              <w:spacing w:after="0"/>
              <w:rPr>
                <w:sz w:val="20"/>
                <w:szCs w:val="20"/>
                <w:color w:val="auto"/>
              </w:rPr>
            </w:pPr>
            <w:r>
              <w:rPr>
                <w:rFonts w:ascii="Arial" w:cs="Arial" w:eastAsia="Arial" w:hAnsi="Arial"/>
                <w:sz w:val="14"/>
                <w:szCs w:val="14"/>
                <w:b w:val="1"/>
                <w:bCs w:val="1"/>
                <w:color w:val="auto"/>
                <w:w w:val="95"/>
              </w:rPr>
              <w:t>Net Gain Recognized in OCI AOCI into Interest (Income) Expense Net Gain Recognized in OCI</w:t>
            </w:r>
          </w:p>
        </w:tc>
        <w:tc>
          <w:tcPr>
            <w:tcW w:w="140" w:type="dxa"/>
            <w:vAlign w:val="bottom"/>
          </w:tcPr>
          <w:p>
            <w:pPr>
              <w:spacing w:after="0"/>
              <w:rPr>
                <w:sz w:val="14"/>
                <w:szCs w:val="14"/>
                <w:color w:val="auto"/>
              </w:rPr>
            </w:pPr>
          </w:p>
        </w:tc>
        <w:tc>
          <w:tcPr>
            <w:tcW w:w="2320" w:type="dxa"/>
            <w:vAlign w:val="bottom"/>
            <w:gridSpan w:val="5"/>
          </w:tcPr>
          <w:p>
            <w:pPr>
              <w:spacing w:after="0"/>
              <w:rPr>
                <w:sz w:val="20"/>
                <w:szCs w:val="20"/>
                <w:color w:val="auto"/>
              </w:rPr>
            </w:pPr>
            <w:r>
              <w:rPr>
                <w:rFonts w:ascii="Arial" w:cs="Arial" w:eastAsia="Arial" w:hAnsi="Arial"/>
                <w:sz w:val="14"/>
                <w:szCs w:val="14"/>
                <w:b w:val="1"/>
                <w:bCs w:val="1"/>
                <w:color w:val="auto"/>
                <w:w w:val="94"/>
              </w:rPr>
              <w:t>AOCI into Interest (Income) Expense</w:t>
            </w:r>
          </w:p>
        </w:tc>
      </w:tr>
      <w:tr>
        <w:trPr>
          <w:trHeight w:val="142"/>
        </w:trPr>
        <w:tc>
          <w:tcPr>
            <w:tcW w:w="480" w:type="dxa"/>
            <w:vAlign w:val="bottom"/>
          </w:tcPr>
          <w:p>
            <w:pPr>
              <w:spacing w:after="0"/>
              <w:rPr>
                <w:sz w:val="12"/>
                <w:szCs w:val="12"/>
                <w:color w:val="auto"/>
              </w:rPr>
            </w:pPr>
          </w:p>
        </w:tc>
        <w:tc>
          <w:tcPr>
            <w:tcW w:w="1760" w:type="dxa"/>
            <w:vAlign w:val="bottom"/>
            <w:tcBorders>
              <w:top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2"/>
              </w:rPr>
              <w:t>June 28, 2023 June 29, 2022</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June 28, 2023</w:t>
            </w:r>
          </w:p>
        </w:tc>
        <w:tc>
          <w:tcPr>
            <w:tcW w:w="100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2"/>
              </w:rPr>
              <w:t>June 29, 2022</w:t>
            </w:r>
          </w:p>
        </w:tc>
        <w:tc>
          <w:tcPr>
            <w:tcW w:w="40" w:type="dxa"/>
            <w:vAlign w:val="bottom"/>
          </w:tcPr>
          <w:p>
            <w:pPr>
              <w:spacing w:after="0"/>
              <w:rPr>
                <w:sz w:val="12"/>
                <w:szCs w:val="12"/>
                <w:color w:val="auto"/>
              </w:rPr>
            </w:pPr>
          </w:p>
        </w:tc>
        <w:tc>
          <w:tcPr>
            <w:tcW w:w="96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June 28, 2023</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June 29, 2022</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June 28, 2023</w:t>
            </w:r>
          </w:p>
        </w:tc>
        <w:tc>
          <w:tcPr>
            <w:tcW w:w="10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June 29, 2022</w:t>
            </w:r>
          </w:p>
        </w:tc>
      </w:tr>
      <w:tr>
        <w:trPr>
          <w:trHeight w:val="123"/>
        </w:trPr>
        <w:tc>
          <w:tcPr>
            <w:tcW w:w="48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w w:val="94"/>
              </w:rPr>
              <w:t>Interest</w:t>
            </w:r>
          </w:p>
        </w:tc>
        <w:tc>
          <w:tcPr>
            <w:tcW w:w="3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r>
      <w:tr>
        <w:trPr>
          <w:trHeight w:val="149"/>
        </w:trPr>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rate</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7"/>
        </w:trPr>
        <w:tc>
          <w:tcPr>
            <w:tcW w:w="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swap   $</w:t>
            </w:r>
          </w:p>
        </w:tc>
        <w:tc>
          <w:tcPr>
            <w:tcW w:w="8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  $</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347 $</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(85)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(170)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bl>
    <w:p>
      <w:pPr>
        <w:spacing w:after="0" w:line="20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See Note 1, “Basis of Presentation and Summary of Significant Accounting Policies” for information about the fair value of the Company’s derivative asset.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28, 2023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28, 2022</w:t>
            </w: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and property taxes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Gift card liability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rewards program liability</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Accrued advertising</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legal settlements and professional fees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Deferred franchise and development fees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Total other accrued expenses and current liabilities</w:t>
            </w:r>
          </w:p>
        </w:tc>
        <w:tc>
          <w:tcPr>
            <w:tcW w:w="8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15,120</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6. OTHER NONCURRENT LIABILITIES</w:t>
            </w: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tcPr>
          <w:p>
            <w:pPr>
              <w:ind w:left="2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June 28, 2023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28, 2022</w:t>
            </w: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franchise and development fees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Company is involved in various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condensed consolidated financial condition, results of operations, and cash flows.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Purchasing Commitments</w:t>
      </w:r>
    </w:p>
    <w:p>
      <w:pPr>
        <w:spacing w:after="0" w:line="229"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June 28, 2023, the Company’s total estimated commitment to purchase chicken was $24.4 million.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Contingent Lease Obligations</w:t>
      </w:r>
    </w:p>
    <w:p>
      <w:pPr>
        <w:spacing w:after="0" w:line="229"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three lease agreements. These leases have various terms, the latest of which expires in 2038. As of June 28, 2023, the potential amount of undiscounted payments the Company could be required to make in the event of non-payment by the primary lessee was $4.0 million. The present value of these potential payments discounted at the Company’s estimated pre-tax cost of debt at June 28, 2023 was $2.7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0" w:right="620"/>
        <w:spacing w:after="0" w:line="263" w:lineRule="auto"/>
        <w:rPr>
          <w:sz w:val="20"/>
          <w:szCs w:val="20"/>
          <w:color w:val="auto"/>
        </w:rPr>
      </w:pPr>
      <w:r>
        <w:rPr>
          <w:rFonts w:ascii="Arial" w:cs="Arial" w:eastAsia="Arial" w:hAnsi="Arial"/>
          <w:sz w:val="18"/>
          <w:szCs w:val="18"/>
          <w:color w:val="auto"/>
        </w:rPr>
        <w:t>As of June 28, 2023, the Company had employment agreements with two of the officers of the Company. These agreements provide for minimum salary levels, possible annual adjustments for cost-of-living changes, and incentive bonuses that are payable under certain business conditions.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60" w:right="220"/>
        <w:spacing w:after="0" w:line="257"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EARNINGS PER SHARE</w:t>
      </w:r>
    </w:p>
    <w:p>
      <w:pPr>
        <w:spacing w:after="0" w:line="229" w:lineRule="exact"/>
        <w:rPr>
          <w:sz w:val="20"/>
          <w:szCs w:val="20"/>
          <w:color w:val="auto"/>
        </w:rPr>
      </w:pPr>
    </w:p>
    <w:p>
      <w:pPr>
        <w:ind w:left="60" w:right="240"/>
        <w:spacing w:after="0" w:line="259" w:lineRule="auto"/>
        <w:rPr>
          <w:sz w:val="20"/>
          <w:szCs w:val="20"/>
          <w:color w:val="auto"/>
        </w:rPr>
      </w:pPr>
      <w:r>
        <w:rPr>
          <w:rFonts w:ascii="Arial" w:cs="Arial" w:eastAsia="Arial" w:hAnsi="Arial"/>
          <w:sz w:val="18"/>
          <w:szCs w:val="18"/>
          <w:color w:val="auto"/>
        </w:rPr>
        <w:t>Basic earnings per share (“EPS”) is calculated using the weighted-average number of shares of common stock outstanding during the thirteen and twenty-six weeks ended June 28, 2023 and June 29, 2022. Diluted EPS is calculated using the weighted-average number of shares of common stock outstanding and potentially dilutive during the period, using the treasury stock method.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Below are basic and diluted EPS data for the periods indicated (in thousands except for share and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293"/>
              <w:spacing w:after="0"/>
              <w:rPr>
                <w:sz w:val="20"/>
                <w:szCs w:val="20"/>
                <w:color w:val="auto"/>
              </w:rPr>
            </w:pPr>
            <w:r>
              <w:rPr>
                <w:rFonts w:ascii="Arial" w:cs="Arial" w:eastAsia="Arial" w:hAnsi="Arial"/>
                <w:sz w:val="14"/>
                <w:szCs w:val="14"/>
                <w:b w:val="1"/>
                <w:bCs w:val="1"/>
                <w:color w:val="auto"/>
                <w:w w:val="99"/>
              </w:rPr>
              <w:t>Thirteen Weeks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gridSpan w:val="8"/>
          </w:tcPr>
          <w:p>
            <w:pPr>
              <w:ind w:left="18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7"/>
              </w:rPr>
              <w:t>June 28, 2023</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29, 2022</w:t>
            </w: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0"/>
              </w:rPr>
              <w:t>June 28, 2023</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0"/>
              </w:rPr>
              <w:t>June 29, 2022</w:t>
            </w:r>
          </w:p>
        </w:tc>
        <w:tc>
          <w:tcPr>
            <w:tcW w:w="140" w:type="dxa"/>
            <w:vAlign w:val="bottom"/>
          </w:tcPr>
          <w:p>
            <w:pPr>
              <w:spacing w:after="0"/>
              <w:rPr>
                <w:sz w:val="12"/>
                <w:szCs w:val="12"/>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7,056</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7,141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11,974</w:t>
            </w:r>
          </w:p>
        </w:tc>
        <w:tc>
          <w:tcPr>
            <w:tcW w:w="60" w:type="dxa"/>
            <w:vAlign w:val="bottom"/>
          </w:tcPr>
          <w:p>
            <w:pPr>
              <w:spacing w:after="0"/>
              <w:rPr>
                <w:sz w:val="18"/>
                <w:szCs w:val="18"/>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9,256</w:t>
            </w:r>
          </w:p>
        </w:tc>
        <w:tc>
          <w:tcPr>
            <w:tcW w:w="140" w:type="dxa"/>
            <w:vAlign w:val="bottom"/>
          </w:tcPr>
          <w:p>
            <w:pPr>
              <w:spacing w:after="0"/>
              <w:rPr>
                <w:sz w:val="18"/>
                <w:szCs w:val="18"/>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Weighted-average shares outstanding—basic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35,433,414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36,331,099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5"/>
              </w:rPr>
              <w:t>35,833,759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36,278,423</w:t>
            </w:r>
          </w:p>
        </w:tc>
        <w:tc>
          <w:tcPr>
            <w:tcW w:w="140" w:type="dxa"/>
            <w:vAlign w:val="bottom"/>
          </w:tcPr>
          <w:p>
            <w:pPr>
              <w:spacing w:after="0"/>
              <w:rPr>
                <w:sz w:val="18"/>
                <w:szCs w:val="18"/>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outstanding—diluted</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35,534,104</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36,473,960</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36,018,288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36,478,808</w:t>
            </w:r>
          </w:p>
        </w:tc>
        <w:tc>
          <w:tcPr>
            <w:tcW w:w="140" w:type="dxa"/>
            <w:vAlign w:val="bottom"/>
            <w:shd w:val="clear" w:color="auto" w:fill="CCEEFF"/>
          </w:tcPr>
          <w:p>
            <w:pPr>
              <w:spacing w:after="0"/>
              <w:rPr>
                <w:sz w:val="18"/>
                <w:szCs w:val="18"/>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8"/>
                <w:szCs w:val="18"/>
                <w:color w:val="auto"/>
              </w:rPr>
              <w:t>Net income per share—basic</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8"/>
                <w:szCs w:val="18"/>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8"/>
                <w:szCs w:val="18"/>
                <w:color w:val="auto"/>
              </w:rPr>
            </w:pPr>
          </w:p>
        </w:tc>
      </w:tr>
      <w:tr>
        <w:trPr>
          <w:trHeight w:val="182"/>
        </w:trPr>
        <w:tc>
          <w:tcPr>
            <w:tcW w:w="4400" w:type="dxa"/>
            <w:vAlign w:val="bottom"/>
          </w:tcPr>
          <w:p>
            <w:pPr>
              <w:ind w:left="20"/>
              <w:spacing w:after="0" w:line="182" w:lineRule="exact"/>
              <w:rPr>
                <w:sz w:val="20"/>
                <w:szCs w:val="20"/>
                <w:color w:val="auto"/>
              </w:rPr>
            </w:pPr>
            <w:r>
              <w:rPr>
                <w:rFonts w:ascii="Arial" w:cs="Arial" w:eastAsia="Arial" w:hAnsi="Arial"/>
                <w:sz w:val="18"/>
                <w:szCs w:val="18"/>
                <w:color w:val="auto"/>
              </w:rPr>
              <w:t>Anti-dilutive securities not considered in diluted EPS</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calculation</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1,103,710</w:t>
            </w: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952,517</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759,112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597,201</w:t>
            </w:r>
          </w:p>
        </w:tc>
        <w:tc>
          <w:tcPr>
            <w:tcW w:w="140" w:type="dxa"/>
            <w:vAlign w:val="bottom"/>
          </w:tcPr>
          <w:p>
            <w:pPr>
              <w:spacing w:after="0"/>
              <w:rPr>
                <w:sz w:val="20"/>
                <w:szCs w:val="20"/>
                <w:color w:val="auto"/>
              </w:rPr>
            </w:pPr>
          </w:p>
        </w:tc>
      </w:tr>
      <w:tr>
        <w:trPr>
          <w:trHeight w:val="426"/>
        </w:trPr>
        <w:tc>
          <w:tcPr>
            <w:tcW w:w="4400" w:type="dxa"/>
            <w:vAlign w:val="bottom"/>
          </w:tcPr>
          <w:p>
            <w:pPr>
              <w:ind w:left="20"/>
              <w:spacing w:after="0"/>
              <w:rPr>
                <w:sz w:val="20"/>
                <w:szCs w:val="20"/>
                <w:color w:val="auto"/>
              </w:rPr>
            </w:pPr>
            <w:r>
              <w:rPr>
                <w:rFonts w:ascii="Arial" w:cs="Arial" w:eastAsia="Arial" w:hAnsi="Arial"/>
                <w:sz w:val="18"/>
                <w:szCs w:val="18"/>
                <w:color w:val="auto"/>
                <w:w w:val="93"/>
              </w:rPr>
              <w:t>Below is a reconciliation of basic and diluted share counts: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26"/>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5"/>
          </w:tcPr>
          <w:p>
            <w:pPr>
              <w:jc w:val="right"/>
              <w:ind w:right="153"/>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8"/>
          </w:tcPr>
          <w:p>
            <w:pPr>
              <w:ind w:left="18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28, 2023</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June 29, 2022</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June 28, 2023</w:t>
            </w:r>
          </w:p>
        </w:tc>
        <w:tc>
          <w:tcPr>
            <w:tcW w:w="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6"/>
              </w:rPr>
              <w:t>June 29, 2022</w:t>
            </w:r>
          </w:p>
        </w:tc>
        <w:tc>
          <w:tcPr>
            <w:tcW w:w="280" w:type="dxa"/>
            <w:vAlign w:val="bottom"/>
            <w:gridSpan w:val="2"/>
          </w:tcPr>
          <w:p>
            <w:pPr>
              <w:spacing w:after="0"/>
              <w:rPr>
                <w:sz w:val="12"/>
                <w:szCs w:val="12"/>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outstanding—basic</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35,433,414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36,331,099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35,833,759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36,278,423</w:t>
            </w:r>
          </w:p>
        </w:tc>
        <w:tc>
          <w:tcPr>
            <w:tcW w:w="1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Dilutive effect of stock options and restricted 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100,690</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184,529</w:t>
            </w: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outstanding—diluted</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35,534,104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36,473,960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36,018,288</w:t>
            </w: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36,478,808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RELATED PARTY TRANSACTIONS</w:t>
      </w:r>
    </w:p>
    <w:p>
      <w:pPr>
        <w:spacing w:after="0" w:line="229" w:lineRule="exact"/>
        <w:rPr>
          <w:sz w:val="20"/>
          <w:szCs w:val="20"/>
          <w:color w:val="auto"/>
        </w:rPr>
      </w:pPr>
    </w:p>
    <w:p>
      <w:pPr>
        <w:ind w:left="60" w:right="280"/>
        <w:spacing w:after="0" w:line="259" w:lineRule="auto"/>
        <w:rPr>
          <w:sz w:val="20"/>
          <w:szCs w:val="20"/>
          <w:color w:val="auto"/>
        </w:rPr>
      </w:pPr>
      <w:r>
        <w:rPr>
          <w:rFonts w:ascii="Arial" w:cs="Arial" w:eastAsia="Arial" w:hAnsi="Arial"/>
          <w:sz w:val="18"/>
          <w:szCs w:val="18"/>
          <w:color w:val="auto"/>
        </w:rPr>
        <w:t>On March 28, 2023, Trimaran Pollo Partners, L.L.C. (“LLC”) and certain of LLC’s affiliates (collectively, the “Trimaran Group”) distributed substantially all of the shares of the Company’s common stock held by the Trimaran Group to their respective investors, members and limited partners. The Trimaran Group intends to subsequently liquidate or distribute its remaining assets and wind up.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40" w:top="517" w:right="1359"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right="4319" w:hanging="10"/>
        <w:spacing w:after="0" w:line="503" w:lineRule="auto"/>
        <w:tabs>
          <w:tab w:leader="none" w:pos="33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two revenue streams, company-operated restaurant revenue and franchise related revenue.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Company-operated restaurant revenue</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84"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The Company offers a loyalty rewards program, which awards a customer points for dollars spent.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both June 28, 2023 and December 28, 2022, the revenue allocated to loyalty points that have not been redeemed was $0.5 million, which is reflected in the Company’s accompanying condensed consolidated balance sheets within other accrued expenses and current liabilities. The Company expects the loyalty points to be redeemed and recognized over a one-year period.</w:t>
      </w:r>
    </w:p>
    <w:p>
      <w:pPr>
        <w:spacing w:after="0" w:line="168"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225"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149" w:lineRule="exact"/>
        <w:rPr>
          <w:sz w:val="20"/>
          <w:szCs w:val="20"/>
          <w:color w:val="auto"/>
        </w:rPr>
      </w:pPr>
    </w:p>
    <w:p>
      <w:pPr>
        <w:ind w:left="720" w:right="239" w:hanging="319"/>
        <w:spacing w:after="0" w:line="258"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Discounted renewal option.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211"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7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pacing w:after="0" w:line="188"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June 28, 2023, there were no performance obligations related to hardware services that were unsatisfied or partially satisfied.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presents the Company’s revenues disaggregated by revenue source and market (in thousands):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w w:val="94"/>
              </w:rPr>
              <w:t>Thirteen Weeks Ended</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22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8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93"/>
              </w:rPr>
              <w:t>June 28, 2023 June 29, 2022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June 28, 2023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June 29, 2022</w:t>
            </w:r>
          </w:p>
        </w:tc>
      </w:tr>
      <w:tr>
        <w:trPr>
          <w:trHeight w:val="210"/>
        </w:trPr>
        <w:tc>
          <w:tcPr>
            <w:tcW w:w="5040" w:type="dxa"/>
            <w:vAlign w:val="bottom"/>
            <w:tcBorders>
              <w:top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b w:val="1"/>
                <w:bCs w:val="1"/>
                <w:color w:val="auto"/>
              </w:rPr>
              <w:t>Core Market</w:t>
            </w:r>
            <w:r>
              <w:rPr>
                <w:rFonts w:ascii="Arial" w:cs="Arial" w:eastAsia="Arial" w:hAnsi="Arial"/>
                <w:sz w:val="24"/>
                <w:szCs w:val="24"/>
                <w:b w:val="1"/>
                <w:bCs w:val="1"/>
                <w:color w:val="auto"/>
                <w:vertAlign w:val="superscript"/>
              </w:rPr>
              <w:t>(1)</w:t>
            </w:r>
            <w:r>
              <w:rPr>
                <w:rFonts w:ascii="Arial" w:cs="Arial" w:eastAsia="Arial" w:hAnsi="Arial"/>
                <w:sz w:val="17"/>
                <w:szCs w:val="17"/>
                <w:b w:val="1"/>
                <w:bCs w:val="1"/>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Company-operated restaurant revenue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98,697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101,440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191,568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191,066</w:t>
            </w:r>
          </w:p>
        </w:tc>
        <w:tc>
          <w:tcPr>
            <w:tcW w:w="4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revenue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Franchise advertising fee revenue</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w:t>
            </w:r>
          </w:p>
        </w:tc>
        <w:tc>
          <w:tcPr>
            <w:tcW w:w="40" w:type="dxa"/>
            <w:vAlign w:val="bottom"/>
          </w:tcPr>
          <w:p>
            <w:pPr>
              <w:spacing w:after="0"/>
              <w:rPr>
                <w:sz w:val="18"/>
                <w:szCs w:val="18"/>
                <w:color w:val="auto"/>
              </w:rPr>
            </w:pPr>
          </w:p>
        </w:tc>
      </w:tr>
      <w:tr>
        <w:trPr>
          <w:trHeight w:val="210"/>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core market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106,980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109,622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206,795</w:t>
            </w:r>
          </w:p>
        </w:tc>
        <w:tc>
          <w:tcPr>
            <w:tcW w:w="40" w:type="dxa"/>
            <w:vAlign w:val="bottom"/>
            <w:shd w:val="clear" w:color="auto" w:fill="CCEEFF"/>
          </w:tcPr>
          <w:p>
            <w:pPr>
              <w:spacing w:after="0"/>
              <w:rPr>
                <w:sz w:val="18"/>
                <w:szCs w:val="18"/>
                <w:color w:val="auto"/>
              </w:rPr>
            </w:pPr>
          </w:p>
        </w:tc>
      </w:tr>
      <w:tr>
        <w:trPr>
          <w:trHeight w:val="209"/>
        </w:trPr>
        <w:tc>
          <w:tcPr>
            <w:tcW w:w="5040" w:type="dxa"/>
            <w:vAlign w:val="bottom"/>
            <w:tcBorders>
              <w:top w:val="single" w:sz="8" w:color="CCEEFF"/>
            </w:tcBorders>
            <w:gridSpan w:val="2"/>
          </w:tcPr>
          <w:p>
            <w:pPr>
              <w:ind w:left="20"/>
              <w:spacing w:after="0" w:line="210" w:lineRule="exact"/>
              <w:rPr>
                <w:sz w:val="20"/>
                <w:szCs w:val="20"/>
                <w:color w:val="auto"/>
              </w:rPr>
            </w:pPr>
            <w:r>
              <w:rPr>
                <w:rFonts w:ascii="Arial" w:cs="Arial" w:eastAsia="Arial" w:hAnsi="Arial"/>
                <w:sz w:val="17"/>
                <w:szCs w:val="17"/>
                <w:b w:val="1"/>
                <w:bCs w:val="1"/>
                <w:color w:val="auto"/>
              </w:rPr>
              <w:t>Non-Core Market</w:t>
            </w:r>
            <w:r>
              <w:rPr>
                <w:rFonts w:ascii="Arial" w:cs="Arial" w:eastAsia="Arial" w:hAnsi="Arial"/>
                <w:sz w:val="24"/>
                <w:szCs w:val="24"/>
                <w:b w:val="1"/>
                <w:bCs w:val="1"/>
                <w:color w:val="auto"/>
                <w:vertAlign w:val="superscript"/>
              </w:rPr>
              <w:t>(2)</w:t>
            </w:r>
            <w:r>
              <w:rPr>
                <w:rFonts w:ascii="Arial" w:cs="Arial" w:eastAsia="Arial" w:hAnsi="Arial"/>
                <w:sz w:val="17"/>
                <w:szCs w:val="17"/>
                <w:b w:val="1"/>
                <w:bCs w:val="1"/>
                <w:color w:val="auto"/>
              </w:rPr>
              <w:t>:</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5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Company-operated restaurant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Franchise revenue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10,262</w:t>
            </w:r>
          </w:p>
        </w:tc>
        <w:tc>
          <w:tcPr>
            <w:tcW w:w="40" w:type="dxa"/>
            <w:vAlign w:val="bottom"/>
          </w:tcPr>
          <w:p>
            <w:pPr>
              <w:spacing w:after="0"/>
              <w:rPr>
                <w:sz w:val="18"/>
                <w:szCs w:val="18"/>
                <w:color w:val="auto"/>
              </w:rPr>
            </w:pPr>
          </w:p>
        </w:tc>
      </w:tr>
      <w:tr>
        <w:trPr>
          <w:trHeight w:val="216"/>
        </w:trPr>
        <w:tc>
          <w:tcPr>
            <w:tcW w:w="5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23"/>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Total non-core market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14,489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27,364</w:t>
            </w:r>
          </w:p>
        </w:tc>
        <w:tc>
          <w:tcPr>
            <w:tcW w:w="40" w:type="dxa"/>
            <w:vAlign w:val="bottom"/>
          </w:tcPr>
          <w:p>
            <w:pPr>
              <w:spacing w:after="0"/>
              <w:rPr>
                <w:sz w:val="19"/>
                <w:szCs w:val="19"/>
                <w:color w:val="auto"/>
              </w:rPr>
            </w:pPr>
          </w:p>
        </w:tc>
      </w:tr>
      <w:tr>
        <w:trPr>
          <w:trHeight w:val="210"/>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121,492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124,111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236,018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234,159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67" w:lineRule="exact"/>
        <w:rPr>
          <w:sz w:val="20"/>
          <w:szCs w:val="20"/>
          <w:color w:val="auto"/>
        </w:rPr>
      </w:pPr>
    </w:p>
    <w:p>
      <w:pPr>
        <w:ind w:left="380" w:right="599" w:hanging="330"/>
        <w:spacing w:after="0" w:line="207" w:lineRule="auto"/>
        <w:tabs>
          <w:tab w:leader="none" w:pos="38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Core Market includes markets with existing company-operated restaurants at the time of the Company’s IPO on July 28, 2014.</w:t>
      </w:r>
    </w:p>
    <w:p>
      <w:pPr>
        <w:ind w:left="380" w:hanging="330"/>
        <w:spacing w:after="0" w:line="180"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7"/>
          <w:szCs w:val="17"/>
          <w:color w:val="auto"/>
        </w:rPr>
        <w:t>Non-Core Market includes markets entered into by the Company subsequent to the IPO date.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revenues disaggregated by geographic market:</w:t>
      </w:r>
    </w:p>
    <w:p>
      <w:pPr>
        <w:spacing w:after="0" w:line="311" w:lineRule="exact"/>
        <w:rPr>
          <w:sz w:val="20"/>
          <w:szCs w:val="20"/>
          <w:color w:val="auto"/>
        </w:rPr>
      </w:pPr>
    </w:p>
    <w:tbl>
      <w:tblPr>
        <w:tblLayout w:type="fixed"/>
        <w:tblInd w:w="4660" w:type="dxa"/>
        <w:tblCellMar>
          <w:top w:w="0" w:type="dxa"/>
          <w:left w:w="0" w:type="dxa"/>
          <w:bottom w:w="0" w:type="dxa"/>
          <w:right w:w="0" w:type="dxa"/>
        </w:tblCellMar>
      </w:tblPr>
      <w:tr>
        <w:trPr>
          <w:trHeight w:val="171"/>
        </w:trPr>
        <w:tc>
          <w:tcPr>
            <w:tcW w:w="19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4"/>
                <w:szCs w:val="14"/>
                <w:color w:val="auto"/>
              </w:rPr>
            </w:pPr>
          </w:p>
        </w:tc>
        <w:tc>
          <w:tcPr>
            <w:tcW w:w="2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980" w:type="dxa"/>
            <w:vAlign w:val="bottom"/>
          </w:tcPr>
          <w:p>
            <w:pPr>
              <w:spacing w:after="0" w:line="142" w:lineRule="exact"/>
              <w:rPr>
                <w:sz w:val="20"/>
                <w:szCs w:val="20"/>
                <w:color w:val="auto"/>
              </w:rPr>
            </w:pPr>
            <w:r>
              <w:rPr>
                <w:rFonts w:ascii="Arial" w:cs="Arial" w:eastAsia="Arial" w:hAnsi="Arial"/>
                <w:sz w:val="14"/>
                <w:szCs w:val="14"/>
                <w:b w:val="1"/>
                <w:bCs w:val="1"/>
                <w:color w:val="auto"/>
              </w:rPr>
              <w:t>June 28, 2023</w:t>
            </w:r>
          </w:p>
        </w:tc>
        <w:tc>
          <w:tcPr>
            <w:tcW w:w="1000" w:type="dxa"/>
            <w:vAlign w:val="bottom"/>
          </w:tcPr>
          <w:p>
            <w:pPr>
              <w:ind w:left="160"/>
              <w:spacing w:after="0" w:line="142" w:lineRule="exact"/>
              <w:rPr>
                <w:sz w:val="20"/>
                <w:szCs w:val="20"/>
                <w:color w:val="auto"/>
              </w:rPr>
            </w:pPr>
            <w:r>
              <w:rPr>
                <w:rFonts w:ascii="Arial" w:cs="Arial" w:eastAsia="Arial" w:hAnsi="Arial"/>
                <w:sz w:val="14"/>
                <w:szCs w:val="14"/>
                <w:b w:val="1"/>
                <w:bCs w:val="1"/>
                <w:color w:val="auto"/>
                <w:w w:val="90"/>
              </w:rPr>
              <w:t>June 29, 2022</w:t>
            </w:r>
          </w:p>
        </w:tc>
        <w:tc>
          <w:tcPr>
            <w:tcW w:w="180" w:type="dxa"/>
            <w:vAlign w:val="bottom"/>
          </w:tcPr>
          <w:p>
            <w:pPr>
              <w:spacing w:after="0"/>
              <w:rPr>
                <w:sz w:val="12"/>
                <w:szCs w:val="12"/>
                <w:color w:val="auto"/>
              </w:rPr>
            </w:pPr>
          </w:p>
        </w:tc>
        <w:tc>
          <w:tcPr>
            <w:tcW w:w="10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June 28, 2023</w:t>
            </w:r>
          </w:p>
        </w:tc>
        <w:tc>
          <w:tcPr>
            <w:tcW w:w="10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w w:val="92"/>
              </w:rPr>
              <w:t>June 29, 2022</w:t>
            </w:r>
          </w:p>
        </w:tc>
      </w:tr>
    </w:tbl>
    <w:p>
      <w:pPr>
        <w:spacing w:after="0" w:line="1" w:lineRule="exact"/>
        <w:rPr>
          <w:sz w:val="20"/>
          <w:szCs w:val="20"/>
          <w:color w:val="auto"/>
        </w:rPr>
      </w:pPr>
    </w:p>
    <w:p>
      <w:pPr>
        <w:sectPr>
          <w:pgSz w:w="11900" w:h="16838" w:orient="portrait"/>
          <w:cols w:equalWidth="0" w:num="1">
            <w:col w:w="9019"/>
          </w:cols>
          <w:pgMar w:left="1440" w:top="517" w:right="1440" w:bottom="1440" w:gutter="0" w:footer="0" w:header="0"/>
        </w:sectPr>
      </w:pPr>
    </w:p>
    <w:p>
      <w:pPr>
        <w:ind w:left="20" w:right="1560"/>
        <w:spacing w:after="0" w:line="273" w:lineRule="auto"/>
        <w:rPr>
          <w:sz w:val="20"/>
          <w:szCs w:val="20"/>
          <w:color w:val="auto"/>
        </w:rPr>
      </w:pPr>
      <w:r>
        <w:rPr>
          <w:rFonts w:ascii="Arial" w:cs="Arial" w:eastAsia="Arial" w:hAnsi="Arial"/>
          <w:sz w:val="18"/>
          <w:szCs w:val="18"/>
          <w:color w:val="auto"/>
        </w:rPr>
        <w:t>Greater Los Angeles area market Other markets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120" w:type="dxa"/>
            <w:vAlign w:val="bottom"/>
            <w:gridSpan w:val="2"/>
          </w:tcPr>
          <w:p>
            <w:pPr>
              <w:jc w:val="right"/>
              <w:ind w:right="30"/>
              <w:spacing w:after="0" w:line="176" w:lineRule="exact"/>
              <w:rPr>
                <w:sz w:val="20"/>
                <w:szCs w:val="20"/>
                <w:color w:val="auto"/>
              </w:rPr>
            </w:pPr>
            <w:r>
              <w:rPr>
                <w:rFonts w:ascii="Arial" w:cs="Arial" w:eastAsia="Arial" w:hAnsi="Arial"/>
                <w:sz w:val="18"/>
                <w:szCs w:val="18"/>
                <w:color w:val="auto"/>
              </w:rPr>
              <w:t>70.9 %</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70.9 %</w:t>
            </w:r>
          </w:p>
        </w:tc>
        <w:tc>
          <w:tcPr>
            <w:tcW w:w="1120" w:type="dxa"/>
            <w:vAlign w:val="bottom"/>
            <w:gridSpan w:val="2"/>
          </w:tcPr>
          <w:p>
            <w:pPr>
              <w:jc w:val="right"/>
              <w:ind w:right="30"/>
              <w:spacing w:after="0" w:line="176" w:lineRule="exact"/>
              <w:rPr>
                <w:sz w:val="20"/>
                <w:szCs w:val="20"/>
                <w:color w:val="auto"/>
              </w:rPr>
            </w:pPr>
            <w:r>
              <w:rPr>
                <w:rFonts w:ascii="Arial" w:cs="Arial" w:eastAsia="Arial" w:hAnsi="Arial"/>
                <w:sz w:val="18"/>
                <w:szCs w:val="18"/>
                <w:color w:val="auto"/>
              </w:rPr>
              <w:t>70.8 %</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70.9 %</w:t>
            </w:r>
          </w:p>
        </w:tc>
      </w:tr>
      <w:tr>
        <w:trPr>
          <w:trHeight w:val="230"/>
        </w:trPr>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29.1 %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29.1 %</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29.2 %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29.1 %</w:t>
            </w:r>
          </w:p>
        </w:tc>
      </w:tr>
      <w:tr>
        <w:trPr>
          <w:trHeight w:val="209"/>
        </w:trPr>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-445135</wp:posOffset>
            </wp:positionV>
            <wp:extent cx="56921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3716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-162560</wp:posOffset>
            </wp:positionV>
            <wp:extent cx="569214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54305"/>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3940" w:space="720"/>
            <w:col w:w="4359"/>
          </w:cols>
          <w:pgMar w:left="1440" w:top="517" w:right="1440" w:bottom="1440" w:gutter="0" w:footer="0" w:header="0"/>
          <w:type w:val="continuous"/>
        </w:sectPr>
      </w:pPr>
    </w:p>
    <w:p>
      <w:pPr>
        <w:spacing w:after="0" w:line="2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following table provides information about the change in the franchise contract liability balances during the twenty-six weeks ended June 28, 2023 and June 29, 2022 (in thousands):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28, 2022</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Revenue recognized - beginning balance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contract liability</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4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June 28, 2023</w:t>
            </w:r>
          </w:p>
        </w:tc>
        <w:tc>
          <w:tcPr>
            <w:tcW w:w="2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6,442</w:t>
            </w:r>
          </w:p>
        </w:tc>
      </w:tr>
      <w:tr>
        <w:trPr>
          <w:trHeight w:val="197"/>
        </w:trPr>
        <w:tc>
          <w:tcPr>
            <w:tcW w:w="53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December 29, 2021</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6,328</w:t>
            </w: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 beginning balance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5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Additional contract liability</w:t>
            </w:r>
          </w:p>
        </w:tc>
        <w:tc>
          <w:tcPr>
            <w:tcW w:w="2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29, 2022</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9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The following table illustrates the estimated revenue to be recognized in future periods related to performance obligations under the applicable contracts that are unsatisfied as of June 28, 2023 (in thousands):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Franchise revenues: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42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384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2024</w:t>
            </w:r>
          </w:p>
        </w:tc>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3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2026</w:t>
            </w:r>
          </w:p>
        </w:tc>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2027</w:t>
            </w:r>
          </w:p>
        </w:tc>
        <w:tc>
          <w:tcPr>
            <w:tcW w:w="3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3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w:t>
            </w:r>
          </w:p>
        </w:tc>
      </w:tr>
      <w:tr>
        <w:trPr>
          <w:trHeight w:val="230"/>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3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Changes in the loyalty rewards program liability included in deferred revenue within other accrued expenses and current liabilities on the condensed consolidated balance sheets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2023</w:t>
            </w:r>
          </w:p>
        </w:tc>
        <w:tc>
          <w:tcPr>
            <w:tcW w:w="22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28, 2022</w:t>
            </w: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rewards liability, beginning balance</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Revenue deferred</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shd w:val="clear" w:color="auto" w:fill="CCEEFF"/>
          </w:tcPr>
          <w:p>
            <w:pPr>
              <w:spacing w:after="0"/>
              <w:rPr>
                <w:sz w:val="18"/>
                <w:szCs w:val="18"/>
                <w:color w:val="auto"/>
              </w:rPr>
            </w:pPr>
          </w:p>
        </w:tc>
      </w:tr>
      <w:tr>
        <w:trPr>
          <w:trHeight w:val="210"/>
        </w:trPr>
        <w:tc>
          <w:tcPr>
            <w:tcW w:w="50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Loyalty rewards liability, ending balance</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100" w:type="dxa"/>
            <w:vAlign w:val="bottom"/>
            <w:tcBorders>
              <w:top w:val="single" w:sz="8" w:color="CCEEFF"/>
            </w:tcBorders>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Company expects all loyalty points revenue related to performance obligations unsatisfied as of June 28, 2023 to be recognized within one year.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Gift Cards</w:t>
      </w:r>
    </w:p>
    <w:p>
      <w:pPr>
        <w:spacing w:after="0" w:line="225"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 gift card liability included in other accrued expenses and current liabilities on the condensed consolidated balance sheets was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June 28, 2023</w:t>
            </w:r>
          </w:p>
        </w:tc>
        <w:tc>
          <w:tcPr>
            <w:tcW w:w="12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28, 2022</w:t>
            </w:r>
          </w:p>
        </w:tc>
      </w:tr>
      <w:tr>
        <w:trPr>
          <w:trHeight w:val="24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Gift card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w:t>
            </w:r>
          </w:p>
        </w:tc>
      </w:tr>
    </w:tbl>
    <w:p>
      <w:pPr>
        <w:spacing w:after="0" w:line="202" w:lineRule="exact"/>
        <w:rPr>
          <w:sz w:val="20"/>
          <w:szCs w:val="20"/>
          <w:color w:val="auto"/>
        </w:rPr>
      </w:pPr>
    </w:p>
    <w:p>
      <w:pPr>
        <w:jc w:val="both"/>
        <w:ind w:left="60" w:right="119"/>
        <w:spacing w:after="0" w:line="277" w:lineRule="auto"/>
        <w:rPr>
          <w:sz w:val="20"/>
          <w:szCs w:val="20"/>
          <w:color w:val="auto"/>
        </w:rPr>
      </w:pPr>
      <w:r>
        <w:rPr>
          <w:rFonts w:ascii="Arial" w:cs="Arial" w:eastAsia="Arial" w:hAnsi="Arial"/>
          <w:sz w:val="18"/>
          <w:szCs w:val="18"/>
          <w:color w:val="auto"/>
        </w:rPr>
        <w:t>Revenue recognized from the redemption of gift cards that was included in other accrued expenses and current liabilities at the beginning of the year was as follows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June 28, 2023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29,</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2"/>
              </w:rPr>
              <w:t>June 28, 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0"/>
              </w:rPr>
              <w:t>June 29, 2022</w:t>
            </w:r>
          </w:p>
        </w:tc>
        <w:tc>
          <w:tcPr>
            <w:tcW w:w="0" w:type="dxa"/>
            <w:vAlign w:val="bottom"/>
          </w:tcPr>
          <w:p>
            <w:pPr>
              <w:spacing w:after="0"/>
              <w:rPr>
                <w:sz w:val="1"/>
                <w:szCs w:val="1"/>
                <w:color w:val="auto"/>
              </w:rPr>
            </w:pPr>
          </w:p>
        </w:tc>
      </w:tr>
      <w:tr>
        <w:trPr>
          <w:trHeight w:val="182"/>
        </w:trPr>
        <w:tc>
          <w:tcPr>
            <w:tcW w:w="41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Revenue recognized from gift card liability balance at the</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year</w:t>
            </w:r>
          </w:p>
        </w:tc>
        <w:tc>
          <w:tcPr>
            <w:tcW w:w="10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leases</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84"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As of June 28, 2023, the Company had one lease that it had entered into, but had not yet commenced. The Company does not have control of the property until lease commencement.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Building and facility leases</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majority of the Company’s building and facilities leases are classified as operating leases; however, the Company currently has one facility and 10 equipment leases that are classified as finance leases.</w:t>
      </w:r>
    </w:p>
    <w:p>
      <w:pPr>
        <w:spacing w:after="0" w:line="170"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that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6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92"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During the thirteen and twenty-six weeks ended June 28, 2023, the Company reassessed the lease terms on 10 and 22 restaurants, respectively, due to certain triggering events, such as the addition of significant leasehold improvements with useful lives that extend past the current lease expiration, the decision to terminate a lease, or the decision to renew. As a result of the reassessment, an additional $3.5 million and $13.6 million of ROU asset and lease liabilities for the thirteen and twenty-six weeks ended June 28, 2023, respectively, were recognized and will be amortized over the new lease term. During the thirteen and twenty-six weeks ended June 29, 2022, the Company reassessed the lease terms on nine and 13 restaurants, respectively, due to certain triggering events, such as the addition of significant leasehold improvements with useful lives that extend past the current lease expiration, the decision to terminate a lease, or the decision to renew. This reassessment resulted in an additional $6.0 million and $8.5 million of ROU asset and lease liabilities for the thirteen and twenty-six weeks ended June 29, 2022, respectively, which were recognized and will be amortized over the new lease term. The reassessments had an impact on the original lease classification of one property during the thirteen weeks ended June 29, 2022 which represented $0.7 million of the $6.0 million total additional ROU asset and lease liabilities for the period. Additionally, as the Company adopted all practical expedients available under Topic 842, no reallocation between lease and non-lease components was necessary.</w:t>
      </w:r>
    </w:p>
    <w:p>
      <w:pPr>
        <w:spacing w:after="0" w:line="171"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57"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During the twenty-six weeks ended June 28, 2023, the Company recorded a less than $0.1 million non-cash impairment charge primarily related to the carrying value of ROU assets of one restaurant in California. The Company did not record any non-cash impairment charge for the twenty-six weeks ended June 29, 2022. See Note 1, “Basis of Presentation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color w:val="auto"/>
        </w:rPr>
        <w:t>Summary of Significant Accounting Policies – Impairment of Long-Lived Assets and ROU Assets” for additional information.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Significant Assumptions and Judgments</w:t>
      </w:r>
    </w:p>
    <w:p>
      <w:pPr>
        <w:spacing w:after="0" w:line="225" w:lineRule="exact"/>
        <w:rPr>
          <w:sz w:val="20"/>
          <w:szCs w:val="20"/>
          <w:color w:val="auto"/>
        </w:rPr>
      </w:pPr>
    </w:p>
    <w:p>
      <w:pPr>
        <w:ind w:left="60" w:right="899"/>
        <w:spacing w:after="0" w:line="308" w:lineRule="auto"/>
        <w:rPr>
          <w:sz w:val="20"/>
          <w:szCs w:val="20"/>
          <w:color w:val="auto"/>
        </w:rPr>
      </w:pPr>
      <w:r>
        <w:rPr>
          <w:rFonts w:ascii="Arial" w:cs="Arial" w:eastAsia="Arial" w:hAnsi="Arial"/>
          <w:sz w:val="17"/>
          <w:szCs w:val="17"/>
          <w:color w:val="auto"/>
        </w:rPr>
        <w:t>In applying the requirements of Topic 842, the Company made significant assumptions and judgments related to determination of whether a contract contains a lease and the discount rate used for the lease.</w:t>
      </w:r>
    </w:p>
    <w:p>
      <w:pPr>
        <w:spacing w:after="0" w:line="14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84"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61" w:lineRule="exact"/>
        <w:rPr>
          <w:sz w:val="20"/>
          <w:szCs w:val="20"/>
          <w:color w:val="auto"/>
        </w:rPr>
      </w:pPr>
    </w:p>
    <w:p>
      <w:pPr>
        <w:ind w:left="60" w:right="659"/>
        <w:spacing w:after="0" w:line="263" w:lineRule="auto"/>
        <w:rPr>
          <w:sz w:val="20"/>
          <w:szCs w:val="20"/>
          <w:color w:val="auto"/>
        </w:rPr>
      </w:pPr>
      <w:r>
        <w:rPr>
          <w:rFonts w:ascii="Arial" w:cs="Arial" w:eastAsia="Arial" w:hAnsi="Arial"/>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total lease cost, disaggregated by underlying asset (in thousands):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w w:val="93"/>
              </w:rPr>
              <w:t>Thirteen Weeks Ended</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June 28, 2023</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2"/>
              </w:rPr>
              <w:t>June 29, 2022</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Property</w:t>
            </w:r>
          </w:p>
        </w:tc>
        <w:tc>
          <w:tcPr>
            <w:tcW w:w="14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Equipment</w:t>
            </w:r>
          </w:p>
        </w:tc>
        <w:tc>
          <w:tcPr>
            <w:tcW w:w="100" w:type="dxa"/>
            <w:vAlign w:val="bottom"/>
          </w:tcPr>
          <w:p>
            <w:pPr>
              <w:spacing w:after="0"/>
              <w:rPr>
                <w:sz w:val="10"/>
                <w:szCs w:val="10"/>
                <w:color w:val="auto"/>
              </w:rPr>
            </w:pPr>
          </w:p>
        </w:tc>
        <w:tc>
          <w:tcPr>
            <w:tcW w:w="6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0"/>
                <w:szCs w:val="10"/>
                <w:color w:val="auto"/>
              </w:rPr>
            </w:pPr>
          </w:p>
        </w:tc>
        <w:tc>
          <w:tcPr>
            <w:tcW w:w="9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Equipment</w:t>
            </w:r>
          </w:p>
        </w:tc>
        <w:tc>
          <w:tcPr>
            <w:tcW w:w="140" w:type="dxa"/>
            <w:vAlign w:val="bottom"/>
          </w:tcPr>
          <w:p>
            <w:pPr>
              <w:spacing w:after="0"/>
              <w:rPr>
                <w:sz w:val="10"/>
                <w:szCs w:val="10"/>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Leases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Leases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Leases</w:t>
            </w: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Amortization of right-of-use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on lease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5,786</w:t>
            </w:r>
          </w:p>
        </w:tc>
        <w:tc>
          <w:tcPr>
            <w:tcW w:w="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5,655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Twenty-Six Weeks Ended</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June 28, 2023</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29, 2022</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Property</w:t>
            </w:r>
          </w:p>
        </w:tc>
        <w:tc>
          <w:tcPr>
            <w:tcW w:w="14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Property</w:t>
            </w:r>
          </w:p>
        </w:tc>
        <w:tc>
          <w:tcPr>
            <w:tcW w:w="22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Equipment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Leases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Pr>
          <w:p>
            <w:pPr>
              <w:spacing w:after="0"/>
              <w:rPr>
                <w:sz w:val="17"/>
                <w:szCs w:val="17"/>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Leases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Leases</w:t>
            </w:r>
          </w:p>
        </w:tc>
        <w:tc>
          <w:tcPr>
            <w:tcW w:w="140" w:type="dxa"/>
            <w:vAlign w:val="bottom"/>
          </w:tcPr>
          <w:p>
            <w:pPr>
              <w:spacing w:after="0"/>
              <w:rPr>
                <w:sz w:val="17"/>
                <w:szCs w:val="17"/>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20"/>
              <w:spacing w:after="0"/>
              <w:rPr>
                <w:sz w:val="20"/>
                <w:szCs w:val="20"/>
                <w:color w:val="auto"/>
              </w:rPr>
            </w:pPr>
            <w:r>
              <w:rPr>
                <w:rFonts w:ascii="Arial" w:cs="Arial" w:eastAsia="Arial" w:hAnsi="Arial"/>
                <w:sz w:val="18"/>
                <w:szCs w:val="18"/>
                <w:color w:val="auto"/>
              </w:rPr>
              <w:t>Amortization of right-of-use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on lease liabilities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14,145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13,670</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11,541</w:t>
            </w:r>
          </w:p>
        </w:tc>
        <w:tc>
          <w:tcPr>
            <w:tcW w:w="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$ 12,423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11,258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12,057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620"/>
        <w:spacing w:after="0" w:line="277" w:lineRule="auto"/>
        <w:rPr>
          <w:sz w:val="20"/>
          <w:szCs w:val="20"/>
          <w:color w:val="auto"/>
        </w:rPr>
      </w:pPr>
      <w:r>
        <w:rPr>
          <w:rFonts w:ascii="Arial" w:cs="Arial" w:eastAsia="Arial" w:hAnsi="Arial"/>
          <w:sz w:val="18"/>
          <w:szCs w:val="18"/>
          <w:color w:val="auto"/>
        </w:rPr>
        <w:t>The following table presents the Company’s total lease cost on the condensed consolidated statements of income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28, 2023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0"/>
              </w:rPr>
              <w:t>June 29, 2022</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28, 2023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29, 2022</w:t>
            </w: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Lease cost – Occupancy and other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11,742</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Lease cost – General &amp; administrative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Depreciation and amortization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Lease cost – Interest expense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Closed-store reserve</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9"/>
        </w:trPr>
        <w:tc>
          <w:tcPr>
            <w:tcW w:w="44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12,423</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12,057</w:t>
            </w:r>
          </w:p>
        </w:tc>
      </w:tr>
    </w:tbl>
    <w:p>
      <w:pPr>
        <w:spacing w:after="0" w:line="202" w:lineRule="exact"/>
        <w:rPr>
          <w:sz w:val="20"/>
          <w:szCs w:val="20"/>
          <w:color w:val="auto"/>
        </w:rPr>
      </w:pPr>
    </w:p>
    <w:p>
      <w:pPr>
        <w:ind w:left="60" w:right="280"/>
        <w:spacing w:after="0" w:line="277" w:lineRule="auto"/>
        <w:rPr>
          <w:sz w:val="20"/>
          <w:szCs w:val="20"/>
          <w:color w:val="auto"/>
        </w:rPr>
      </w:pPr>
      <w:r>
        <w:rPr>
          <w:rFonts w:ascii="Arial" w:cs="Arial" w:eastAsia="Arial" w:hAnsi="Arial"/>
          <w:sz w:val="18"/>
          <w:szCs w:val="18"/>
          <w:color w:val="auto"/>
        </w:rPr>
        <w:t>During the twenty-six weeks ended June 28, 2023 and June 29, 2022, the Company had the following cash and non-cash activities associated with its leases (dollars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8"/>
              <w:spacing w:after="0"/>
              <w:rPr>
                <w:sz w:val="20"/>
                <w:szCs w:val="20"/>
                <w:color w:val="auto"/>
              </w:rPr>
            </w:pPr>
            <w:r>
              <w:rPr>
                <w:rFonts w:ascii="Arial" w:cs="Arial" w:eastAsia="Arial" w:hAnsi="Arial"/>
                <w:sz w:val="14"/>
                <w:szCs w:val="14"/>
                <w:b w:val="1"/>
                <w:bCs w:val="1"/>
                <w:color w:val="auto"/>
                <w:w w:val="92"/>
              </w:rPr>
              <w:t>Twenty-Six Weeks Ended June 28, 2023</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right="8"/>
              <w:spacing w:after="0"/>
              <w:rPr>
                <w:sz w:val="20"/>
                <w:szCs w:val="20"/>
                <w:color w:val="auto"/>
              </w:rPr>
            </w:pPr>
            <w:r>
              <w:rPr>
                <w:rFonts w:ascii="Arial" w:cs="Arial" w:eastAsia="Arial" w:hAnsi="Arial"/>
                <w:sz w:val="14"/>
                <w:szCs w:val="14"/>
                <w:b w:val="1"/>
                <w:bCs w:val="1"/>
                <w:color w:val="auto"/>
                <w:w w:val="92"/>
              </w:rPr>
              <w:t>Twenty-Six Weeks Ended June 29, 2022</w:t>
            </w: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Equipment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rPr>
              <w:t>Property</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Equipment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Leases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4"/>
              </w:rPr>
              <w:t>Leases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Leases</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4"/>
              </w:rPr>
              <w:t>Leases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Cash paid for amounts included in the measurement of</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lease liabilities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120"/>
              <w:spacing w:after="0" w:line="149" w:lineRule="exact"/>
              <w:rPr>
                <w:sz w:val="20"/>
                <w:szCs w:val="20"/>
                <w:color w:val="auto"/>
              </w:rPr>
            </w:pPr>
            <w:r>
              <w:rPr>
                <w:rFonts w:ascii="Arial" w:cs="Arial" w:eastAsia="Arial" w:hAnsi="Arial"/>
                <w:sz w:val="14"/>
                <w:szCs w:val="14"/>
                <w:color w:val="auto"/>
              </w:rPr>
              <w:t>Operating cash flows used for operating leases</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13,814</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14,083</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13,543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495</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14,038</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Financing cash flows used for finance leases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60" w:type="dxa"/>
            <w:vAlign w:val="bottom"/>
          </w:tcPr>
          <w:p>
            <w:pPr>
              <w:ind w:left="20"/>
              <w:spacing w:after="0" w:line="130" w:lineRule="exact"/>
              <w:rPr>
                <w:sz w:val="20"/>
                <w:szCs w:val="20"/>
                <w:color w:val="auto"/>
              </w:rPr>
            </w:pPr>
            <w:r>
              <w:rPr>
                <w:rFonts w:ascii="Arial" w:cs="Arial" w:eastAsia="Arial" w:hAnsi="Arial"/>
                <w:sz w:val="14"/>
                <w:szCs w:val="14"/>
                <w:color w:val="auto"/>
                <w:w w:val="91"/>
              </w:rPr>
              <w:t>Operating lease ROU assets obtained in exchange for lease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lease ROU assets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13,607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13,634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8,485</w:t>
            </w:r>
          </w:p>
        </w:tc>
        <w:tc>
          <w:tcPr>
            <w:tcW w:w="0" w:type="dxa"/>
            <w:vAlign w:val="bottom"/>
          </w:tcPr>
          <w:p>
            <w:pPr>
              <w:spacing w:after="0"/>
              <w:rPr>
                <w:sz w:val="1"/>
                <w:szCs w:val="1"/>
                <w:color w:val="auto"/>
              </w:rPr>
            </w:pPr>
          </w:p>
        </w:tc>
      </w:tr>
      <w:tr>
        <w:trPr>
          <w:trHeight w:val="130"/>
        </w:trPr>
        <w:tc>
          <w:tcPr>
            <w:tcW w:w="3460" w:type="dxa"/>
            <w:vAlign w:val="bottom"/>
          </w:tcPr>
          <w:p>
            <w:pPr>
              <w:ind w:left="20"/>
              <w:spacing w:after="0" w:line="130" w:lineRule="exact"/>
              <w:rPr>
                <w:sz w:val="20"/>
                <w:szCs w:val="20"/>
                <w:color w:val="auto"/>
              </w:rPr>
            </w:pPr>
            <w:r>
              <w:rPr>
                <w:rFonts w:ascii="Arial" w:cs="Arial" w:eastAsia="Arial" w:hAnsi="Arial"/>
                <w:sz w:val="14"/>
                <w:szCs w:val="14"/>
                <w:color w:val="auto"/>
                <w:w w:val="94"/>
              </w:rPr>
              <w:t>Finance lease ROU assets obtained in exchange for lease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Finance lease ROU assets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0"/>
        </w:trPr>
        <w:tc>
          <w:tcPr>
            <w:tcW w:w="3460" w:type="dxa"/>
            <w:vAlign w:val="bottom"/>
          </w:tcPr>
          <w:p>
            <w:pPr>
              <w:ind w:left="20"/>
              <w:spacing w:after="0" w:line="130" w:lineRule="exact"/>
              <w:rPr>
                <w:sz w:val="20"/>
                <w:szCs w:val="20"/>
                <w:color w:val="auto"/>
              </w:rPr>
            </w:pPr>
            <w:r>
              <w:rPr>
                <w:rFonts w:ascii="Arial" w:cs="Arial" w:eastAsia="Arial" w:hAnsi="Arial"/>
                <w:sz w:val="14"/>
                <w:szCs w:val="14"/>
                <w:color w:val="auto"/>
              </w:rPr>
              <w:t>Derecognition of ROU assets due to terminations,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20"/>
              <w:spacing w:after="0"/>
              <w:rPr>
                <w:sz w:val="20"/>
                <w:szCs w:val="20"/>
                <w:color w:val="auto"/>
              </w:rPr>
            </w:pPr>
            <w:r>
              <w:rPr>
                <w:rFonts w:ascii="Arial" w:cs="Arial" w:eastAsia="Arial" w:hAnsi="Arial"/>
                <w:sz w:val="14"/>
                <w:szCs w:val="14"/>
                <w:color w:val="auto"/>
              </w:rPr>
              <w:t>impairment or modifications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Other Information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Weighted-average remaining years in lease term—</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finance leases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60" w:type="dxa"/>
            <w:vAlign w:val="bottom"/>
          </w:tcPr>
          <w:p>
            <w:pPr>
              <w:ind w:left="120"/>
              <w:spacing w:after="0" w:line="130" w:lineRule="exact"/>
              <w:rPr>
                <w:sz w:val="20"/>
                <w:szCs w:val="20"/>
                <w:color w:val="auto"/>
              </w:rPr>
            </w:pPr>
            <w:r>
              <w:rPr>
                <w:rFonts w:ascii="Arial" w:cs="Arial" w:eastAsia="Arial" w:hAnsi="Arial"/>
                <w:sz w:val="14"/>
                <w:szCs w:val="14"/>
                <w:color w:val="auto"/>
              </w:rPr>
              <w:t>Weighted-average remaining years in lease term—</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120"/>
              <w:spacing w:after="0"/>
              <w:rPr>
                <w:sz w:val="20"/>
                <w:szCs w:val="20"/>
                <w:color w:val="auto"/>
              </w:rPr>
            </w:pPr>
            <w:r>
              <w:rPr>
                <w:rFonts w:ascii="Arial" w:cs="Arial" w:eastAsia="Arial" w:hAnsi="Arial"/>
                <w:sz w:val="14"/>
                <w:szCs w:val="14"/>
                <w:color w:val="auto"/>
              </w:rPr>
              <w:t>operating leases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11.01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Weighted-average discount rate—finance leases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9"/>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9"/>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60" w:type="dxa"/>
            <w:vAlign w:val="bottom"/>
          </w:tcPr>
          <w:p>
            <w:pPr>
              <w:ind w:left="120"/>
              <w:spacing w:after="0"/>
              <w:rPr>
                <w:sz w:val="20"/>
                <w:szCs w:val="20"/>
                <w:color w:val="auto"/>
              </w:rPr>
            </w:pPr>
            <w:r>
              <w:rPr>
                <w:rFonts w:ascii="Arial" w:cs="Arial" w:eastAsia="Arial" w:hAnsi="Arial"/>
                <w:sz w:val="14"/>
                <w:szCs w:val="14"/>
                <w:color w:val="auto"/>
              </w:rPr>
              <w:t>Weighted-average discount rate—operating leases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4.81</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4.05</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w w:val="79"/>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4.47</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3.82</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w w:val="79"/>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Information regarding the Company’s minimum future lease obligations as of June 28, 2023 is as follows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Finance Leases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rPr>
              <w:t>Minimum</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Minimum</w:t>
            </w:r>
          </w:p>
        </w:tc>
        <w:tc>
          <w:tcPr>
            <w:tcW w:w="100" w:type="dxa"/>
            <w:vAlign w:val="bottom"/>
          </w:tcPr>
          <w:p>
            <w:pPr>
              <w:spacing w:after="0"/>
              <w:rPr>
                <w:sz w:val="10"/>
                <w:szCs w:val="10"/>
                <w:color w:val="auto"/>
              </w:rPr>
            </w:pPr>
          </w:p>
        </w:tc>
        <w:tc>
          <w:tcPr>
            <w:tcW w:w="72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Minimum</w:t>
            </w:r>
          </w:p>
        </w:tc>
        <w:tc>
          <w:tcPr>
            <w:tcW w:w="0" w:type="dxa"/>
            <w:vAlign w:val="bottom"/>
          </w:tcPr>
          <w:p>
            <w:pPr>
              <w:spacing w:after="0"/>
              <w:rPr>
                <w:sz w:val="1"/>
                <w:szCs w:val="1"/>
                <w:color w:val="auto"/>
              </w:rPr>
            </w:pPr>
          </w:p>
        </w:tc>
      </w:tr>
      <w:tr>
        <w:trPr>
          <w:trHeight w:val="148"/>
        </w:trPr>
        <w:tc>
          <w:tcPr>
            <w:tcW w:w="5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Years Ending</w:t>
            </w:r>
          </w:p>
        </w:tc>
        <w:tc>
          <w:tcPr>
            <w:tcW w:w="1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Lease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Payments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0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27, 2023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December 25, 2024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December 30, 2026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29, 2027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133,575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21,368</w:t>
            </w:r>
          </w:p>
        </w:tc>
        <w:tc>
          <w:tcPr>
            <w:tcW w:w="0" w:type="dxa"/>
            <w:vAlign w:val="bottom"/>
          </w:tcPr>
          <w:p>
            <w:pPr>
              <w:spacing w:after="0"/>
              <w:rPr>
                <w:sz w:val="1"/>
                <w:szCs w:val="1"/>
                <w:color w:val="auto"/>
              </w:rPr>
            </w:pPr>
          </w:p>
        </w:tc>
      </w:tr>
      <w:tr>
        <w:trPr>
          <w:trHeight w:val="25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246,066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36,953</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 (1.53% - 4.81%)</w:t>
            </w: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(56,860)</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obligations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Less: current maturities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(19,464)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169,742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Short-Term Leases</w:t>
      </w:r>
    </w:p>
    <w:p>
      <w:pPr>
        <w:spacing w:after="0" w:line="225"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Lessor</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18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84" w:lineRule="exact"/>
        <w:rPr>
          <w:sz w:val="20"/>
          <w:szCs w:val="20"/>
          <w:color w:val="auto"/>
        </w:rPr>
      </w:pPr>
    </w:p>
    <w:p>
      <w:pPr>
        <w:ind w:left="60" w:right="199"/>
        <w:spacing w:after="0" w:line="286" w:lineRule="auto"/>
        <w:rPr>
          <w:sz w:val="20"/>
          <w:szCs w:val="20"/>
          <w:color w:val="auto"/>
        </w:rPr>
      </w:pPr>
      <w:r>
        <w:rPr>
          <w:rFonts w:ascii="Arial" w:cs="Arial" w:eastAsia="Arial" w:hAnsi="Arial"/>
          <w:sz w:val="17"/>
          <w:szCs w:val="17"/>
          <w:color w:val="auto"/>
        </w:rPr>
        <w:t>The Company received $0.1 million of lease income from company-owned locations for each of the thirteen weeks ended June 28, 2023 and June 29, 2022. The Company received $0.1 million and $0.2 million of lease income from company-owned locations for the twenty-six weeks ended June 28, 2023 and June 29, 2022,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88" w:lineRule="exact"/>
        <w:rPr>
          <w:sz w:val="20"/>
          <w:szCs w:val="20"/>
          <w:color w:val="auto"/>
        </w:rPr>
      </w:pPr>
    </w:p>
    <w:p>
      <w:pPr>
        <w:jc w:val="both"/>
        <w:ind w:left="720" w:right="59" w:hanging="319"/>
        <w:spacing w:after="0" w:line="271"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global economic or other business conditions that may affect the desire or ability of our customers to purchase our products such as inflationary pressures, high unemployment levels, increases in gas prices, and declines in median income growth, consumer confidence and consumer discretionary spending;</w:t>
      </w:r>
    </w:p>
    <w:p>
      <w:pPr>
        <w:ind w:left="720" w:right="65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open new restaurants in new and existing markets, including difficulty in finding sites and in negotiating acceptable leases;</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compete successfully with other quick-service and fast casual restaurants;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vulnerability to changes in political and economic conditions and consumer preferences;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develop, assimilate and retain employees;</w:t>
      </w:r>
    </w:p>
    <w:p>
      <w:pPr>
        <w:spacing w:after="0" w:line="9" w:lineRule="exact"/>
        <w:rPr>
          <w:rFonts w:ascii="Arial" w:cs="Arial" w:eastAsia="Arial" w:hAnsi="Arial"/>
          <w:sz w:val="18"/>
          <w:szCs w:val="18"/>
          <w:color w:val="auto"/>
        </w:rPr>
      </w:pPr>
    </w:p>
    <w:p>
      <w:pPr>
        <w:ind w:left="720" w:right="85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vulnerability to conditions in the greater Los Angeles area and to natural disasters given the geographic concentration and real estate intensive nature of our business;</w:t>
      </w:r>
    </w:p>
    <w:p>
      <w:pPr>
        <w:ind w:left="720" w:right="199" w:hanging="319"/>
        <w:spacing w:after="0" w:line="281"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impacts of the uncertainty regarding a potential resurgence of COVID-19 or another pandemic, epidemic or infectious disease outbreak on our company, our employees, our customers, our partners, our industry and the economy as a whole, as well as our franchisees’ ability to operate their individual restaurants without disruption;</w:t>
      </w:r>
    </w:p>
    <w:p>
      <w:pPr>
        <w:spacing w:after="0" w:line="1" w:lineRule="exact"/>
        <w:rPr>
          <w:rFonts w:ascii="Arial" w:cs="Arial" w:eastAsia="Arial" w:hAnsi="Arial"/>
          <w:sz w:val="16"/>
          <w:szCs w:val="16"/>
          <w:color w:val="auto"/>
        </w:rPr>
      </w:pPr>
    </w:p>
    <w:p>
      <w:pPr>
        <w:ind w:left="720" w:right="29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that we may continue to incur significant impairment of certain of our assets, in particular in our new markets;</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food and supply costs, especially for chicken, labor, construction and utilities;</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social media and negative publicity, whether or not valid, and our ability to respond to and effectively manage the accelerated impact of social media;</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expand our digital business, delivery orders and catering;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concerns about food safety and quality and about food-borne illness;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dependence on frequent and timely deliveries of food and supplies;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service our level of indebtedness;</w:t>
      </w:r>
    </w:p>
    <w:p>
      <w:pPr>
        <w:spacing w:after="0" w:line="9" w:lineRule="exact"/>
        <w:rPr>
          <w:rFonts w:ascii="Arial" w:cs="Arial" w:eastAsia="Arial" w:hAnsi="Arial"/>
          <w:sz w:val="18"/>
          <w:szCs w:val="18"/>
          <w:color w:val="auto"/>
        </w:rPr>
      </w:pPr>
    </w:p>
    <w:p>
      <w:pPr>
        <w:ind w:left="720" w:right="65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uncertainty related to the success of our marketing programs, new menu items, advertising campaigns and restaurant designs and remodels;</w:t>
      </w:r>
    </w:p>
    <w:p>
      <w:pPr>
        <w:ind w:left="720" w:right="33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the economic environment, including inflation and increased labor and supply costs, which may affect our franchisees, with adverse consequences to us;</w:t>
      </w:r>
    </w:p>
    <w:p>
      <w:pPr>
        <w:ind w:left="720" w:right="49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control over our franchisees and potential deterioration of our relations with existing or potential franchisees;</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exposure to unexpected costs and losses from our self-insurance programs;</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obligations under long-term and non-cancelable leases, and our ability to renew leases at the end of their terms;</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any failure of our information technology system or any breach of our network security;</w:t>
      </w:r>
    </w:p>
    <w:p>
      <w:pPr>
        <w:spacing w:after="0" w:line="9" w:lineRule="exact"/>
        <w:rPr>
          <w:rFonts w:ascii="Arial" w:cs="Arial" w:eastAsia="Arial" w:hAnsi="Arial"/>
          <w:sz w:val="18"/>
          <w:szCs w:val="18"/>
          <w:color w:val="auto"/>
        </w:rPr>
      </w:pPr>
    </w:p>
    <w:p>
      <w:pPr>
        <w:ind w:left="720" w:right="45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any security breaches on our ability to protect our customers’ payment method data or personal information;</w:t>
      </w:r>
    </w:p>
    <w:p>
      <w:pPr>
        <w:ind w:left="720" w:hanging="319"/>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enforce and maintain our trademarks and protect our other proprietary intellectual property;</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government regulation and litigation, including employment and labor laws; and</w:t>
      </w:r>
    </w:p>
    <w:p>
      <w:pPr>
        <w:spacing w:after="0" w:line="9" w:lineRule="exact"/>
        <w:rPr>
          <w:rFonts w:ascii="Arial" w:cs="Arial" w:eastAsia="Arial" w:hAnsi="Arial"/>
          <w:sz w:val="18"/>
          <w:szCs w:val="18"/>
          <w:color w:val="auto"/>
        </w:rPr>
      </w:pPr>
    </w:p>
    <w:p>
      <w:pPr>
        <w:ind w:left="720" w:right="279" w:hanging="319"/>
        <w:spacing w:after="0" w:line="255"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other risks set forth in our filings with the SEC from time to time, including under Item 1A, Risk Factors in our annual report on Form 10-K for the year ended December 28, 2022, which filings are available online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90"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99"/>
        <w:spacing w:after="0" w:line="269"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segment. We strive to offer food that integrates the culinary traditions of Mexico with the healthier lifestyle.”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beef.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We believe that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Trends and Uncertainties</w:t>
      </w:r>
    </w:p>
    <w:p>
      <w:pPr>
        <w:spacing w:after="0" w:line="229" w:lineRule="exact"/>
        <w:rPr>
          <w:sz w:val="20"/>
          <w:szCs w:val="20"/>
          <w:color w:val="auto"/>
        </w:rPr>
      </w:pPr>
    </w:p>
    <w:p>
      <w:pPr>
        <w:ind w:left="60" w:right="259"/>
        <w:spacing w:after="0" w:line="269" w:lineRule="auto"/>
        <w:rPr>
          <w:sz w:val="20"/>
          <w:szCs w:val="20"/>
          <w:color w:val="auto"/>
        </w:rPr>
      </w:pPr>
      <w:r>
        <w:rPr>
          <w:rFonts w:ascii="Arial" w:cs="Arial" w:eastAsia="Arial" w:hAnsi="Arial"/>
          <w:sz w:val="17"/>
          <w:szCs w:val="17"/>
          <w:color w:val="auto"/>
        </w:rPr>
        <w:t>During both the thirteen and twenty-six weeks ended June 28, 2023, we incurred $0.1 million in COVID-19 related expenses. During the thirteen and twenty-six weeks ended June 29, 2022, we incurred $0.3 million and $2.6 million, respectively, in COVID-19 related expenses, primarily due to leaves of absence and overtime pay. We may face future business disruption and related risks resulting from the uncertainty regarding a potential resurgence of COVID-19 or another pandemic, epidemic or infectious disease outbreak, or from broader macroeconomic trends, any of which could have a significant impact on our business. While we believe the trend towards more moderate labor related costs and less inflationary pressure continues, we cannot determine the ultimate impact of a potential resurgence of COVID-19 (and related economic effects) and the current macroeconomic environment will have on the Company’s condensed consolidated financial condition, liquidity, and future results of operations. Therefore, any prediction as to the ultimate materiality of the adverse impact on our condensed consolidated financial condition, liquidity, and future results of operations is uncertain.</w:t>
      </w:r>
    </w:p>
    <w:p>
      <w:pPr>
        <w:spacing w:after="0" w:line="182"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Additionally, labor costs could also be adversely impacted as a result of California Assembly Bill No. 257, the Fast Food Accountability and Standards Recovery Act (“FAST Act”), which was signed into law in September 2022 and authorizes the creation of a council to set minimum standards for industry workers in California, including minimum wages. The FAST Act, which will take effect if approved by voters in November 2024, could result in increased labor cost at our California restaurants thereby potentially impacting the profitability of our California restaurants.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Growth Strategies and Outlook</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As of June 28, 2023, we had 492 locations in seven states. In fiscal 2022, we opened four new company-operated restaurants, two in Nevada and two in California, and our franchisees opened nine new restaurants, seven in California, one in Colorado and one in Utah. For the twenty-six weeks ended June 28, 2023, we opened one new company-operated in Nevada and our franchisees opened one new restaurant in California. We plan to continue to expand our business, drive restaurant sales growth, and enhance our competitive positioning, by executing the following strategies:</w:t>
      </w:r>
    </w:p>
    <w:p>
      <w:pPr>
        <w:spacing w:after="0" w:line="161"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embed our unique El Pollo Loco culture;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awareness and own our lane;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 exceptional service – profitably;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accelerate development.</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To increase comparable restaurant sales, we plan to increase customer frequency, attract new customers, and improve per-person spend. The success of these growth plans is not guaranteed.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Highlights and Trends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left="60" w:right="219"/>
        <w:spacing w:after="0" w:line="270" w:lineRule="auto"/>
        <w:rPr>
          <w:sz w:val="20"/>
          <w:szCs w:val="20"/>
          <w:color w:val="auto"/>
        </w:rPr>
      </w:pPr>
      <w:r>
        <w:rPr>
          <w:rFonts w:ascii="Arial" w:cs="Arial" w:eastAsia="Arial" w:hAnsi="Arial"/>
          <w:sz w:val="17"/>
          <w:szCs w:val="17"/>
          <w:color w:val="auto"/>
        </w:rPr>
        <w:t>For the thirteen and twenty-six weeks ended June 28, 2023, system-wide comparable restaurant sales decreased by 3.4% and 1.4%, respectively, from the comparable period in the prior year. For company-operated restaurants, comparable restaurant sales for the thirteen and twenty-six weeks ended June 28, 2023 decreased by 2.3% and increased by 0.5%, respectively. For company-operated restaurants, the quarter’s change in comparable restaurant sales consisted of a 4.5% decrease in transactions, partially offset by an approximately 2.3% increase in average check size, and the year-to-date change in comparable restaurant sales consisted of a 4.2% increase in average check size, partially offset by a 3.5% decrease in transactions. For franchised restaurants, comparable restaurant sales decreased 4.1% and 2.6% for the thirteen and twenty-six weeks ended June 28, 2023, respectively. Refer to Comparable Restaurant Sales definition in “Key Performance Indicators” section below.</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restaurant counts at the beginning and end of each of the last three fiscal years and the twenty-six weeks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28, 2023, were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Twenty-Six Weeks Ended</w:t>
            </w:r>
          </w:p>
        </w:tc>
        <w:tc>
          <w:tcPr>
            <w:tcW w:w="1640" w:type="dxa"/>
            <w:vAlign w:val="bottom"/>
            <w:gridSpan w:val="5"/>
          </w:tcPr>
          <w:p>
            <w:pPr>
              <w:ind w:left="500"/>
              <w:spacing w:after="0"/>
              <w:rPr>
                <w:sz w:val="20"/>
                <w:szCs w:val="20"/>
                <w:color w:val="auto"/>
              </w:rPr>
            </w:pPr>
            <w:r>
              <w:rPr>
                <w:rFonts w:ascii="Arial" w:cs="Arial" w:eastAsia="Arial" w:hAnsi="Arial"/>
                <w:sz w:val="14"/>
                <w:szCs w:val="14"/>
                <w:b w:val="1"/>
                <w:bCs w:val="1"/>
                <w:color w:val="auto"/>
                <w:w w:val="92"/>
              </w:rPr>
              <w:t>Fiscal Year Ended</w:t>
            </w:r>
          </w:p>
        </w:tc>
        <w:tc>
          <w:tcPr>
            <w:tcW w:w="480" w:type="dxa"/>
            <w:vAlign w:val="bottom"/>
          </w:tcPr>
          <w:p>
            <w:pPr>
              <w:spacing w:after="0"/>
              <w:rPr>
                <w:sz w:val="14"/>
                <w:szCs w:val="14"/>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June 28, 2023</w:t>
            </w:r>
          </w:p>
        </w:tc>
        <w:tc>
          <w:tcPr>
            <w:tcW w:w="1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restaurant activity:</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62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Restaurant sale to franchisee</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Closures</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Restaurants at end of period</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Franchised restaurant activity:</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62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Restaurant sale to franchisee</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Closures</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Restaurants at end of period</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System-wide restaurant activity:</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620" w:type="dxa"/>
            <w:vAlign w:val="bottom"/>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Closures</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Restaurants at end of period</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0"/>
        </w:trPr>
        <w:tc>
          <w:tcPr>
            <w:tcW w:w="50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225"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 xml:space="preserve">In 2020, we finalized a new restaurant design that we believe will clearly differentiate and communicate our brand, both on the exterior and interior. During the twenty-six weeks ended June 28, 2023, we completed 9 company-operated restaurant remodels and 14 franchise remodels using the new asset design. In fiscal 2023, we plan to continue our standard practices for remodels, which includes completing a total of 10-15 company and 20-30 franchise remodels using the new design. </w:t>
      </w:r>
      <w:r>
        <w:rPr>
          <w:rFonts w:ascii="Arial" w:cs="Arial" w:eastAsia="Arial" w:hAnsi="Arial"/>
          <w:sz w:val="18"/>
          <w:szCs w:val="18"/>
          <w:color w:val="212529"/>
        </w:rPr>
        <w:t>The</w:t>
      </w:r>
      <w:r>
        <w:rPr>
          <w:rFonts w:ascii="Arial" w:cs="Arial" w:eastAsia="Arial" w:hAnsi="Arial"/>
          <w:sz w:val="18"/>
          <w:szCs w:val="18"/>
          <w:color w:val="auto"/>
        </w:rPr>
        <w:t xml:space="preserve"> </w:t>
      </w:r>
      <w:r>
        <w:rPr>
          <w:rFonts w:ascii="Arial" w:cs="Arial" w:eastAsia="Arial" w:hAnsi="Arial"/>
          <w:sz w:val="18"/>
          <w:szCs w:val="18"/>
          <w:color w:val="212529"/>
        </w:rPr>
        <w:t>cost of our restaurant remodels varies depending on the scope of the work required, but on average the investment is $0.3 million to $0.4 million per restaurant.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Loco Rewards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Loco Rewards loyalty program offers rewards that incentivize customers to visit our restaurants more often</w:t>
      </w:r>
    </w:p>
    <w:p>
      <w:pPr>
        <w:spacing w:after="0" w:line="23"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each month.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the likelihood of redemption is remote. A portion of the transaction price is allocated to loyalty points on a pro-rata basis, based on stand-alone selling price, as determined by menu pricing and loyalty point’s terms.</w:t>
      </w:r>
    </w:p>
    <w:p>
      <w:pPr>
        <w:spacing w:after="0" w:line="170"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both June 28, 2023 and December 28, 2022, the revenue allocated to loyalty points that had not been redeemed was $0.5 million, which is reflected in our accompanying condensed consolidated balance sheets within other accrued expenses and current liabilities. We had over 3.5 million loyalty program members as of June 28, 2023.</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The preparation of our condensed consolidated financial statements in accordance with U.S. generally accepted accounting principles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95"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“Critical Accounting Policies and Estimates” in Item 7, “Management’s Discussion and Analysis of Financial Condition and Results of Operations” in our annual report on Form 10-K for the year ended December 28, 2022.</w:t>
      </w:r>
    </w:p>
    <w:p>
      <w:pPr>
        <w:spacing w:after="0" w:line="195"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 for the year ended December 28,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Financial Definitions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in the Notes to Condensed Consolidated Financial Statements above for further details regarding our revenue recognition policy.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2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may include the FAST Act), overtime, wage inflation, the frequency and severity of workers’ compensation claims, health care costs, and the performance of our restaurants.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2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Occupancy costs include rent, common area maintenance (“CAM”), and real estate taxes. Other restaurant operating expenses include the costs of utilities, advertising, credit card processing fees, restaurant supplies, repairs and maintenance, and other restaurant operating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225"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Depreciation and amortization primarily consists of the depreciation of property and equipment, including leasehold improvements and equipment.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225"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22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68"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When we close a restaurant, we will evaluate the right of 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Interest expense, net, consists primarily of interest on our outstanding debt. Debt issuance costs are amortized at cost over the life of the related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income taxes consists of federal and state taxes on our income.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Results of Operations</w:t>
      </w:r>
    </w:p>
    <w:p>
      <w:pPr>
        <w:spacing w:after="0" w:line="229" w:lineRule="exact"/>
        <w:rPr>
          <w:sz w:val="20"/>
          <w:szCs w:val="20"/>
          <w:color w:val="auto"/>
        </w:rPr>
      </w:pPr>
    </w:p>
    <w:p>
      <w:pPr>
        <w:jc w:val="both"/>
        <w:ind w:left="60" w:right="179"/>
        <w:spacing w:after="0" w:line="286" w:lineRule="auto"/>
        <w:rPr>
          <w:sz w:val="20"/>
          <w:szCs w:val="20"/>
          <w:color w:val="auto"/>
        </w:rPr>
      </w:pPr>
      <w:r>
        <w:rPr>
          <w:rFonts w:ascii="Arial" w:cs="Arial" w:eastAsia="Arial" w:hAnsi="Arial"/>
          <w:sz w:val="17"/>
          <w:szCs w:val="17"/>
          <w:color w:val="auto"/>
        </w:rPr>
        <w:t>Our operating results for the thirteen weeks ended June 28, 2023 and June 29, 2022 and expressed as percentages of total revenue, with the exception of cost of operations and company restaurant expenses, which are expressed as percentages of company-operated restaurant revenue, are compared in the tables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3"/>
          </w:tcPr>
          <w:p>
            <w:pPr>
              <w:jc w:val="right"/>
              <w:ind w:right="231"/>
              <w:spacing w:after="0" w:line="142" w:lineRule="exact"/>
              <w:rPr>
                <w:sz w:val="20"/>
                <w:szCs w:val="20"/>
                <w:color w:val="auto"/>
              </w:rPr>
            </w:pPr>
            <w:r>
              <w:rPr>
                <w:rFonts w:ascii="Arial" w:cs="Arial" w:eastAsia="Arial" w:hAnsi="Arial"/>
                <w:sz w:val="14"/>
                <w:szCs w:val="14"/>
                <w:b w:val="1"/>
                <w:bCs w:val="1"/>
                <w:color w:val="auto"/>
              </w:rPr>
              <w:t>June 28, 2023</w:t>
            </w:r>
          </w:p>
        </w:tc>
        <w:tc>
          <w:tcPr>
            <w:tcW w:w="140" w:type="dxa"/>
            <w:vAlign w:val="bottom"/>
          </w:tcPr>
          <w:p>
            <w:pPr>
              <w:spacing w:after="0"/>
              <w:rPr>
                <w:sz w:val="12"/>
                <w:szCs w:val="12"/>
                <w:color w:val="auto"/>
              </w:rPr>
            </w:pPr>
          </w:p>
        </w:tc>
        <w:tc>
          <w:tcPr>
            <w:tcW w:w="152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June 29, 2022</w:t>
            </w:r>
          </w:p>
        </w:tc>
        <w:tc>
          <w:tcPr>
            <w:tcW w:w="8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4"/>
              </w:rPr>
              <w:t>Increase / (Decrease)</w:t>
            </w:r>
          </w:p>
        </w:tc>
      </w:tr>
      <w:tr>
        <w:trPr>
          <w:trHeight w:val="142"/>
        </w:trPr>
        <w:tc>
          <w:tcPr>
            <w:tcW w:w="2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($,000)</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($,000)</w:t>
            </w: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w:t>
            </w:r>
          </w:p>
        </w:tc>
      </w:tr>
      <w:tr>
        <w:trPr>
          <w:trHeight w:val="209"/>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Income Data</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Company-operated restaurant revenue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$ 103,901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$ 106,454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9"/>
              </w:rPr>
              <w:t>$ (2,553)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Franchise advertising fee revenue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7,472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7,593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09"/>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121,492</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100.0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124,111</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(2,619)</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Cost of operations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and paper costs (1)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31,691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Labor and related expenses (1)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32,277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33,015</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 and other operating expenses (1)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25,576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25,832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Company restaurant expenses (1)</w:t>
            </w:r>
          </w:p>
        </w:tc>
        <w:tc>
          <w:tcPr>
            <w:tcW w:w="3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86,327</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83.1</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90,538</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(4,211)</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Franchise expenses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9,492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9,557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(Gain) loss on disposal of assets</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(80)</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(290.5)</w:t>
            </w: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disposition of restaurants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Impairment and closed-store reserves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(84.7)</w:t>
            </w:r>
          </w:p>
        </w:tc>
      </w:tr>
      <w:tr>
        <w:trPr>
          <w:trHeight w:val="209"/>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expenses</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110,604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113,682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(3,078)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r>
      <w:tr>
        <w:trPr>
          <w:trHeight w:val="210"/>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10,888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10,429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color w:val="auto"/>
                <w:w w:val="96"/>
              </w:rPr>
              <w:t>Income tax receivable agreement expense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(186)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(165.1)</w:t>
            </w:r>
          </w:p>
        </w:tc>
      </w:tr>
      <w:tr>
        <w:trPr>
          <w:trHeight w:val="210"/>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9,791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10,196</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2,735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3,055</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09"/>
        </w:trPr>
        <w:tc>
          <w:tcPr>
            <w:tcW w:w="4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7,056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7,141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0"/>
        </w:trPr>
        <w:tc>
          <w:tcPr>
            <w:tcW w:w="2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80" w:lineRule="exact"/>
        <w:rPr>
          <w:sz w:val="20"/>
          <w:szCs w:val="20"/>
          <w:color w:val="auto"/>
        </w:rPr>
      </w:pPr>
    </w:p>
    <w:p>
      <w:pPr>
        <w:ind w:left="380" w:right="819" w:hanging="330"/>
        <w:spacing w:after="0" w:line="342"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color w:val="auto"/>
        </w:rPr>
        <w:t>Our operating results for the twenty-six weeks ended June 28, 2023 and June 29, 2022 and expressed as percentages of total revenue, with the exception of cost of operations and company restaurant expenses, which are expressed as a percentage of company-operated restaurant revenue, are compared below.</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4"/>
              </w:rPr>
              <w:t>Twenty-Six Weeks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right"/>
              <w:ind w:right="231"/>
              <w:spacing w:after="0" w:line="142" w:lineRule="exact"/>
              <w:rPr>
                <w:sz w:val="20"/>
                <w:szCs w:val="20"/>
                <w:color w:val="auto"/>
              </w:rPr>
            </w:pPr>
            <w:r>
              <w:rPr>
                <w:rFonts w:ascii="Arial" w:cs="Arial" w:eastAsia="Arial" w:hAnsi="Arial"/>
                <w:sz w:val="14"/>
                <w:szCs w:val="14"/>
                <w:b w:val="1"/>
                <w:bCs w:val="1"/>
                <w:color w:val="auto"/>
              </w:rPr>
              <w:t>June 28, 2023</w:t>
            </w:r>
          </w:p>
        </w:tc>
        <w:tc>
          <w:tcPr>
            <w:tcW w:w="140" w:type="dxa"/>
            <w:vAlign w:val="bottom"/>
          </w:tcPr>
          <w:p>
            <w:pPr>
              <w:spacing w:after="0"/>
              <w:rPr>
                <w:sz w:val="12"/>
                <w:szCs w:val="12"/>
                <w:color w:val="auto"/>
              </w:rPr>
            </w:pPr>
          </w:p>
        </w:tc>
        <w:tc>
          <w:tcPr>
            <w:tcW w:w="154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June 29, 2022</w:t>
            </w:r>
          </w:p>
        </w:tc>
        <w:tc>
          <w:tcPr>
            <w:tcW w:w="6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4"/>
              </w:rPr>
              <w:t>Increase / (Decrease)</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($,000)</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($,000)</w:t>
            </w: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Income Data</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Company-operated restaurant revenue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$ 201,774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$ 200,411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19,791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19,319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Franchise advertising fee revenue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14,453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14,429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236,018</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100.0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234,159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100.0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1,859</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and paper costs (1)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55,376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59,423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Labor and related expenses (1)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63,818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65,687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(1,869)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 and other operating expenses (1)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50,462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418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2"/>
              </w:rPr>
              <w:t>Gain on recovery of insurance proceeds, lost profits, net</w:t>
            </w:r>
          </w:p>
        </w:tc>
        <w:tc>
          <w:tcPr>
            <w:tcW w:w="140" w:type="dxa"/>
            <w:vAlign w:val="bottom"/>
            <w:vMerge w:val="restart"/>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40" w:type="dxa"/>
            <w:vAlign w:val="bottom"/>
            <w:vMerge w:val="restart"/>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2240" w:type="dxa"/>
            <w:vAlign w:val="bottom"/>
          </w:tcPr>
          <w:p>
            <w:pPr>
              <w:ind w:left="20"/>
              <w:spacing w:after="0"/>
              <w:rPr>
                <w:sz w:val="20"/>
                <w:szCs w:val="20"/>
                <w:color w:val="auto"/>
              </w:rPr>
            </w:pPr>
            <w:r>
              <w:rPr>
                <w:rFonts w:ascii="Arial" w:cs="Arial" w:eastAsia="Arial" w:hAnsi="Arial"/>
                <w:sz w:val="18"/>
                <w:szCs w:val="18"/>
                <w:color w:val="auto"/>
              </w:rPr>
              <w:t>(1)</w:t>
            </w:r>
          </w:p>
        </w:tc>
        <w:tc>
          <w:tcPr>
            <w:tcW w:w="19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Company restaurant expenses (1)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169,505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174,787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(5,282)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22,307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19,633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expenses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7,331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7,215</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loss on disposal of assets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02"/>
        </w:trPr>
        <w:tc>
          <w:tcPr>
            <w:tcW w:w="41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Gain on recovery of insurance proceeds, property,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equipment and expenses</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(242)</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disposition of restaurants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Impairment and closed-store reserves</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217,379</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220,410</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(3,031)</w:t>
            </w: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0"/>
        </w:trPr>
        <w:tc>
          <w:tcPr>
            <w:tcW w:w="418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18,639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13,749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4,890</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35.6</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Income tax receivable agreement income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1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16,660</w:t>
            </w:r>
          </w:p>
        </w:tc>
        <w:tc>
          <w:tcPr>
            <w:tcW w:w="1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13,216</w:t>
            </w: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3,444</w:t>
            </w: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11,974</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9,256</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0" w:type="dxa"/>
            <w:vAlign w:val="bottom"/>
          </w:tcPr>
          <w:p>
            <w:pPr>
              <w:spacing w:after="0"/>
              <w:rPr>
                <w:sz w:val="1"/>
                <w:szCs w:val="1"/>
                <w:color w:val="auto"/>
              </w:rPr>
            </w:pPr>
          </w:p>
        </w:tc>
      </w:tr>
      <w:tr>
        <w:trPr>
          <w:trHeight w:val="95"/>
        </w:trPr>
        <w:tc>
          <w:tcPr>
            <w:tcW w:w="2240" w:type="dxa"/>
            <w:vAlign w:val="bottom"/>
            <w:tcBorders>
              <w:top w:val="single" w:sz="8" w:color="CCEEFF"/>
              <w:bottom w:val="single" w:sz="8" w:color="auto"/>
            </w:tcBorders>
          </w:tcPr>
          <w:p>
            <w:pPr>
              <w:spacing w:after="0"/>
              <w:rPr>
                <w:sz w:val="8"/>
                <w:szCs w:val="8"/>
                <w:color w:val="auto"/>
              </w:rPr>
            </w:pPr>
          </w:p>
        </w:tc>
        <w:tc>
          <w:tcPr>
            <w:tcW w:w="194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819" w:hanging="330"/>
        <w:spacing w:after="0" w:line="342"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Percentages for line items relating to cost of operations and company restaurant expenses are calculated with company-operated restaurant revenue as the denominator. All other percentages use total revenue.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225"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For the quarter ended June 28, 2023, company-operated restaurant revenue decreased $2.6 million, or 2.4%, from the comparable period in the prior year. The decrease in company-operated restaurant sales was primarily due to a decrease in company-operated comparable restaurant revenue of $2.4 million, or 2.3%. The company-operated comparable restaurant sales decrease consisted of an approximately 4.5% decrease in transactions, partially offset by a 2.3% increase in average check size due to increases in menu prices. In addition, company-operated restaurant revenue was negatively impacted by a $1.5 million decrease in revenue from the four company-operated restaurants sold by the Company to existing franchisees during or subsequent to the second quarter of 2022. This company-operated restaurant revenue decrease was partially offset by $1.3 million of additional sales from restaurants opened during or after the second quarter of 2022.</w:t>
      </w:r>
    </w:p>
    <w:p>
      <w:pPr>
        <w:spacing w:after="0" w:line="165"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Year-to-date, company-operated restaurant revenue increased $1.4 million, or 0.7%, from the comparable period in the prior year. The increase in company-operated restaurant revenue was primarily due to $2.8 million of additional sales from restaurants opened during or after the second quarter of 2022. In addition, the increase in company-operated restaurant sales was due to an increase in company-operated comparable restaurant revenue of $1.0 million, or 0.5%. The company-operated comparable restaurant sales increase consisted of an approximately 4.2% increase in average check size due to increases in menu prices, partially offset by a 3.5% decrease in transactions. This company-operated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79"/>
        <w:spacing w:after="0" w:line="308" w:lineRule="auto"/>
        <w:rPr>
          <w:sz w:val="20"/>
          <w:szCs w:val="20"/>
          <w:color w:val="auto"/>
        </w:rPr>
      </w:pPr>
      <w:r>
        <w:rPr>
          <w:rFonts w:ascii="Arial" w:cs="Arial" w:eastAsia="Arial" w:hAnsi="Arial"/>
          <w:sz w:val="17"/>
          <w:szCs w:val="17"/>
          <w:color w:val="auto"/>
        </w:rPr>
        <w:t>restaurant revenue increase was offset by a $2.6 million decrease in revenue from the four company-operated restaurants sold by the Company to existing franchisees during or subsequent to the first quarter of 2022.</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225"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For the quarter ended June 28, 2023, franchise revenue increased $0.1 million, or 0.5%, from the comparable period in the prior year. This increase was primarily due to eight franchise-operated restaurant openings and four company-operated restaurants sold by the Company to existing franchisees in each case, during or subsequent to the second quarter of 2022. This franchise revenue increase was partially offset by a franchise comparable restaurant sales decrease of 4.1%.</w:t>
      </w:r>
    </w:p>
    <w:p>
      <w:pPr>
        <w:spacing w:after="0" w:line="157"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Year-to-date, franchise revenue increased $0.5 million, or 2.4%, from the comparable period in the prior year. This increase was primarily due to ten franchise-operated restaurant openings and four company-operated restaurants sold by the Company to existing franchisees during or subsequent to the first quarter of 2022. This franchise revenue increase was partially offset by a franchise comparable restaurant sales decrease of 2.6% and the closure of one franchise location during or subsequent to the first quarter of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Advertising Fee Revenue</w:t>
      </w:r>
    </w:p>
    <w:p>
      <w:pPr>
        <w:spacing w:after="0" w:line="225" w:lineRule="exact"/>
        <w:rPr>
          <w:sz w:val="20"/>
          <w:szCs w:val="20"/>
          <w:color w:val="auto"/>
        </w:rPr>
      </w:pPr>
    </w:p>
    <w:p>
      <w:pPr>
        <w:ind w:left="60" w:right="439"/>
        <w:spacing w:after="0" w:line="291" w:lineRule="auto"/>
        <w:rPr>
          <w:sz w:val="20"/>
          <w:szCs w:val="20"/>
          <w:color w:val="auto"/>
        </w:rPr>
      </w:pPr>
      <w:r>
        <w:rPr>
          <w:rFonts w:ascii="Arial" w:cs="Arial" w:eastAsia="Arial" w:hAnsi="Arial"/>
          <w:sz w:val="16"/>
          <w:szCs w:val="16"/>
          <w:color w:val="auto"/>
        </w:rPr>
        <w:t>For the quarter ended June 28, 2023, franchise advertising fee revenue decreased $0.1 million, or 1.6%, from the comparable period in the prior year. Year-to-date, franchise advertising fee revenue increased less than $0.1 million, or</w:t>
      </w:r>
    </w:p>
    <w:p>
      <w:pPr>
        <w:ind w:left="60" w:right="79"/>
        <w:spacing w:after="0" w:line="323" w:lineRule="auto"/>
        <w:rPr>
          <w:sz w:val="20"/>
          <w:szCs w:val="20"/>
          <w:color w:val="auto"/>
        </w:rPr>
      </w:pPr>
      <w:r>
        <w:rPr>
          <w:rFonts w:ascii="Arial" w:cs="Arial" w:eastAsia="Arial" w:hAnsi="Arial"/>
          <w:sz w:val="16"/>
          <w:szCs w:val="16"/>
          <w:color w:val="auto"/>
        </w:rPr>
        <w:t>0.2%, from the comparable period in the prior year. As advertising fee revenue is a percentage of franchisees’ revenue, both the quarter and year-to-date period fluctuations were due to the increases and decreases noted in franchise revenue above.</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225"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For the quarter ended June 28, 2023, food and paper costs decreased $3.2 million, or 10.2%. Year-to-date, food and paper costs decreased $4.0 million, or 6.8%, from the comparable period in the prior year. The decrease in food and paper costs for the quarter and year-to-date resulted primarily due to lower transactions, partially offset by commodity inflation. For the quarter, food and paper costs as a percentage of company-operated restaurant revenue were 27.4%, down from 29.8% in the comparable period of the prior year. Year-to-date, food and paper costs as a percentage of company-operated restaurant revenue were 27.4%, down from 29.7% in the comparable period of the prior year. The percentage decrease for both the quarter and year-to-date period was primarily due to an increase in pricing, partially offset by the increase noted in food and paper costs above.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25"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color w:val="auto"/>
        </w:rPr>
        <w:t>For the quarter ended June 28, 2023, labor and related expenses decreased $0.7 million, or 2.2%, from the comparable period in the prior year. The decrease in labor and related expenses for the quarter was primarily due to a $1.5 million decrease related to the 4.5% decrease in quarter-over-quarter sales transactions, a $1.1 million decrease in overtime pay due to improvements in operational execution and a $0.2 million decrease related to COVID-19 sick pay. The decrease in labor and related expenses for the quarter was partially offset by a $1.2 million increase primarily related to higher wage rates from minimum wage increases in California during fiscal 2023 and 2022 and other labor wage increases as a result of competitive pressure and a $0.4 million increase in worker’s compensation expenses and a $0.5 million increase in labor related costs related to improved management staffing.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color w:val="auto"/>
        </w:rPr>
        <w:t>Year-to-date, labor and related expenses decreased $1.9 million, or 2.8%, from the comparable period in the prior year.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decrease for the year-to-date period was due to a $2.2 million decrease related to the 3.5% decrease in year-over-year sales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transactions, a $2.1 million decrease in overtime pay due to improvements in operational execution and a $1.4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decrease related to COVID-19 sick pay. The decrease in labor and related expenses for the year was partially offset by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$2.4 million increase primarily related to higher wage rates from minimum wage increases in California during fiscal 2023</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2022 and other labor wage increases as a result of competitive pressure and a $1.4 million increase in labor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costs related to improved management staffing.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For the quarter ended June 28, 2023, labor and related expenses as a percentage of company-operated restaurant revenue were 31.1%, up from 31.0% in the comparable period in the prior year. The percentage change for the quarter was impacted by the cost increases highlighted above, partially offset by an increase in pricing. Year-to-date labor and related expenses as a percentage of company-operated restaurant revenue were 31.6%, down from 32.8% in the comparable period in the prior year primarily due to the increase in pricing, and overtime and sick pay decreases, partially offset by the cost increases highlighted above.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For the quarter ended June 28, 2023, occupancy and other operating expenses decreased $0.3 million, or 1.0%, from the comparable period in the prior year. The decrease was primarily due to a $0.6 million decrease in utilities, offset by a $0.3 million increase in occupancy costs.</w:t>
      </w:r>
    </w:p>
    <w:p>
      <w:pPr>
        <w:spacing w:after="0" w:line="184"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Year-to-date, occupancy and other operating expenses increased $0.8 million, or 1.6%, from the comparable period in the prior year. The increase was primarily due to a $0.7 million increase in occupancy costs, a $0.2 million increase in other operating supplies and a $0.3 million increase in repairs and maintenance. The year-to-date increase in occupancy and other operating expenses was partially offset by a $0.4 million decrease in utilities.</w:t>
      </w:r>
    </w:p>
    <w:p>
      <w:pPr>
        <w:spacing w:after="0" w:line="171"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For the quarter ended June 28, 2023, occupancy and other operating expenses as a percentage of company-operated restaurant revenue were 24.6%, up from 24.3% in the comparable period. Year-to-date, occupancy and other operating expenses as a percentage of company-operated restaurant revenue were 25.0%, up from 24.7% in the comparable period of the prior year. Both the quarter and year-to-date period increases resulted from the cost increases highlighted above.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on Recovery of Insurance Proceeds</w:t>
      </w:r>
    </w:p>
    <w:p>
      <w:pPr>
        <w:spacing w:after="0" w:line="22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In September 2022, one of our restaurants incurred damage resulting from a fire. In 2022, we disposed of less than $0.1 million of assets related to the fire. The restaurant was reopened for business on October 27, 2022. In fiscal 2023, we incurred costs directly related to the fire of less than $0.1 million. We recognized gains of $0.2 million related to the reimbursement of property and equipment and expenses incurred and $0.2 million related to the reimbursement of lost profits. The gain on recovery of insurance proceeds and reimbursement of lost profits, net of the related costs is included in the accompanying condensed consolidated statements of income, for the twenty-six weeks ended June 28, 2023, as a reduction of company restaurant expenses. We received from the insurance company cash of $0.4 million, net of the insurance deductible, during fiscal 2023.</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60" w:right="579"/>
        <w:spacing w:after="0" w:line="311" w:lineRule="auto"/>
        <w:rPr>
          <w:sz w:val="20"/>
          <w:szCs w:val="20"/>
          <w:color w:val="auto"/>
        </w:rPr>
      </w:pPr>
      <w:r>
        <w:rPr>
          <w:rFonts w:ascii="Arial" w:cs="Arial" w:eastAsia="Arial" w:hAnsi="Arial"/>
          <w:sz w:val="16"/>
          <w:szCs w:val="16"/>
          <w:color w:val="auto"/>
        </w:rPr>
        <w:t>For the quarter ended June 28, 2023, general and administrative expenses increased $1.4 million, or 14.8%, from the comparable period in the prior year. The increase for the quarter was primarily due to a $1.1 million increase in restructuring costs related to certain positions in the organization and a $0.3 million increase in labor related costs.</w:t>
      </w:r>
    </w:p>
    <w:p>
      <w:pPr>
        <w:spacing w:after="0" w:line="149" w:lineRule="exact"/>
        <w:rPr>
          <w:sz w:val="20"/>
          <w:szCs w:val="20"/>
          <w:color w:val="auto"/>
        </w:rPr>
      </w:pPr>
    </w:p>
    <w:p>
      <w:pPr>
        <w:ind w:left="60" w:right="379"/>
        <w:spacing w:after="0" w:line="293" w:lineRule="auto"/>
        <w:rPr>
          <w:sz w:val="20"/>
          <w:szCs w:val="20"/>
          <w:color w:val="auto"/>
        </w:rPr>
      </w:pPr>
      <w:r>
        <w:rPr>
          <w:rFonts w:ascii="Arial" w:cs="Arial" w:eastAsia="Arial" w:hAnsi="Arial"/>
          <w:sz w:val="16"/>
          <w:szCs w:val="16"/>
          <w:color w:val="auto"/>
        </w:rPr>
        <w:t>Year-to-date, general and administrative expenses increased $2.7 million, or 13.6%, from the comparable period in the prior year. The increase for the year-to-date period was due primarily to a $1.4 million increase in labor related costs, primarily related to an increase in estimated management bonus expense, a $1.1 million increase in restructuring costs related to certain positions in the organization, and a $0.3 million increase in special costs related to the recent share distribution (see Note 9, “Related Party Transactions” for further details on the share distribution). As of June 28, 2023, there were no material restructuring-related accrued liabilities on our condensed consolidated balance sheet.</w:t>
      </w:r>
    </w:p>
    <w:p>
      <w:pPr>
        <w:spacing w:after="0" w:line="164"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For the quarter ended June 28, 2023, general and administrative expenses as a percentage of total revenue were 9.1%, up from 7.8% in the comparable period of the prior year. Year-to-date, general and administrative expenses as a percentage of total revenue were 9.5%, up from 8.4% in the comparable period of the prior year. The percentage increase for both the quarterly and year-to-date periods is primarily due to the cost increases discussed above.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on Disposition of Restaurants</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During the twenty-six weeks ended June 28, 2023, we completed the sale of one restaurant within the Orange County area to an existing franchisee. This sale resulted in cash proceeds of $0.2 million and a net gain on sale of restaurant of $0.1 million for the twenty-six weeks ended June 28, 2023.</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225"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During both the thirteen and twenty-six weeks ended June 28, 2023, we recorded non-cash impairment charges of less than $0.1 million, primarily related to the carrying value of ROU assets of one restaurant in California. During the thirteen and twenty-six weeks ended June 29, 2022, we recorded non-cash impairment charges of $0.2 million and $0.3 million, respectively, primarily related to the long-lived assets of one restaurant in California. Given the inherent uncertainty in projecting results for newer restaurants in newer markets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66"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both the thirteen and twenty-six weeks ended June 28, 2023, we recognized less than $0.1 million of closed-store reserve expense related to the amortization of ROU assets, property taxes and CAM payments for our closed locations. During both the thirteen and twenty-six weeks ended June 29, 2022, we recognized $0.1 million of closed-store reserve expense related to the amortization of ROU assets, property taxes and CAM payments for our closed locations.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the quarter ended June 28, 2023, interest expense, net, increased $0.6 million from the comparable period in the</w:t>
      </w:r>
    </w:p>
    <w:p>
      <w:pPr>
        <w:spacing w:after="0" w:line="35" w:lineRule="exact"/>
        <w:rPr>
          <w:sz w:val="20"/>
          <w:szCs w:val="20"/>
          <w:color w:val="auto"/>
        </w:rPr>
      </w:pPr>
    </w:p>
    <w:p>
      <w:pPr>
        <w:ind w:left="60" w:right="119"/>
        <w:spacing w:after="0" w:line="252" w:lineRule="auto"/>
        <w:rPr>
          <w:sz w:val="20"/>
          <w:szCs w:val="20"/>
          <w:color w:val="auto"/>
        </w:rPr>
      </w:pPr>
      <w:r>
        <w:rPr>
          <w:rFonts w:ascii="Arial" w:cs="Arial" w:eastAsia="Arial" w:hAnsi="Arial"/>
          <w:sz w:val="18"/>
          <w:szCs w:val="18"/>
          <w:color w:val="auto"/>
        </w:rPr>
        <w:t>prior year. For the year-to-date period, interest expense, net, increased $1.1 million from the comparable period in the prior year. Both the quarter and year-to-date period increase in interest expense was primarily related to the higher outstanding balances on our 2022 Revolver (as defined below) as well as the higher interest rates in the fiscal 2023 periods versus the comparable periods in the prior year. This increase was partially offset by the unwinding of our interest rate swap and the corresponding payout that was recognized as part of interest income during the thirteen and twenty-six weeks ended June 28, 2023.</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225"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On July 30, 2014, we entered into the income tax receivable agreement (the “TRA”). The TRA calls for us to pay to our pre-IPO stockholders 85% of the savings in cash that we realize in our taxes as a result of utilizing our net operating losses (“NOLs”) and other tax attributes attributable to preceding periods. For the thirteen and twenty-six weeks ended</w:t>
      </w:r>
    </w:p>
    <w:p>
      <w:pPr>
        <w:spacing w:after="0" w:line="2" w:lineRule="exact"/>
        <w:rPr>
          <w:sz w:val="20"/>
          <w:szCs w:val="20"/>
          <w:color w:val="auto"/>
        </w:rPr>
      </w:pPr>
    </w:p>
    <w:p>
      <w:pPr>
        <w:jc w:val="both"/>
        <w:ind w:left="60" w:right="99"/>
        <w:spacing w:after="0" w:line="277" w:lineRule="auto"/>
        <w:rPr>
          <w:sz w:val="20"/>
          <w:szCs w:val="20"/>
          <w:color w:val="auto"/>
        </w:rPr>
      </w:pPr>
      <w:r>
        <w:rPr>
          <w:rFonts w:ascii="Arial" w:cs="Arial" w:eastAsia="Arial" w:hAnsi="Arial"/>
          <w:sz w:val="17"/>
          <w:szCs w:val="17"/>
          <w:color w:val="auto"/>
        </w:rPr>
        <w:t>June 28, 2023, we recorded income tax receivable agreement expense of $0.1 million and income tax receivable agreement income of less than $0.1 million, respectively, and for the thirteen and twenty-six weeks ended June 29, 2022 we recorded income tax receivable agreement income of $0.2 million and $0.3 million, respectively.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For the quarter ended June 28, 2023, we recorded an income tax provision of $2.7 million, reflecting an estimated effective tax rate of 27.9%. For the quarter ended June 29, 2022, we recorded an income tax provision of $3.1 million, reflecting an estimated effective tax rate of approximately 30.0%. For the year-to-date period ended June 28, 2023, we recorded an income tax provision of $4.7 million, reflecting an estimated effective tax rate of approximately 28.1%. For the year-to-date period ended June 29, 2022, we recorded an income tax provision of $4.0 million, reflecting an estimated effective tax rate of approximately 30.0%.</w:t>
      </w:r>
    </w:p>
    <w:p>
      <w:pPr>
        <w:spacing w:after="0" w:line="192" w:lineRule="exact"/>
        <w:rPr>
          <w:sz w:val="20"/>
          <w:szCs w:val="20"/>
          <w:color w:val="auto"/>
        </w:rPr>
      </w:pPr>
    </w:p>
    <w:p>
      <w:pPr>
        <w:jc w:val="both"/>
        <w:ind w:left="60" w:right="539"/>
        <w:spacing w:after="0" w:line="263" w:lineRule="auto"/>
        <w:rPr>
          <w:sz w:val="20"/>
          <w:szCs w:val="20"/>
          <w:color w:val="auto"/>
        </w:rPr>
      </w:pPr>
      <w:r>
        <w:rPr>
          <w:rFonts w:ascii="Arial" w:cs="Arial" w:eastAsia="Arial" w:hAnsi="Arial"/>
          <w:sz w:val="18"/>
          <w:szCs w:val="18"/>
          <w:color w:val="auto"/>
        </w:rPr>
        <w:t>The difference between the 21.0% statutory rate and our effective tax rate of 28.1% for the year-to-date period ended June 28, 2023 is primarily a result of state taxes, a non-deductible executive compensation, partially offset by a Work Opportunity Tax Credit benefit.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jc w:val="both"/>
        <w:ind w:left="60" w:right="659"/>
        <w:spacing w:after="0" w:line="311" w:lineRule="auto"/>
        <w:rPr>
          <w:sz w:val="20"/>
          <w:szCs w:val="20"/>
          <w:color w:val="auto"/>
        </w:rPr>
      </w:pPr>
      <w:r>
        <w:rPr>
          <w:rFonts w:ascii="Arial" w:cs="Arial" w:eastAsia="Arial" w:hAnsi="Arial"/>
          <w:sz w:val="16"/>
          <w:szCs w:val="16"/>
          <w:color w:val="auto"/>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System-Wide Sales</w:t>
      </w:r>
    </w:p>
    <w:p>
      <w:pPr>
        <w:spacing w:after="0" w:line="225"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System-wide sales are neither required by, nor presented in accordance with GAAP. System-wide sales are the sum of company-operated restaurant revenue and sales from franchised restaurants. Our total revenue in our condensed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reconciles system-wide sales to company-operated restaurant revenue and total revenue:</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w w:val="99"/>
              </w:rPr>
              <w:t>Thirteen Weeks Ended</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3"/>
              </w:rPr>
              <w:t>Twenty-Six Weeks Ended</w:t>
            </w: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0"/>
              </w:rPr>
              <w:t>June 28, 2023</w:t>
            </w: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June 29, 2022</w:t>
            </w:r>
          </w:p>
        </w:tc>
        <w:tc>
          <w:tcPr>
            <w:tcW w:w="80" w:type="dxa"/>
            <w:vAlign w:val="bottom"/>
          </w:tcPr>
          <w:p>
            <w:pPr>
              <w:spacing w:after="0"/>
              <w:rPr>
                <w:sz w:val="12"/>
                <w:szCs w:val="12"/>
                <w:color w:val="auto"/>
              </w:rPr>
            </w:pPr>
          </w:p>
        </w:tc>
        <w:tc>
          <w:tcPr>
            <w:tcW w:w="10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June 28, 2023</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June 29, 2022</w:t>
            </w: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103,901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106,454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201,774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200,411</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Franchise revenue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advertising fee revenue</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14,429</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121,492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124,111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236,018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234,159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(19,791)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Franchise advertising fee revenue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(7,472)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(14,453)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(14,429)</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from franchised restaurants</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166,452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169,032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322,066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321,609</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System-wide sales</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270,353</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275,486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523,840</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522,020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225" w:lineRule="exact"/>
        <w:rPr>
          <w:sz w:val="20"/>
          <w:szCs w:val="20"/>
          <w:color w:val="auto"/>
        </w:rPr>
      </w:pPr>
    </w:p>
    <w:p>
      <w:pPr>
        <w:jc w:val="both"/>
        <w:ind w:left="60" w:right="499"/>
        <w:spacing w:after="0" w:line="259"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7"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left="60" w:right="199"/>
        <w:spacing w:after="0" w:line="286"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June 28, 2023 and June 29, 2022, there were 470 and 465 comparable restaurants, 182 and 183 company-operated restaurants and 288 and</w:t>
      </w:r>
    </w:p>
    <w:p>
      <w:pPr>
        <w:spacing w:after="0" w:line="1"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282 franchised restaurants, respectively. Comparable restaurant sales indicate the performance of existing restaurants, since new restaurants are excluded.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spacing w:after="0" w:line="178"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225"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80"/>
        <w:spacing w:after="0" w:line="275" w:lineRule="auto"/>
        <w:rPr>
          <w:sz w:val="20"/>
          <w:szCs w:val="20"/>
          <w:color w:val="auto"/>
        </w:rPr>
      </w:pPr>
      <w:r>
        <w:rPr>
          <w:rFonts w:ascii="Arial" w:cs="Arial" w:eastAsia="Arial" w:hAnsi="Arial"/>
          <w:sz w:val="17"/>
          <w:szCs w:val="17"/>
          <w:color w:val="auto"/>
        </w:rPr>
        <w:t>and amortization, asset impairment and closed-store reserve,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76" w:lineRule="exact"/>
        <w:rPr>
          <w:sz w:val="20"/>
          <w:szCs w:val="20"/>
          <w:color w:val="auto"/>
        </w:rPr>
      </w:pPr>
    </w:p>
    <w:p>
      <w:pPr>
        <w:ind w:left="60" w:right="80"/>
        <w:spacing w:after="0" w:line="289" w:lineRule="auto"/>
        <w:rPr>
          <w:sz w:val="20"/>
          <w:szCs w:val="20"/>
          <w:color w:val="auto"/>
        </w:rPr>
      </w:pPr>
      <w:r>
        <w:rPr>
          <w:rFonts w:ascii="Arial" w:cs="Arial" w:eastAsia="Arial" w:hAnsi="Arial"/>
          <w:sz w:val="16"/>
          <w:szCs w:val="16"/>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a supplemental measure of restaurant performance.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 operating is useful to investors to highlight trends in our core business that may not otherwise be apparent to investors when relying solely on GAAP financial measures.</w:t>
      </w:r>
    </w:p>
    <w:p>
      <w:pPr>
        <w:spacing w:after="0" w:line="166" w:lineRule="exact"/>
        <w:rPr>
          <w:sz w:val="20"/>
          <w:szCs w:val="20"/>
          <w:color w:val="auto"/>
        </w:rPr>
      </w:pPr>
    </w:p>
    <w:p>
      <w:pPr>
        <w:ind w:left="60" w:right="300"/>
        <w:spacing w:after="0" w:line="277" w:lineRule="auto"/>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Thirteen Weeks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4"/>
              </w:rPr>
              <w:t>Twenty-Six Weeks Ended</w:t>
            </w: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28, 2023</w:t>
            </w: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29, 2022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June 28, 2023</w:t>
            </w: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June 29, 2022</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10,888</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10,429</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18,639</w:t>
            </w:r>
          </w:p>
        </w:tc>
        <w:tc>
          <w:tcPr>
            <w:tcW w:w="1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13,749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(less):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22,307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Franchise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7,331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7,215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loss on disposal of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40" w:type="dxa"/>
            <w:vAlign w:val="bottom"/>
          </w:tcPr>
          <w:p>
            <w:pPr>
              <w:ind w:left="120"/>
              <w:spacing w:after="0" w:line="201" w:lineRule="exact"/>
              <w:rPr>
                <w:sz w:val="20"/>
                <w:szCs w:val="20"/>
                <w:color w:val="auto"/>
              </w:rPr>
            </w:pPr>
            <w:r>
              <w:rPr>
                <w:rFonts w:ascii="Arial" w:cs="Arial" w:eastAsia="Arial" w:hAnsi="Arial"/>
                <w:sz w:val="18"/>
                <w:szCs w:val="18"/>
                <w:color w:val="auto"/>
              </w:rPr>
              <w:t>Gain on recovery of insurance proceeds, property,</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equipment and expenses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Franchise revenue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Franchise advertising fee revenue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(7,593)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(14,453)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(14,429)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and closed-store reserves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Loss (gain) on disposition of restaurants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25,624</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121,492</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124,111</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236,018</w:t>
            </w:r>
          </w:p>
        </w:tc>
        <w:tc>
          <w:tcPr>
            <w:tcW w:w="1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234,159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Franchise revenue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(19,791)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(14,429)</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103,901</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106,454</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201,774</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200,411</w:t>
            </w:r>
          </w:p>
        </w:tc>
        <w:tc>
          <w:tcPr>
            <w:tcW w:w="4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Restaurant contribution margin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16.9 %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15.0 %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16.0 %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225" w:lineRule="exact"/>
        <w:rPr>
          <w:sz w:val="20"/>
          <w:szCs w:val="20"/>
          <w:color w:val="auto"/>
        </w:rPr>
      </w:pPr>
    </w:p>
    <w:p>
      <w:pPr>
        <w:ind w:left="60" w:right="80"/>
        <w:spacing w:after="0" w:line="290" w:lineRule="auto"/>
        <w:rPr>
          <w:sz w:val="20"/>
          <w:szCs w:val="20"/>
          <w:color w:val="auto"/>
        </w:rPr>
      </w:pPr>
      <w:r>
        <w:rPr>
          <w:rFonts w:ascii="Arial" w:cs="Arial" w:eastAsia="Arial" w:hAnsi="Arial"/>
          <w:sz w:val="16"/>
          <w:szCs w:val="16"/>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higher-than-normal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ectPr>
          <w:pgSz w:w="11900" w:h="16838" w:orient="portrait"/>
          <w:cols w:equalWidth="0" w:num="1">
            <w:col w:w="9020"/>
          </w:cols>
          <w:pgMar w:left="1440" w:top="517" w:right="14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other items that we do not consider representative of our on-going operating performance, as identified in the reconciliation table below.</w:t>
      </w:r>
    </w:p>
    <w:p>
      <w:pPr>
        <w:spacing w:after="0" w:line="187"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8"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84"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reconciliations of our net income to our EBITDA and Adjusted EBITDA:</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80" w:type="dxa"/>
            <w:vAlign w:val="bottom"/>
          </w:tcPr>
          <w:p>
            <w:pPr>
              <w:spacing w:after="0"/>
              <w:rPr>
                <w:sz w:val="14"/>
                <w:szCs w:val="14"/>
                <w:color w:val="auto"/>
              </w:rPr>
            </w:pPr>
          </w:p>
        </w:tc>
        <w:tc>
          <w:tcPr>
            <w:tcW w:w="1740" w:type="dxa"/>
            <w:vAlign w:val="bottom"/>
            <w:gridSpan w:val="5"/>
          </w:tcPr>
          <w:p>
            <w:pPr>
              <w:jc w:val="right"/>
              <w:ind w:right="170"/>
              <w:spacing w:after="0"/>
              <w:rPr>
                <w:sz w:val="20"/>
                <w:szCs w:val="20"/>
                <w:color w:val="auto"/>
              </w:rPr>
            </w:pPr>
            <w:r>
              <w:rPr>
                <w:rFonts w:ascii="Arial" w:cs="Arial" w:eastAsia="Arial" w:hAnsi="Arial"/>
                <w:sz w:val="14"/>
                <w:szCs w:val="14"/>
                <w:b w:val="1"/>
                <w:bCs w:val="1"/>
                <w:color w:val="auto"/>
                <w:w w:val="97"/>
              </w:rPr>
              <w:t>Thirteen Weeks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820" w:type="dxa"/>
            <w:vAlign w:val="bottom"/>
            <w:gridSpan w:val="3"/>
            <w:vMerge w:val="continue"/>
          </w:tcPr>
          <w:p>
            <w:pPr>
              <w:spacing w:after="0"/>
              <w:rPr>
                <w:sz w:val="12"/>
                <w:szCs w:val="12"/>
                <w:color w:val="auto"/>
              </w:rPr>
            </w:pPr>
          </w:p>
        </w:tc>
        <w:tc>
          <w:tcPr>
            <w:tcW w:w="9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8"/>
              </w:rPr>
              <w:t>June 28, 2023</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29, 2022</w:t>
            </w:r>
          </w:p>
        </w:tc>
        <w:tc>
          <w:tcPr>
            <w:tcW w:w="140" w:type="dxa"/>
            <w:vAlign w:val="bottom"/>
          </w:tcPr>
          <w:p>
            <w:pPr>
              <w:spacing w:after="0"/>
              <w:rPr>
                <w:sz w:val="12"/>
                <w:szCs w:val="12"/>
                <w:color w:val="auto"/>
              </w:rPr>
            </w:pPr>
          </w:p>
        </w:tc>
        <w:tc>
          <w:tcPr>
            <w:tcW w:w="10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28, 2023</w:t>
            </w: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June 29, 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11,974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3"/>
          </w:tcPr>
          <w:p>
            <w:pPr>
              <w:ind w:left="20"/>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14,461</w:t>
            </w:r>
          </w:p>
        </w:tc>
        <w:tc>
          <w:tcPr>
            <w:tcW w:w="80" w:type="dxa"/>
            <w:vAlign w:val="bottom"/>
          </w:tcPr>
          <w:p>
            <w:pPr>
              <w:spacing w:after="0"/>
              <w:rPr>
                <w:sz w:val="18"/>
                <w:szCs w:val="18"/>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14,233</w:t>
            </w:r>
          </w:p>
        </w:tc>
        <w:tc>
          <w:tcPr>
            <w:tcW w:w="26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25,971</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21,280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(a)</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(Gain) loss on disposal of assets (b)</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Impairment and closed-store reserves (c)</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Loss (gain) on disposition of restaurants (d)</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receivable agreement expense (income) (e)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Securities class action legal expense (f)</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 dividend (g)</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Special legal (h)</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Gain on recovery of insurance proceeds (i)</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Severance (j)</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Pre-opening costs (k)</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15,366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28,791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380" w:right="99" w:hanging="330"/>
        <w:spacing w:after="0" w:line="25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(Gain) loss on disposal of assets includes the (gain) loss on disposal of assets related to retirements and replacement or write-off of leasehold improvements or equipment.</w:t>
      </w:r>
    </w:p>
    <w:p>
      <w:pPr>
        <w:ind w:left="380" w:right="259" w:hanging="330"/>
        <w:spacing w:after="0" w:line="265"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costs related to impairment of long-lived and ROU assets and closing restaurants. During both the thirteen and twenty-six weeks ended June 28, 2023, we recorded non-cash impairment charges of less than $0.1 million, primarily related to the carrying value of ROU assets of one restaurant in California. During the thirteen and twenty-six weeks ended June 29, 2022, we recorded non-cash impairment charges of $0.2 million and $0.3 million, respectively, primarily related to the long-lived assets of one restaurant in California.</w:t>
      </w:r>
    </w:p>
    <w:p>
      <w:pPr>
        <w:ind w:left="380" w:right="219"/>
        <w:spacing w:after="0" w:line="250" w:lineRule="auto"/>
        <w:rPr>
          <w:rFonts w:ascii="Arial" w:cs="Arial" w:eastAsia="Arial" w:hAnsi="Arial"/>
          <w:sz w:val="17"/>
          <w:szCs w:val="17"/>
          <w:color w:val="auto"/>
        </w:rPr>
      </w:pPr>
      <w:r>
        <w:rPr>
          <w:rFonts w:ascii="Arial" w:cs="Arial" w:eastAsia="Arial" w:hAnsi="Arial"/>
          <w:sz w:val="18"/>
          <w:szCs w:val="18"/>
          <w:color w:val="auto"/>
        </w:rPr>
        <w:t>During both the thirteen and twenty-six weeks ended June 28, 2023, we recognized less than $0.1 million of closed-store reserve expense related to the amortization of ROU assets, property taxes and CAM payments for our closed locations. During both the thirteen and twenty-six weeks ended June 29, 2022, we recognized $0.1 million of closed-store reserve expense related to the amortization of ROU assets, property taxes and CAM payments for our closed locations.</w:t>
      </w:r>
    </w:p>
    <w:p>
      <w:pPr>
        <w:spacing w:after="0" w:line="1" w:lineRule="exact"/>
        <w:rPr>
          <w:rFonts w:ascii="Arial" w:cs="Arial" w:eastAsia="Arial" w:hAnsi="Arial"/>
          <w:sz w:val="17"/>
          <w:szCs w:val="17"/>
          <w:color w:val="auto"/>
        </w:rPr>
      </w:pPr>
    </w:p>
    <w:p>
      <w:pPr>
        <w:ind w:left="380" w:right="99" w:hanging="330"/>
        <w:spacing w:after="0" w:line="25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twenty-six weeks ended June 28, 2023, we completed the sale of one restaurant within the Orange County area to an existing franchisee. This sale resulted in cash proceeds of $0.2 million and a net gain on sale of restaurant of $0.1 million during the twenty-six weeks ended June 28, 2023.</w:t>
      </w:r>
    </w:p>
    <w:p>
      <w:pPr>
        <w:spacing w:after="0" w:line="1" w:lineRule="exact"/>
        <w:rPr>
          <w:rFonts w:ascii="Arial" w:cs="Arial" w:eastAsia="Arial" w:hAnsi="Arial"/>
          <w:sz w:val="18"/>
          <w:szCs w:val="18"/>
          <w:color w:val="auto"/>
        </w:rPr>
      </w:pPr>
    </w:p>
    <w:p>
      <w:pPr>
        <w:ind w:left="380" w:right="139" w:hanging="330"/>
        <w:spacing w:after="0" w:line="265"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July 30, 2014, we entered into the TRA. This agreement calls for us to pay to our pre-IPO stockholders 85% of the savings in cash that we realize in our taxes as a result of utilizing our NOLs and other tax attributes attributable to preceding periods. For the thirteen and twenty-six weeks ended June 28, 2023 and June 29, 2022, income tax receivable agreement expense (income) consisted of the amortization of interest expense and changes in estimates for actual tax returns filed, related to our total expected TRA payments.</w:t>
      </w: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costs and recoveries related to the defense of securities lawsuits.</w:t>
      </w:r>
    </w:p>
    <w:p>
      <w:pPr>
        <w:spacing w:after="0" w:line="9" w:lineRule="exact"/>
        <w:rPr>
          <w:rFonts w:ascii="Arial" w:cs="Arial" w:eastAsia="Arial" w:hAnsi="Arial"/>
          <w:sz w:val="18"/>
          <w:szCs w:val="18"/>
          <w:color w:val="auto"/>
        </w:rPr>
      </w:pPr>
    </w:p>
    <w:p>
      <w:pPr>
        <w:ind w:left="380" w:right="139" w:hanging="330"/>
        <w:spacing w:after="0" w:line="25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costs related to a special dividend declaration. On October 11, 2022, the Board of Directors declared a special dividend of $1.50 per share on the common stock of the Company. The special dividend was paid on November 9, 2022, to stockholders of record, including holders of restricted stock, at the close of business on October 24, 2022.</w:t>
      </w:r>
    </w:p>
    <w:p>
      <w:pPr>
        <w:spacing w:after="0" w:line="1" w:lineRule="exact"/>
        <w:rPr>
          <w:rFonts w:ascii="Arial" w:cs="Arial" w:eastAsia="Arial" w:hAnsi="Arial"/>
          <w:sz w:val="18"/>
          <w:szCs w:val="18"/>
          <w:color w:val="auto"/>
        </w:rPr>
      </w:pPr>
    </w:p>
    <w:p>
      <w:pPr>
        <w:ind w:left="380" w:right="619" w:hanging="330"/>
        <w:spacing w:after="0" w:line="25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legal costs related to the recent share distribution that occurred on March 28, 2023. Refer to Note 9, “Related Party Transactions” for further details on the share distribution.</w:t>
      </w:r>
    </w:p>
    <w:p>
      <w:pPr>
        <w:ind w:left="380" w:hanging="330"/>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September 2022, one of our restaurants incurred damage resulting from a fire. In 2022, we disposed of less than</w:t>
      </w:r>
    </w:p>
    <w:p>
      <w:pPr>
        <w:spacing w:after="0" w:line="32" w:lineRule="exact"/>
        <w:rPr>
          <w:rFonts w:ascii="Arial" w:cs="Arial" w:eastAsia="Arial" w:hAnsi="Arial"/>
          <w:sz w:val="16"/>
          <w:szCs w:val="16"/>
          <w:color w:val="auto"/>
        </w:rPr>
      </w:pPr>
    </w:p>
    <w:p>
      <w:pPr>
        <w:ind w:left="380" w:right="119"/>
        <w:spacing w:after="0" w:line="292" w:lineRule="auto"/>
        <w:rPr>
          <w:rFonts w:ascii="Arial" w:cs="Arial" w:eastAsia="Arial" w:hAnsi="Arial"/>
          <w:sz w:val="16"/>
          <w:szCs w:val="16"/>
          <w:color w:val="auto"/>
        </w:rPr>
      </w:pPr>
      <w:r>
        <w:rPr>
          <w:rFonts w:ascii="Arial" w:cs="Arial" w:eastAsia="Arial" w:hAnsi="Arial"/>
          <w:sz w:val="16"/>
          <w:szCs w:val="16"/>
          <w:color w:val="auto"/>
        </w:rPr>
        <w:t>$0.1 million of assets related to the fire. The restaurant was reopened for business on October 27, 2022. In fiscal 2023, we incurred costs directly related to the fire of less than $0.1 million. We recognized gains of $0.2 million, related to the reimbursement of property and equipment and expenses incurred and $0.2 million related to the reimbursement of lost profits. The gain on recovery of insurance proceeds and reimbursement of lost profits, net of the related costs is included in the accompanying condensed consolidated statements of income, for fiscal 2023, as a</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right="279"/>
        <w:spacing w:after="0" w:line="258" w:lineRule="auto"/>
        <w:rPr>
          <w:sz w:val="20"/>
          <w:szCs w:val="20"/>
          <w:color w:val="auto"/>
        </w:rPr>
      </w:pPr>
      <w:r>
        <w:rPr>
          <w:rFonts w:ascii="Arial" w:cs="Arial" w:eastAsia="Arial" w:hAnsi="Arial"/>
          <w:sz w:val="18"/>
          <w:szCs w:val="18"/>
          <w:color w:val="auto"/>
        </w:rPr>
        <w:t>reduction of company restaurant expenses. We received from the insurance company cash of $0.4 million, net of the insurance deductible, during fiscal 2023.</w:t>
      </w:r>
    </w:p>
    <w:p>
      <w:pPr>
        <w:spacing w:after="0" w:line="1" w:lineRule="exact"/>
        <w:rPr>
          <w:sz w:val="20"/>
          <w:szCs w:val="20"/>
          <w:color w:val="auto"/>
        </w:rPr>
      </w:pPr>
    </w:p>
    <w:p>
      <w:pPr>
        <w:ind w:left="380" w:right="299" w:hanging="330"/>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April 13, 2023 the Company made the decision to eliminate and restructure certain positions in the organization, which resulted in estimated one-time costs of approximately $1.1 million.</w:t>
      </w:r>
    </w:p>
    <w:p>
      <w:pPr>
        <w:ind w:left="380" w:right="99" w:hanging="330"/>
        <w:spacing w:after="0" w:line="271"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Our primary sources of liquidity and capital resources have been cash provided from operations, cash and cash equivalents, and our 2022 Revolver (defined below).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from the issuance of the condensed consolidated financial statements.</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summary cash flow information for the periods indicated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4"/>
                <w:szCs w:val="14"/>
                <w:color w:val="auto"/>
              </w:rPr>
            </w:pPr>
          </w:p>
        </w:tc>
        <w:tc>
          <w:tcPr>
            <w:tcW w:w="24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28, 2023</w:t>
            </w: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4"/>
              </w:rPr>
              <w:t>June 29, 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21,796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(8,899)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(8,831)</w:t>
            </w:r>
          </w:p>
        </w:tc>
        <w:tc>
          <w:tcPr>
            <w:tcW w:w="0" w:type="dxa"/>
            <w:vAlign w:val="bottom"/>
          </w:tcPr>
          <w:p>
            <w:pPr>
              <w:spacing w:after="0"/>
              <w:rPr>
                <w:sz w:val="1"/>
                <w:szCs w:val="1"/>
                <w:color w:val="auto"/>
              </w:rPr>
            </w:pPr>
          </w:p>
        </w:tc>
      </w:tr>
      <w:tr>
        <w:trPr>
          <w:trHeight w:val="216"/>
        </w:trPr>
        <w:tc>
          <w:tcPr>
            <w:tcW w:w="634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(23,207)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increase in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For the twenty-six weeks ended June 28, 2023, net cash from operating activities increased by approximately $10.0 million from the comparable period of the prior year. This change was due to favorable working capital fluctuations and higher profitability compared to the same period in the prior year.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For the twenty-six weeks ended June 28, 2023, net cash used in investing activities changed by $0.1 million from the comparable period of the prior year. This change was due primarily to remodeling more restaurants in the twenty-six weeks ended June 28, 2023, compared to the twenty-six weeks ended June 29,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For the twenty-six weeks ended June 28, 2023, net cash used in financing activities changed by $24.5 million from the comparable period of the prior year. The change was due primarily to $6.0 million of net pay downs on the 2022 Revolver and repurchases of common stock of $17.8 million during the twenty-six weeks ended June 28, 2023. This change was further impacted by a $0.8 million cash inflow related to option exercises during the twenty-six weeks ended June 28, 2023 compared to a $1.6 million cash inflow related to option exercises during twenty-six weeks ended June 29,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225" w:lineRule="exact"/>
        <w:rPr>
          <w:sz w:val="20"/>
          <w:szCs w:val="20"/>
          <w:color w:val="auto"/>
        </w:rPr>
      </w:pPr>
    </w:p>
    <w:p>
      <w:pPr>
        <w:ind w:left="60" w:right="259"/>
        <w:spacing w:after="0" w:line="270" w:lineRule="auto"/>
        <w:rPr>
          <w:sz w:val="20"/>
          <w:szCs w:val="20"/>
          <w:color w:val="auto"/>
        </w:rPr>
      </w:pPr>
      <w:r>
        <w:rPr>
          <w:rFonts w:ascii="Arial" w:cs="Arial" w:eastAsia="Arial" w:hAnsi="Arial"/>
          <w:sz w:val="17"/>
          <w:szCs w:val="17"/>
          <w:color w:val="auto"/>
        </w:rPr>
        <w:t>The Company, as a guarantor, is a party to a credit agreement (the “2022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spacing w:after="0" w:line="181"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The special dividend announced by the Company’s Board of Directors on October 11, 2022 was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pay under its TRA, and</w:t>
      </w:r>
    </w:p>
    <w:p>
      <w:pPr>
        <w:spacing w:after="0" w:line="2" w:lineRule="exact"/>
        <w:rPr>
          <w:sz w:val="20"/>
          <w:szCs w:val="20"/>
          <w:color w:val="auto"/>
        </w:rPr>
      </w:pPr>
    </w:p>
    <w:p>
      <w:pPr>
        <w:ind w:left="60" w:right="119" w:hanging="10"/>
        <w:spacing w:after="0" w:line="287" w:lineRule="auto"/>
        <w:tabs>
          <w:tab w:leader="none" w:pos="3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70"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The interest rate range was 6.22% to 8.50% and 5.69% to 8.50% for the thirteen and twenty-six weeks ended June 28, 2023 under the 2022 Revolver, respectively, and 1.70% to 2.87% and 1.35% to 2.87% for the thirteen and twenty-six weeks ended June 29, 2022 under the 2018 Revolver, respectively.</w:t>
      </w:r>
    </w:p>
    <w:p>
      <w:pPr>
        <w:spacing w:after="0" w:line="18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2022 Credit Agreement contains certain financial covenants. We were in compliance with the financial covenants as of June 28, 2023.</w:t>
      </w:r>
    </w:p>
    <w:p>
      <w:pPr>
        <w:spacing w:after="0" w:line="170" w:lineRule="exact"/>
        <w:rPr>
          <w:sz w:val="20"/>
          <w:szCs w:val="20"/>
          <w:color w:val="auto"/>
        </w:rPr>
      </w:pPr>
    </w:p>
    <w:p>
      <w:pPr>
        <w:ind w:left="60" w:right="659"/>
        <w:spacing w:after="0" w:line="342" w:lineRule="auto"/>
        <w:rPr>
          <w:sz w:val="20"/>
          <w:szCs w:val="20"/>
          <w:color w:val="auto"/>
        </w:rPr>
      </w:pPr>
      <w:r>
        <w:rPr>
          <w:rFonts w:ascii="Arial" w:cs="Arial" w:eastAsia="Arial" w:hAnsi="Arial"/>
          <w:sz w:val="16"/>
          <w:szCs w:val="16"/>
          <w:color w:val="auto"/>
        </w:rPr>
        <w:t>At June 28, 2023, $9.8 million of letters of credit and $60.0 million of borrowings were outstanding under the 2022 Revolver. There were $80.2 million remaining borrowings available under the 2022 Revolver at June 28, 2023.</w:t>
      </w:r>
    </w:p>
    <w:p>
      <w:pPr>
        <w:spacing w:after="0" w:line="124"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During the year ended December 28, 2022, we refinanced and terminated our credit agreement (the “2018 Credit Agreement”) among EPL, as borrower, the Company and Intermediate, as guarantors, Bank of America, N.A., as administrative agent, swingline lender, and letter of credit issuer, the lenders party thereto, and the other parties thereto, which provided for a $150.0 million five-year senior secured revolving credit facility (the “2018 Revolver”) and entered into the 2022 Credit Agreement. See Note 4, “Long-term debt” for additional information.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225"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Our material cash requirements as of June 28, 2023 have not changed materially since those disclosed under “Material Cash Requirements” in Part II, Item 7 of our annual report on Form 10-K for the year ended December 28, 2022. Our material cash requirements relate mostly to future (i) debt payments, including expected interest expense, calculated based on current interest rates, (ii) restaurant operating lease payments, (iii) income tax receivable agreement payments, (iv) purchasing commitments for chicken, (v) restaurant finance lease payments, and (vi) capital expenditures.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On October 11, 2022, the Company’s Board of Directors approved the 2022 Stock Repurchase Agreement under which the Company is authorized to repurchase up to $20.0 million of shares of its common stock. The 2022 Stock Repurchase Agreement will terminate on March 28, 2024, may be modified, suspended or discontinued at any time, and does not obligate the Company to acquire any particular number of shares.</w:t>
      </w:r>
    </w:p>
    <w:p>
      <w:pPr>
        <w:spacing w:after="0" w:line="187" w:lineRule="exact"/>
        <w:rPr>
          <w:sz w:val="20"/>
          <w:szCs w:val="20"/>
          <w:color w:val="auto"/>
        </w:rPr>
      </w:pPr>
    </w:p>
    <w:p>
      <w:pPr>
        <w:ind w:left="60" w:right="319"/>
        <w:spacing w:after="0" w:line="296" w:lineRule="auto"/>
        <w:rPr>
          <w:sz w:val="20"/>
          <w:szCs w:val="20"/>
          <w:color w:val="auto"/>
        </w:rPr>
      </w:pPr>
      <w:r>
        <w:rPr>
          <w:rFonts w:ascii="Arial" w:cs="Arial" w:eastAsia="Arial" w:hAnsi="Arial"/>
          <w:sz w:val="16"/>
          <w:szCs w:val="16"/>
          <w:color w:val="auto"/>
        </w:rPr>
        <w:t>Under the 2022 Stock Repurchase Plan, the Company is permitted to repurchase its common stock from time to time, in amounts and at prices that the Company deemed appropriate, subject to market conditions and other considerations. The Company’s repurchases will be executed using open market purchases, including pursuant to Rule 10b5-1 trading plans, and/or through privately negotiated transactions. As of June 28, 2023, $1.9 million remained available for repurchases under the 2022 Stock Repurchase Plan of which the entire balance has been completed subsequent to period end.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On July 27, 2022, we refinanced the 2018 Revolver and entered into the 2022 Credit Agreement, which provides for a $150 million five-year senior secured revolving facility. In connection with the refinancing, the 2018 Credit Agreement was terminated. We are exposed to market risk from changes in interest rates on our debt, which bears interest, at SOFR plus a margin between 1.25% and 2.25%. As of June 28, 2023, we had outstanding borrowings of $60.0 million under our 2022 Revolver, $9.8 million of letters of credit in support of our insurance programs, and the applicable margin on outstanding borrowings under 2022 Revolver was 1.5%. A 1.0% increase in the effective interest rate applied to our 2022 Revolver borrowings would result in a pre-tax interest expense increase of $0.6 million on an annualized basis.</w:t>
      </w:r>
    </w:p>
    <w:p>
      <w:pPr>
        <w:spacing w:after="0" w:line="166"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During the twenty-six weeks ended June 28, 2023, we borrowed $2.0 million and paid down $8.0 million on our 2022 Revolver and the outstanding balance as of June 28, 2023 was $60.0 million.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If future rates based upon SOFR are higher than SOFR rates as currently determined, we may experience potential increases in interest rates on our variable rate debt, which could adversely impact our interest expense, results of operations and cash flows.</w:t>
      </w:r>
    </w:p>
    <w:p>
      <w:pPr>
        <w:spacing w:after="0" w:line="19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In connection with our entry into the 2022 Credit Agreement, we terminated the interest rate swap previously used to hedge interest rate risk. In settlement of this swap, we received approximately $0.6 million. The remaining amount in AOCI related to the hedging relationship was reclassified into earnings when the hedged forecasted transaction was reported in earnings.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Inflation has an impact on food, paper, construction, utility, labor and benefits, general and administrative, and other costs, all of which can materially impact our operations. In general, we have been able to substantially offset cost increases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0" w:right="239"/>
        <w:spacing w:after="0" w:line="293" w:lineRule="auto"/>
        <w:rPr>
          <w:sz w:val="20"/>
          <w:szCs w:val="20"/>
          <w:color w:val="auto"/>
        </w:rPr>
      </w:pPr>
      <w:r>
        <w:rPr>
          <w:rFonts w:ascii="Arial" w:cs="Arial" w:eastAsia="Arial" w:hAnsi="Arial"/>
          <w:sz w:val="16"/>
          <w:szCs w:val="16"/>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92"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57"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concluded that our disclosure controls and procedures were effective, at the reasonable assurance level, as of June 28, 2023.</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No changes in our internal control over financial reporting occurred during the quarter ended June 28,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left="60" w:right="59"/>
        <w:spacing w:after="0" w:line="311" w:lineRule="auto"/>
        <w:rPr>
          <w:sz w:val="20"/>
          <w:szCs w:val="20"/>
          <w:color w:val="auto"/>
        </w:rPr>
      </w:pPr>
      <w:r>
        <w:rPr>
          <w:rFonts w:ascii="Arial" w:cs="Arial" w:eastAsia="Arial" w:hAnsi="Arial"/>
          <w:sz w:val="16"/>
          <w:szCs w:val="16"/>
          <w:color w:val="auto"/>
        </w:rPr>
        <w:t>We are involved in various claims such as wage and hour and other legal actions that arise in the ordinary course of business, but neither we nor our subsidiaries are party to any material legal proceedings. See Note 7, “Commitments and Contingencies—Legal Matters” in the “Notes to Condensed Consolidated Financial Statements” for additional information.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28, 2022 filed with the SEC on March 10, 2023.</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On October 11, 2022, the Company’s Board of Directors approved a share repurchase program (the “2022 Stock Repurchase Plan”) under which the Company is authorized to repurchase up to $20.0 million of shares of our common stock. The 2022 Stock Repurchase Plan will terminate on March 28, 2024, may be modified, suspended or discontinued at any time, and does not obligate the Company to acquire any particular number of shares. As of June 28, 2023, $1.9 million remained available for repurchases under the 2022 Stock Repurchase Plan of which the entire balance has been completed subsequent to period end.</w:t>
      </w:r>
    </w:p>
    <w:p>
      <w:pPr>
        <w:spacing w:after="0" w:line="192" w:lineRule="exact"/>
        <w:rPr>
          <w:sz w:val="20"/>
          <w:szCs w:val="20"/>
          <w:color w:val="auto"/>
        </w:rPr>
      </w:pPr>
    </w:p>
    <w:p>
      <w:pPr>
        <w:jc w:val="both"/>
        <w:ind w:left="60" w:right="319"/>
        <w:spacing w:after="0" w:line="259" w:lineRule="auto"/>
        <w:rPr>
          <w:sz w:val="20"/>
          <w:szCs w:val="20"/>
          <w:color w:val="auto"/>
        </w:rPr>
      </w:pPr>
      <w:r>
        <w:rPr>
          <w:rFonts w:ascii="Arial" w:cs="Arial" w:eastAsia="Arial" w:hAnsi="Arial"/>
          <w:sz w:val="18"/>
          <w:szCs w:val="18"/>
          <w:color w:val="auto"/>
        </w:rPr>
        <w:t>Under the 2022 Stock Repurchase Plan, the Company is permitted to repurchase its common stock from time to time, in amounts and at prices that the Company deemed appropriate, subject to market conditions and other considerations. The Company’s repurchases will be executed using open market purchases, including pursuant to Rule 10b5-1 trading plans, and/or through privately negotiated transactions.</w:t>
      </w:r>
    </w:p>
    <w:p>
      <w:pPr>
        <w:spacing w:after="0" w:line="187"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The following table summarizes the Company’s purchases of common stock, including under the 2022 Stock Repurchase Plan, in the quarterly period ended June 28, 2023 (in thousands, except number of shares and per share amounts):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4040" w:type="dxa"/>
            <w:vAlign w:val="bottom"/>
          </w:tcPr>
          <w:p>
            <w:pPr>
              <w:spacing w:after="0"/>
              <w:rPr>
                <w:sz w:val="18"/>
                <w:szCs w:val="18"/>
                <w:color w:val="auto"/>
              </w:rPr>
            </w:pPr>
          </w:p>
        </w:tc>
        <w:tc>
          <w:tcPr>
            <w:tcW w:w="124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2"/>
              </w:rPr>
              <w:t>Total</w:t>
            </w:r>
          </w:p>
        </w:tc>
        <w:tc>
          <w:tcPr>
            <w:tcW w:w="1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Publicly</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May Be</w:t>
            </w:r>
          </w:p>
        </w:tc>
      </w:tr>
      <w:tr>
        <w:trPr>
          <w:trHeight w:val="216"/>
        </w:trPr>
        <w:tc>
          <w:tcPr>
            <w:tcW w:w="4040" w:type="dxa"/>
            <w:vAlign w:val="bottom"/>
          </w:tcPr>
          <w:p>
            <w:pPr>
              <w:spacing w:after="0"/>
              <w:rPr>
                <w:sz w:val="18"/>
                <w:szCs w:val="18"/>
                <w:color w:val="auto"/>
              </w:rPr>
            </w:pPr>
          </w:p>
        </w:tc>
        <w:tc>
          <w:tcPr>
            <w:tcW w:w="124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4040" w:type="dxa"/>
            <w:vAlign w:val="bottom"/>
          </w:tcPr>
          <w:p>
            <w:pPr>
              <w:spacing w:after="0"/>
              <w:rPr>
                <w:sz w:val="18"/>
                <w:szCs w:val="18"/>
                <w:color w:val="auto"/>
              </w:rPr>
            </w:pPr>
          </w:p>
        </w:tc>
        <w:tc>
          <w:tcPr>
            <w:tcW w:w="124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Price Paid</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4040" w:type="dxa"/>
            <w:vAlign w:val="bottom"/>
          </w:tcPr>
          <w:p>
            <w:pPr>
              <w:spacing w:after="0"/>
              <w:rPr>
                <w:sz w:val="20"/>
                <w:szCs w:val="20"/>
                <w:color w:val="auto"/>
              </w:rPr>
            </w:pPr>
          </w:p>
        </w:tc>
        <w:tc>
          <w:tcPr>
            <w:tcW w:w="124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6"/>
              </w:rPr>
              <w:t>Purchased</w:t>
            </w: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Per Share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or Programs</w:t>
            </w: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30, 2023 to April 26,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412,934</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$ 9.15</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412,934</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$ 10,060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April 27, 2023 to May 24, 2023</w:t>
            </w:r>
          </w:p>
        </w:tc>
        <w:tc>
          <w:tcPr>
            <w:tcW w:w="960" w:type="dxa"/>
            <w:vAlign w:val="bottom"/>
          </w:tcPr>
          <w:p>
            <w:pPr>
              <w:jc w:val="right"/>
              <w:spacing w:after="0"/>
              <w:rPr>
                <w:sz w:val="20"/>
                <w:szCs w:val="20"/>
                <w:color w:val="auto"/>
              </w:rPr>
            </w:pPr>
            <w:r>
              <w:rPr>
                <w:rFonts w:ascii="Arial" w:cs="Arial" w:eastAsia="Arial" w:hAnsi="Arial"/>
                <w:sz w:val="18"/>
                <w:szCs w:val="18"/>
                <w:color w:val="auto"/>
              </w:rPr>
              <w:t>417,843</w:t>
            </w:r>
          </w:p>
        </w:tc>
        <w:tc>
          <w:tcPr>
            <w:tcW w:w="28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$ 9.45</w:t>
            </w:r>
          </w:p>
        </w:tc>
        <w:tc>
          <w:tcPr>
            <w:tcW w:w="960" w:type="dxa"/>
            <w:vAlign w:val="bottom"/>
          </w:tcPr>
          <w:p>
            <w:pPr>
              <w:jc w:val="right"/>
              <w:spacing w:after="0"/>
              <w:rPr>
                <w:sz w:val="20"/>
                <w:szCs w:val="20"/>
                <w:color w:val="auto"/>
              </w:rPr>
            </w:pPr>
            <w:r>
              <w:rPr>
                <w:rFonts w:ascii="Arial" w:cs="Arial" w:eastAsia="Arial" w:hAnsi="Arial"/>
                <w:sz w:val="18"/>
                <w:szCs w:val="18"/>
                <w:color w:val="auto"/>
              </w:rPr>
              <w:t>399,353</w:t>
            </w:r>
          </w:p>
        </w:tc>
        <w:tc>
          <w:tcPr>
            <w:tcW w:w="1460" w:type="dxa"/>
            <w:vAlign w:val="bottom"/>
          </w:tcPr>
          <w:p>
            <w:pPr>
              <w:jc w:val="right"/>
              <w:spacing w:after="0"/>
              <w:rPr>
                <w:sz w:val="20"/>
                <w:szCs w:val="20"/>
                <w:color w:val="auto"/>
              </w:rPr>
            </w:pPr>
            <w:r>
              <w:rPr>
                <w:rFonts w:ascii="Arial" w:cs="Arial" w:eastAsia="Arial" w:hAnsi="Arial"/>
                <w:sz w:val="18"/>
                <w:szCs w:val="18"/>
                <w:color w:val="auto"/>
              </w:rPr>
              <w:t>$ 6,308</w:t>
            </w:r>
          </w:p>
        </w:tc>
        <w:tc>
          <w:tcPr>
            <w:tcW w:w="12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25, 2023 to June 28,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$ 9.48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$ 1,948</w:t>
            </w:r>
          </w:p>
        </w:tc>
        <w:tc>
          <w:tcPr>
            <w:tcW w:w="120" w:type="dxa"/>
            <w:vAlign w:val="bottom"/>
            <w:shd w:val="clear" w:color="auto" w:fill="CCEEFF"/>
          </w:tcPr>
          <w:p>
            <w:pPr>
              <w:spacing w:after="0"/>
              <w:rPr>
                <w:sz w:val="18"/>
                <w:szCs w:val="18"/>
                <w:color w:val="auto"/>
              </w:rPr>
            </w:pPr>
          </w:p>
        </w:tc>
      </w:tr>
      <w:tr>
        <w:trPr>
          <w:trHeight w:val="210"/>
        </w:trPr>
        <w:tc>
          <w:tcPr>
            <w:tcW w:w="4040" w:type="dxa"/>
            <w:vAlign w:val="bottom"/>
          </w:tcPr>
          <w:p>
            <w:pPr>
              <w:ind w:left="1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1,290,777</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1,272,287</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79" w:hanging="10"/>
        <w:spacing w:after="0" w:line="263"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1,272,287 shares purchased by the Company pursuant to the 2022 Stock Repurchase Plan and 18,490 shares acquired by the Company to satisfy employee tax withholding obligations in connection with the vesting of previously issued restricted stock.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vMerge w:val="restart"/>
          </w:tcPr>
          <w:p>
            <w:pPr>
              <w:spacing w:after="0"/>
              <w:rPr>
                <w:sz w:val="20"/>
                <w:szCs w:val="20"/>
                <w:color w:val="auto"/>
              </w:rPr>
            </w:pPr>
            <w:r>
              <w:rPr>
                <w:rFonts w:ascii="Arial" w:cs="Arial" w:eastAsia="Arial" w:hAnsi="Arial"/>
                <w:sz w:val="14"/>
                <w:szCs w:val="14"/>
                <w:color w:val="auto"/>
                <w:w w:val="92"/>
              </w:rPr>
              <w:t>Number</w:t>
            </w:r>
          </w:p>
        </w:tc>
        <w:tc>
          <w:tcPr>
            <w:tcW w:w="28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vMerge w:val="restart"/>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color w:val="auto"/>
                <w:w w:val="94"/>
              </w:rPr>
              <w:t>Description</w:t>
            </w:r>
          </w:p>
        </w:tc>
        <w:tc>
          <w:tcPr>
            <w:tcW w:w="1320" w:type="dxa"/>
            <w:vAlign w:val="bottom"/>
            <w:gridSpan w:val="12"/>
            <w:vMerge w:val="restart"/>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Filed</w:t>
            </w:r>
          </w:p>
        </w:tc>
        <w:tc>
          <w:tcPr>
            <w:tcW w:w="300" w:type="dxa"/>
            <w:vAlign w:val="bottom"/>
          </w:tcPr>
          <w:p>
            <w:pPr>
              <w:spacing w:after="0"/>
              <w:rPr>
                <w:sz w:val="14"/>
                <w:szCs w:val="14"/>
                <w:color w:val="auto"/>
              </w:rPr>
            </w:pPr>
          </w:p>
        </w:tc>
        <w:tc>
          <w:tcPr>
            <w:tcW w:w="4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1"/>
              </w:rPr>
              <w:t>Form</w:t>
            </w:r>
          </w:p>
        </w:tc>
        <w:tc>
          <w:tcPr>
            <w:tcW w:w="260" w:type="dxa"/>
            <w:vAlign w:val="bottom"/>
          </w:tcPr>
          <w:p>
            <w:pPr>
              <w:spacing w:after="0"/>
              <w:rPr>
                <w:sz w:val="14"/>
                <w:szCs w:val="14"/>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Period</w:t>
            </w:r>
          </w:p>
        </w:tc>
        <w:tc>
          <w:tcPr>
            <w:tcW w:w="420" w:type="dxa"/>
            <w:vAlign w:val="bottom"/>
            <w:vMerge w:val="restart"/>
          </w:tcPr>
          <w:p>
            <w:pPr>
              <w:jc w:val="center"/>
              <w:spacing w:after="0"/>
              <w:rPr>
                <w:sz w:val="20"/>
                <w:szCs w:val="20"/>
                <w:color w:val="auto"/>
              </w:rPr>
            </w:pPr>
            <w:r>
              <w:rPr>
                <w:rFonts w:ascii="Arial" w:cs="Arial" w:eastAsia="Arial" w:hAnsi="Arial"/>
                <w:sz w:val="14"/>
                <w:szCs w:val="14"/>
                <w:color w:val="auto"/>
                <w:w w:val="99"/>
              </w:rPr>
              <w:t>Exhibit</w:t>
            </w:r>
          </w:p>
        </w:tc>
        <w:tc>
          <w:tcPr>
            <w:tcW w:w="300" w:type="dxa"/>
            <w:vAlign w:val="bottom"/>
          </w:tcPr>
          <w:p>
            <w:pPr>
              <w:spacing w:after="0"/>
              <w:rPr>
                <w:sz w:val="14"/>
                <w:szCs w:val="14"/>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5"/>
              </w:rPr>
              <w:t>Filing Date</w:t>
            </w:r>
          </w:p>
        </w:tc>
        <w:tc>
          <w:tcPr>
            <w:tcW w:w="860" w:type="dxa"/>
            <w:vAlign w:val="bottom"/>
            <w:gridSpan w:val="5"/>
          </w:tcPr>
          <w:p>
            <w:pPr>
              <w:jc w:val="center"/>
              <w:spacing w:after="0"/>
              <w:rPr>
                <w:sz w:val="20"/>
                <w:szCs w:val="20"/>
                <w:color w:val="auto"/>
              </w:rPr>
            </w:pPr>
            <w:r>
              <w:rPr>
                <w:rFonts w:ascii="Arial" w:cs="Arial" w:eastAsia="Arial" w:hAnsi="Arial"/>
                <w:sz w:val="14"/>
                <w:szCs w:val="14"/>
                <w:color w:val="auto"/>
                <w:w w:val="94"/>
              </w:rPr>
              <w:t>SEC File</w:t>
            </w:r>
          </w:p>
        </w:tc>
        <w:tc>
          <w:tcPr>
            <w:tcW w:w="0" w:type="dxa"/>
            <w:vAlign w:val="bottom"/>
          </w:tcPr>
          <w:p>
            <w:pPr>
              <w:spacing w:after="0"/>
              <w:rPr>
                <w:sz w:val="1"/>
                <w:szCs w:val="1"/>
                <w:color w:val="auto"/>
              </w:rPr>
            </w:pPr>
          </w:p>
        </w:tc>
      </w:tr>
      <w:tr>
        <w:trPr>
          <w:trHeight w:val="128"/>
        </w:trPr>
        <w:tc>
          <w:tcPr>
            <w:tcW w:w="48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320" w:type="dxa"/>
            <w:vAlign w:val="bottom"/>
            <w:gridSpan w:val="1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0"/>
              </w:rPr>
              <w:t>Herewith</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3"/>
              </w:rPr>
              <w:t>Ended</w:t>
            </w:r>
          </w:p>
        </w:tc>
        <w:tc>
          <w:tcPr>
            <w:tcW w:w="4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color w:val="auto"/>
                <w:w w:val="96"/>
              </w:rPr>
              <w:t>Number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3280" w:type="dxa"/>
            <w:vAlign w:val="bottom"/>
            <w:gridSpan w:val="17"/>
          </w:tcPr>
          <w:p>
            <w:pPr>
              <w:spacing w:after="0"/>
              <w:rPr>
                <w:rFonts w:ascii="Arial" w:cs="Arial" w:eastAsia="Arial" w:hAnsi="Arial"/>
                <w:sz w:val="18"/>
                <w:szCs w:val="18"/>
                <w:color w:val="0000EE"/>
              </w:rPr>
            </w:pPr>
            <w:hyperlink r:id="rId65">
              <w:r>
                <w:rPr>
                  <w:rFonts w:ascii="Arial" w:cs="Arial" w:eastAsia="Arial" w:hAnsi="Arial"/>
                  <w:sz w:val="18"/>
                  <w:szCs w:val="18"/>
                  <w:color w:val="0000EE"/>
                </w:rPr>
                <w:t>Amended and Restated Certificate of</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Incorporation of El Pollo Loco</w:t>
              </w:r>
            </w:hyperlink>
          </w:p>
        </w:tc>
        <w:tc>
          <w:tcPr>
            <w:tcW w:w="440" w:type="dxa"/>
            <w:vAlign w:val="bottom"/>
            <w:tcBorders>
              <w:top w:val="single" w:sz="8" w:color="0000EE"/>
            </w:tcBorders>
          </w:tcPr>
          <w:p>
            <w:pPr>
              <w:spacing w:after="0"/>
              <w:rPr>
                <w:sz w:val="17"/>
                <w:szCs w:val="17"/>
                <w:color w:val="auto"/>
              </w:rPr>
            </w:pPr>
          </w:p>
        </w:tc>
        <w:tc>
          <w:tcPr>
            <w:tcW w:w="62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Holdings, Inc.</w:t>
              </w:r>
            </w:hyperlink>
          </w:p>
        </w:tc>
        <w:tc>
          <w:tcPr>
            <w:tcW w:w="226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center"/>
              <w:ind w:left="70"/>
              <w:spacing w:after="0" w:line="196" w:lineRule="exact"/>
              <w:rPr>
                <w:sz w:val="20"/>
                <w:szCs w:val="20"/>
                <w:color w:val="auto"/>
              </w:rPr>
            </w:pPr>
            <w:r>
              <w:rPr>
                <w:rFonts w:ascii="Arial" w:cs="Arial" w:eastAsia="Arial" w:hAnsi="Arial"/>
                <w:sz w:val="18"/>
                <w:szCs w:val="18"/>
                <w:color w:val="auto"/>
                <w:w w:val="89"/>
              </w:rPr>
              <w:t>10-Q</w:t>
            </w:r>
          </w:p>
        </w:tc>
        <w:tc>
          <w:tcPr>
            <w:tcW w:w="1080" w:type="dxa"/>
            <w:vAlign w:val="bottom"/>
            <w:gridSpan w:val="3"/>
          </w:tcPr>
          <w:p>
            <w:pPr>
              <w:jc w:val="center"/>
              <w:ind w:right="160"/>
              <w:spacing w:after="0" w:line="196" w:lineRule="exact"/>
              <w:rPr>
                <w:sz w:val="20"/>
                <w:szCs w:val="20"/>
                <w:color w:val="auto"/>
              </w:rPr>
            </w:pPr>
            <w:r>
              <w:rPr>
                <w:rFonts w:ascii="Arial" w:cs="Arial" w:eastAsia="Arial" w:hAnsi="Arial"/>
                <w:sz w:val="18"/>
                <w:szCs w:val="18"/>
                <w:color w:val="auto"/>
                <w:w w:val="89"/>
              </w:rPr>
              <w:t>6/25/2014</w:t>
            </w:r>
          </w:p>
        </w:tc>
        <w:tc>
          <w:tcPr>
            <w:tcW w:w="42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104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9/5/2014</w:t>
            </w:r>
          </w:p>
        </w:tc>
        <w:tc>
          <w:tcPr>
            <w:tcW w:w="86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3200" w:type="dxa"/>
            <w:vAlign w:val="bottom"/>
            <w:tcBorders>
              <w:bottom w:val="single" w:sz="8" w:color="0000EE"/>
            </w:tcBorders>
            <w:gridSpan w:val="16"/>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Amended and Restated By-Laws of El Pollo</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Loco Holdings, Inc.</w:t>
              </w:r>
            </w:hyperlink>
          </w:p>
        </w:tc>
        <w:tc>
          <w:tcPr>
            <w:tcW w:w="184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center"/>
              <w:ind w:left="70"/>
              <w:spacing w:after="0" w:line="196" w:lineRule="exact"/>
              <w:rPr>
                <w:sz w:val="20"/>
                <w:szCs w:val="20"/>
                <w:color w:val="auto"/>
              </w:rPr>
            </w:pPr>
            <w:r>
              <w:rPr>
                <w:rFonts w:ascii="Arial" w:cs="Arial" w:eastAsia="Arial" w:hAnsi="Arial"/>
                <w:sz w:val="18"/>
                <w:szCs w:val="18"/>
                <w:color w:val="auto"/>
                <w:w w:val="89"/>
              </w:rPr>
              <w:t>10-Q</w:t>
            </w:r>
          </w:p>
        </w:tc>
        <w:tc>
          <w:tcPr>
            <w:tcW w:w="1080" w:type="dxa"/>
            <w:vAlign w:val="bottom"/>
            <w:gridSpan w:val="3"/>
          </w:tcPr>
          <w:p>
            <w:pPr>
              <w:jc w:val="center"/>
              <w:ind w:right="160"/>
              <w:spacing w:after="0" w:line="196" w:lineRule="exact"/>
              <w:rPr>
                <w:sz w:val="20"/>
                <w:szCs w:val="20"/>
                <w:color w:val="auto"/>
              </w:rPr>
            </w:pPr>
            <w:r>
              <w:rPr>
                <w:rFonts w:ascii="Arial" w:cs="Arial" w:eastAsia="Arial" w:hAnsi="Arial"/>
                <w:sz w:val="18"/>
                <w:szCs w:val="18"/>
                <w:color w:val="auto"/>
                <w:w w:val="89"/>
              </w:rPr>
              <w:t>6/25/2014</w:t>
            </w:r>
          </w:p>
        </w:tc>
        <w:tc>
          <w:tcPr>
            <w:tcW w:w="420" w:type="dxa"/>
            <w:vAlign w:val="bottom"/>
          </w:tcPr>
          <w:p>
            <w:pPr>
              <w:jc w:val="center"/>
              <w:spacing w:after="0" w:line="196" w:lineRule="exact"/>
              <w:rPr>
                <w:sz w:val="20"/>
                <w:szCs w:val="20"/>
                <w:color w:val="auto"/>
              </w:rPr>
            </w:pPr>
            <w:r>
              <w:rPr>
                <w:rFonts w:ascii="Arial" w:cs="Arial" w:eastAsia="Arial" w:hAnsi="Arial"/>
                <w:sz w:val="18"/>
                <w:szCs w:val="18"/>
                <w:color w:val="auto"/>
                <w:w w:val="95"/>
              </w:rPr>
              <w:t>3.2</w:t>
            </w:r>
          </w:p>
        </w:tc>
        <w:tc>
          <w:tcPr>
            <w:tcW w:w="104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9/5/2014</w:t>
            </w:r>
          </w:p>
        </w:tc>
        <w:tc>
          <w:tcPr>
            <w:tcW w:w="86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0000EE"/>
              </w:rPr>
              <w:t>Certification of Chief Executive Officer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under section 302 of the Sarbanes–Oxley</w:t>
            </w:r>
          </w:p>
        </w:tc>
        <w:tc>
          <w:tcPr>
            <w:tcW w:w="3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Act of 2002</w:t>
            </w:r>
          </w:p>
        </w:tc>
        <w:tc>
          <w:tcPr>
            <w:tcW w:w="242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29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6"/>
              </w:rPr>
              <w:t>Certification of Chief Financial Officer</w:t>
            </w:r>
          </w:p>
        </w:tc>
        <w:tc>
          <w:tcPr>
            <w:tcW w:w="38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under section 302 of the Sarbanes–Oxley</w:t>
            </w:r>
          </w:p>
        </w:tc>
        <w:tc>
          <w:tcPr>
            <w:tcW w:w="28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Act of 2002</w:t>
            </w:r>
          </w:p>
        </w:tc>
        <w:tc>
          <w:tcPr>
            <w:tcW w:w="242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31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3"/>
              </w:rPr>
              <w:t>Certification of Chief Executive Officer and</w:t>
            </w:r>
          </w:p>
        </w:tc>
        <w:tc>
          <w:tcPr>
            <w:tcW w:w="100" w:type="dxa"/>
            <w:vAlign w:val="bottom"/>
            <w:gridSpan w:val="2"/>
          </w:tcPr>
          <w:p>
            <w:pPr>
              <w:spacing w:after="0"/>
              <w:rPr>
                <w:sz w:val="24"/>
                <w:szCs w:val="24"/>
                <w:color w:val="auto"/>
              </w:rPr>
            </w:pPr>
          </w:p>
        </w:tc>
        <w:tc>
          <w:tcPr>
            <w:tcW w:w="480" w:type="dxa"/>
            <w:vAlign w:val="bottom"/>
            <w:gridSpan w:val="3"/>
          </w:tcPr>
          <w:p>
            <w:pPr>
              <w:jc w:val="center"/>
              <w:ind w:lef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Chief Financial Officer under 18 U.S.C.</w:t>
            </w:r>
          </w:p>
        </w:tc>
        <w:tc>
          <w:tcPr>
            <w:tcW w:w="40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17"/>
          </w:tcPr>
          <w:p>
            <w:pPr>
              <w:spacing w:after="0" w:line="196" w:lineRule="exact"/>
              <w:rPr>
                <w:sz w:val="20"/>
                <w:szCs w:val="20"/>
                <w:color w:val="auto"/>
              </w:rPr>
            </w:pPr>
            <w:r>
              <w:rPr>
                <w:rFonts w:ascii="Arial" w:cs="Arial" w:eastAsia="Arial" w:hAnsi="Arial"/>
                <w:sz w:val="18"/>
                <w:szCs w:val="18"/>
                <w:color w:val="0000EE"/>
                <w:w w:val="93"/>
              </w:rPr>
              <w:t>section 1350, adopted by section 906 of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Sarbanes–Oxley Act of 2002</w:t>
            </w:r>
          </w:p>
        </w:tc>
        <w:tc>
          <w:tcPr>
            <w:tcW w:w="1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280" w:type="dxa"/>
            <w:vAlign w:val="bottom"/>
            <w:gridSpan w:val="17"/>
          </w:tcPr>
          <w:p>
            <w:pPr>
              <w:spacing w:after="0"/>
              <w:rPr>
                <w:sz w:val="20"/>
                <w:szCs w:val="20"/>
                <w:color w:val="auto"/>
              </w:rPr>
            </w:pPr>
            <w:r>
              <w:rPr>
                <w:rFonts w:ascii="Arial" w:cs="Arial" w:eastAsia="Arial" w:hAnsi="Arial"/>
                <w:sz w:val="18"/>
                <w:szCs w:val="18"/>
                <w:color w:val="auto"/>
              </w:rPr>
              <w:t>Inline XBRL Instance Document - the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w w:val="97"/>
              </w:rPr>
              <w:t>instance document does not appear in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w w:val="93"/>
              </w:rPr>
              <w:t>Interactive Data File because its XBRL tags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rPr>
              <w:t>are embedded within the Inline XBRL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40" w:type="dxa"/>
            <w:vAlign w:val="bottom"/>
            <w:gridSpan w:val="19"/>
          </w:tcPr>
          <w:p>
            <w:pPr>
              <w:spacing w:after="0"/>
              <w:rPr>
                <w:sz w:val="20"/>
                <w:szCs w:val="20"/>
                <w:color w:val="auto"/>
              </w:rPr>
            </w:pPr>
            <w:r>
              <w:rPr>
                <w:rFonts w:ascii="Arial" w:cs="Arial" w:eastAsia="Arial" w:hAnsi="Arial"/>
                <w:sz w:val="18"/>
                <w:szCs w:val="18"/>
                <w:color w:val="auto"/>
              </w:rPr>
              <w:t>101.SCH XBRL Taxonomy Extension Schema</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40" w:type="dxa"/>
            <w:vAlign w:val="bottom"/>
            <w:gridSpan w:val="19"/>
          </w:tcPr>
          <w:p>
            <w:pPr>
              <w:spacing w:after="0"/>
              <w:rPr>
                <w:sz w:val="20"/>
                <w:szCs w:val="20"/>
                <w:color w:val="auto"/>
              </w:rPr>
            </w:pPr>
            <w:r>
              <w:rPr>
                <w:rFonts w:ascii="Arial" w:cs="Arial" w:eastAsia="Arial" w:hAnsi="Arial"/>
                <w:sz w:val="18"/>
                <w:szCs w:val="18"/>
                <w:color w:val="auto"/>
              </w:rPr>
              <w:t>101.CAL XBRL Taxonomy Extension Schema</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280" w:type="dxa"/>
            <w:vAlign w:val="bottom"/>
            <w:gridSpan w:val="17"/>
          </w:tcPr>
          <w:p>
            <w:pPr>
              <w:spacing w:after="0"/>
              <w:rPr>
                <w:sz w:val="20"/>
                <w:szCs w:val="20"/>
                <w:color w:val="auto"/>
              </w:rPr>
            </w:pPr>
            <w:r>
              <w:rPr>
                <w:rFonts w:ascii="Arial" w:cs="Arial" w:eastAsia="Arial" w:hAnsi="Arial"/>
                <w:sz w:val="18"/>
                <w:szCs w:val="18"/>
                <w:color w:val="auto"/>
              </w:rPr>
              <w:t>XBRL Taxonomy Extension Definition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rPr>
              <w:t>Linkbase 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40" w:type="dxa"/>
            <w:vAlign w:val="bottom"/>
            <w:gridSpan w:val="19"/>
          </w:tcPr>
          <w:p>
            <w:pPr>
              <w:spacing w:after="0"/>
              <w:rPr>
                <w:sz w:val="20"/>
                <w:szCs w:val="20"/>
                <w:color w:val="auto"/>
              </w:rPr>
            </w:pPr>
            <w:r>
              <w:rPr>
                <w:rFonts w:ascii="Arial" w:cs="Arial" w:eastAsia="Arial" w:hAnsi="Arial"/>
                <w:sz w:val="18"/>
                <w:szCs w:val="18"/>
                <w:color w:val="auto"/>
                <w:w w:val="95"/>
              </w:rPr>
              <w:t>101.LAB XBRL Taxonomy Extension Label Linkbase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280" w:type="dxa"/>
            <w:vAlign w:val="bottom"/>
            <w:gridSpan w:val="17"/>
          </w:tcPr>
          <w:p>
            <w:pPr>
              <w:spacing w:after="0"/>
              <w:rPr>
                <w:sz w:val="20"/>
                <w:szCs w:val="20"/>
                <w:color w:val="auto"/>
              </w:rPr>
            </w:pPr>
            <w:r>
              <w:rPr>
                <w:rFonts w:ascii="Arial" w:cs="Arial" w:eastAsia="Arial" w:hAnsi="Arial"/>
                <w:sz w:val="18"/>
                <w:szCs w:val="18"/>
                <w:color w:val="auto"/>
                <w:w w:val="99"/>
              </w:rPr>
              <w:t>XBRL Taxonomy Extension Presentation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rPr>
              <w:t>Linkbase 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w w:val="93"/>
              </w:rPr>
              <w:t>Cover Page Interactive Data File - the cover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w w:val="93"/>
              </w:rPr>
              <w:t>page interactive data file does not appear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w w:val="96"/>
              </w:rPr>
              <w:t>the Interactive Data File because its XBRL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w w:val="96"/>
              </w:rPr>
              <w:t>tags are embedded within the Inline XBRL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7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182" w:lineRule="exact"/>
        <w:rPr>
          <w:sz w:val="20"/>
          <w:szCs w:val="20"/>
          <w:color w:val="auto"/>
        </w:rPr>
      </w:pPr>
    </w:p>
    <w:p>
      <w:pPr>
        <w:ind w:left="380" w:right="179" w:hanging="330"/>
        <w:spacing w:after="0" w:line="259"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El Pollo Loco Holdings, Inc.</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-130175</wp:posOffset>
            </wp:positionV>
            <wp:extent cx="2768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73" w:lineRule="exact"/>
        <w:rPr>
          <w:sz w:val="20"/>
          <w:szCs w:val="20"/>
          <w:color w:val="auto"/>
        </w:rPr>
      </w:pPr>
    </w:p>
    <w:p>
      <w:pPr>
        <w:ind w:left="100"/>
        <w:spacing w:after="0"/>
        <w:tabs>
          <w:tab w:leader="none" w:pos="462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6"/>
          <w:szCs w:val="16"/>
          <w:color w:val="auto"/>
        </w:rPr>
        <w:t>/s/ Laurance Roberts</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-130175</wp:posOffset>
            </wp:positionV>
            <wp:extent cx="2768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(duly authorized officer)</w:t>
      </w:r>
    </w:p>
    <w:p>
      <w:pPr>
        <w:spacing w:after="0" w:line="306" w:lineRule="exact"/>
        <w:rPr>
          <w:sz w:val="20"/>
          <w:szCs w:val="20"/>
          <w:color w:val="auto"/>
        </w:rPr>
      </w:pPr>
    </w:p>
    <w:p>
      <w:pPr>
        <w:ind w:left="100"/>
        <w:spacing w:after="0"/>
        <w:tabs>
          <w:tab w:leader="none" w:pos="462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7"/>
          <w:szCs w:val="17"/>
          <w:color w:val="auto"/>
        </w:rPr>
        <w:t>/s/ Ira Fils</w:t>
      </w:r>
    </w:p>
    <w:p>
      <w:pPr>
        <w:spacing w:after="0" w:line="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-130175</wp:posOffset>
            </wp:positionV>
            <wp:extent cx="27686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66" w:lineRule="exact"/>
        <w:rPr>
          <w:sz w:val="20"/>
          <w:szCs w:val="20"/>
          <w:color w:val="auto"/>
        </w:rPr>
      </w:pPr>
    </w:p>
    <w:p>
      <w:pPr>
        <w:ind w:left="180" w:hanging="174"/>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65" w:lineRule="exact"/>
        <w:rPr>
          <w:rFonts w:ascii="Arial" w:cs="Arial" w:eastAsia="Arial" w:hAnsi="Arial"/>
          <w:sz w:val="18"/>
          <w:szCs w:val="18"/>
          <w:color w:val="auto"/>
        </w:rPr>
      </w:pPr>
    </w:p>
    <w:p>
      <w:pPr>
        <w:jc w:val="both"/>
        <w:ind w:right="340" w:firstLine="6"/>
        <w:spacing w:after="0" w:line="310"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0" w:firstLine="6"/>
        <w:spacing w:after="0" w:line="310"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120" w:firstLine="6"/>
        <w:spacing w:after="0" w:line="310" w:lineRule="auto"/>
        <w:tabs>
          <w:tab w:leader="none" w:pos="1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firstLine="6"/>
        <w:spacing w:after="0" w:line="336" w:lineRule="auto"/>
        <w:tabs>
          <w:tab w:leader="none" w:pos="24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right="60" w:firstLine="6"/>
        <w:spacing w:after="0" w:line="336"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right="100" w:firstLine="6"/>
        <w:spacing w:after="0" w:line="310"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340" w:firstLine="6"/>
        <w:spacing w:after="0" w:line="306"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ind w:right="520" w:firstLine="6"/>
        <w:spacing w:after="0" w:line="310" w:lineRule="auto"/>
        <w:tabs>
          <w:tab w:leader="none" w:pos="1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sz w:val="20"/>
          <w:szCs w:val="20"/>
          <w:color w:val="auto"/>
        </w:rPr>
      </w:pPr>
    </w:p>
    <w:p>
      <w:pPr>
        <w:ind w:right="420" w:firstLine="6"/>
        <w:spacing w:after="0" w:line="318" w:lineRule="auto"/>
        <w:tabs>
          <w:tab w:leader="none" w:pos="2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8"/>
          <w:szCs w:val="18"/>
          <w:color w:val="auto"/>
        </w:rPr>
      </w:pPr>
    </w:p>
    <w:p>
      <w:pPr>
        <w:ind w:right="800" w:firstLine="6"/>
        <w:spacing w:after="0" w:line="324"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59664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631825</wp:posOffset>
            </wp:positionV>
            <wp:extent cx="596646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966460" cy="26035"/>
                    </a:xfrm>
                    <a:prstGeom prst="rect">
                      <a:avLst/>
                    </a:prstGeom>
                    <a:noFill/>
                  </pic:spPr>
                </pic:pic>
              </a:graphicData>
            </a:graphic>
          </wp:anchor>
        </w:drawing>
      </w:r>
    </w:p>
    <w:p>
      <w:pPr>
        <w:sectPr>
          <w:pgSz w:w="11900" w:h="16838" w:orient="portrait"/>
          <w:cols w:equalWidth="0" w:num="1">
            <w:col w:w="9400"/>
          </w:cols>
          <w:pgMar w:left="1240" w:top="945" w:right="12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Ira Fils, certify that:</w:t>
      </w:r>
    </w:p>
    <w:p>
      <w:pPr>
        <w:spacing w:after="0" w:line="266" w:lineRule="exact"/>
        <w:rPr>
          <w:sz w:val="20"/>
          <w:szCs w:val="20"/>
          <w:color w:val="auto"/>
        </w:rPr>
      </w:pPr>
    </w:p>
    <w:p>
      <w:pPr>
        <w:ind w:left="180" w:hanging="174"/>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65" w:lineRule="exact"/>
        <w:rPr>
          <w:rFonts w:ascii="Arial" w:cs="Arial" w:eastAsia="Arial" w:hAnsi="Arial"/>
          <w:sz w:val="18"/>
          <w:szCs w:val="18"/>
          <w:color w:val="auto"/>
        </w:rPr>
      </w:pPr>
    </w:p>
    <w:p>
      <w:pPr>
        <w:jc w:val="both"/>
        <w:ind w:right="340" w:firstLine="6"/>
        <w:spacing w:after="0" w:line="310"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0" w:firstLine="6"/>
        <w:spacing w:after="0" w:line="310"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120" w:firstLine="6"/>
        <w:spacing w:after="0" w:line="310" w:lineRule="auto"/>
        <w:tabs>
          <w:tab w:leader="none" w:pos="1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firstLine="6"/>
        <w:spacing w:after="0" w:line="336" w:lineRule="auto"/>
        <w:tabs>
          <w:tab w:leader="none" w:pos="24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right="60" w:firstLine="6"/>
        <w:spacing w:after="0" w:line="336" w:lineRule="auto"/>
        <w:tabs>
          <w:tab w:leader="none" w:pos="2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right="100" w:firstLine="6"/>
        <w:spacing w:after="0" w:line="310"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340" w:firstLine="6"/>
        <w:spacing w:after="0" w:line="306"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ind w:right="520" w:firstLine="6"/>
        <w:spacing w:after="0" w:line="310" w:lineRule="auto"/>
        <w:tabs>
          <w:tab w:leader="none" w:pos="1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sz w:val="20"/>
          <w:szCs w:val="20"/>
          <w:color w:val="auto"/>
        </w:rPr>
      </w:pPr>
    </w:p>
    <w:p>
      <w:pPr>
        <w:ind w:right="420" w:firstLine="6"/>
        <w:spacing w:after="0" w:line="318" w:lineRule="auto"/>
        <w:tabs>
          <w:tab w:leader="none" w:pos="2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8"/>
          <w:szCs w:val="18"/>
          <w:color w:val="auto"/>
        </w:rPr>
      </w:pPr>
    </w:p>
    <w:p>
      <w:pPr>
        <w:ind w:right="800" w:firstLine="6"/>
        <w:spacing w:after="0" w:line="324"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Ira Fils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666115</wp:posOffset>
            </wp:positionV>
            <wp:extent cx="596646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40" w:top="945" w:right="12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66" w:lineRule="exact"/>
        <w:rPr>
          <w:sz w:val="20"/>
          <w:szCs w:val="20"/>
          <w:color w:val="auto"/>
        </w:rPr>
      </w:pPr>
    </w:p>
    <w:p>
      <w:pPr>
        <w:ind w:right="240"/>
        <w:spacing w:after="0" w:line="329" w:lineRule="auto"/>
        <w:rPr>
          <w:sz w:val="20"/>
          <w:szCs w:val="20"/>
          <w:color w:val="auto"/>
        </w:rPr>
      </w:pPr>
      <w:r>
        <w:rPr>
          <w:rFonts w:ascii="Arial" w:cs="Arial" w:eastAsia="Arial" w:hAnsi="Arial"/>
          <w:sz w:val="17"/>
          <w:szCs w:val="17"/>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Ira Fils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666115</wp:posOffset>
            </wp:positionV>
            <wp:extent cx="596646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sectPr>
      <w:pgSz w:w="11900" w:h="16838" w:orient="portrait"/>
      <w:cols w:equalWidth="0" w:num="1">
        <w:col w:w="9400"/>
      </w:cols>
      <w:pgMar w:left="1240" w:top="945"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0"/>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0"/>
    </w:lvl>
  </w:abstractNum>
  <w:abstractNum w:abstractNumId="14">
    <w:nsid w:val="62BBD95A"/>
    <w:multiLevelType w:val="hybridMultilevel"/>
    <w:lvl w:ilvl="0">
      <w:lvlJc w:val="left"/>
      <w:lvlText w:val="(%1)"/>
      <w:numFmt w:val="lowerRoman"/>
      <w:start w:val="3"/>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5"/>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65" Type="http://schemas.openxmlformats.org/officeDocument/2006/relationships/hyperlink" Target="https://www.sec.gov/Archives/edgar/data/1606366/000119312514332367/d779664dex31.htm" TargetMode="External"/><Relationship Id="rId66" Type="http://schemas.openxmlformats.org/officeDocument/2006/relationships/hyperlink" Target="https://www.sec.gov/Archives/edgar/data/1606366/000119312514332367/d77966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2023-08-04T14:33:08Z</dcterms:created>
  <dcterms:modified xsi:type="dcterms:W3CDTF">2023-08-04T14:33:08Z</dcterms:modified>
</cp:coreProperties>
</file>