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428625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111760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86360</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02" w:lineRule="exact"/>
        <w:rPr>
          <w:sz w:val="24"/>
          <w:szCs w:val="24"/>
          <w:color w:val="auto"/>
        </w:rPr>
      </w:pPr>
    </w:p>
    <w:p>
      <w:pPr>
        <w:ind w:left="700" w:right="240" w:hanging="652"/>
        <w:spacing w:after="0" w:line="273" w:lineRule="auto"/>
        <w:tabs>
          <w:tab w:leader="none" w:pos="7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30, 2022</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03" w:lineRule="exact"/>
        <w:rPr>
          <w:sz w:val="24"/>
          <w:szCs w:val="24"/>
          <w:color w:val="auto"/>
        </w:rPr>
      </w:pPr>
    </w:p>
    <w:p>
      <w:pPr>
        <w:ind w:left="700" w:right="220" w:hanging="645"/>
        <w:spacing w:after="0" w:line="272" w:lineRule="auto"/>
        <w:tabs>
          <w:tab w:leader="none" w:pos="70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69" w:lineRule="exact"/>
        <w:rPr>
          <w:sz w:val="24"/>
          <w:szCs w:val="24"/>
          <w:color w:val="auto"/>
        </w:rPr>
      </w:pPr>
    </w:p>
    <w:p>
      <w:pPr>
        <w:ind w:left="3120"/>
        <w:spacing w:after="0"/>
        <w:tabs>
          <w:tab w:leader="none" w:pos="608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3335655</wp:posOffset>
            </wp:positionH>
            <wp:positionV relativeFrom="paragraph">
              <wp:posOffset>-3175</wp:posOffset>
            </wp:positionV>
            <wp:extent cx="11398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81915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EL POLLO LOCO HOLDINGS,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120650</wp:posOffset>
            </wp:positionV>
            <wp:extent cx="1628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600" w:type="dxa"/>
        <w:tblCellMar>
          <w:top w:w="0" w:type="dxa"/>
          <w:left w:w="0" w:type="dxa"/>
          <w:bottom w:w="0" w:type="dxa"/>
          <w:right w:w="0" w:type="dxa"/>
        </w:tblCellMar>
      </w:tblPr>
      <w:tr>
        <w:trPr>
          <w:trHeight w:val="198"/>
        </w:trPr>
        <w:tc>
          <w:tcPr>
            <w:tcW w:w="6060" w:type="dxa"/>
            <w:vAlign w:val="bottom"/>
          </w:tcPr>
          <w:p>
            <w:pPr>
              <w:jc w:val="center"/>
              <w:ind w:right="2288"/>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060" w:type="dxa"/>
            <w:vAlign w:val="bottom"/>
          </w:tcPr>
          <w:p>
            <w:pPr>
              <w:jc w:val="right"/>
              <w:ind w:right="508"/>
              <w:spacing w:after="0"/>
              <w:rPr>
                <w:sz w:val="20"/>
                <w:szCs w:val="20"/>
                <w:color w:val="auto"/>
              </w:rPr>
            </w:pPr>
            <w:r>
              <w:rPr>
                <w:rFonts w:ascii="Times New Roman" w:cs="Times New Roman" w:eastAsia="Times New Roman" w:hAnsi="Times New Roman"/>
                <w:sz w:val="16"/>
                <w:szCs w:val="16"/>
                <w:b w:val="1"/>
                <w:bCs w:val="1"/>
                <w:color w:val="auto"/>
              </w:rPr>
              <w:t>20-3563182</w:t>
            </w:r>
          </w:p>
        </w:tc>
      </w:tr>
      <w:tr>
        <w:trPr>
          <w:trHeight w:val="166"/>
        </w:trPr>
        <w:tc>
          <w:tcPr>
            <w:tcW w:w="6060" w:type="dxa"/>
            <w:vAlign w:val="bottom"/>
          </w:tcPr>
          <w:p>
            <w:pPr>
              <w:jc w:val="center"/>
              <w:ind w:right="2288"/>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2060" w:type="dxa"/>
            <w:vAlign w:val="bottom"/>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w w:val="97"/>
              </w:rPr>
              <w:t>(I.R.S. Employer Identification No.)</w:t>
            </w:r>
          </w:p>
        </w:tc>
      </w:tr>
      <w:tr>
        <w:trPr>
          <w:trHeight w:val="320"/>
        </w:trPr>
        <w:tc>
          <w:tcPr>
            <w:tcW w:w="6060" w:type="dxa"/>
            <w:vAlign w:val="bottom"/>
          </w:tcPr>
          <w:p>
            <w:pPr>
              <w:jc w:val="center"/>
              <w:ind w:right="2288"/>
              <w:spacing w:after="0"/>
              <w:rPr>
                <w:sz w:val="20"/>
                <w:szCs w:val="20"/>
                <w:color w:val="auto"/>
              </w:rPr>
            </w:pPr>
            <w:r>
              <w:rPr>
                <w:rFonts w:ascii="Times New Roman" w:cs="Times New Roman" w:eastAsia="Times New Roman" w:hAnsi="Times New Roman"/>
                <w:sz w:val="16"/>
                <w:szCs w:val="16"/>
                <w:b w:val="1"/>
                <w:bCs w:val="1"/>
                <w:color w:val="auto"/>
              </w:rPr>
              <w:t>3535 Harbor Blvd., Suite 100, Costa Mesa, California</w:t>
            </w:r>
          </w:p>
        </w:tc>
        <w:tc>
          <w:tcPr>
            <w:tcW w:w="2060" w:type="dxa"/>
            <w:vAlign w:val="bottom"/>
          </w:tcPr>
          <w:p>
            <w:pPr>
              <w:jc w:val="right"/>
              <w:ind w:right="688"/>
              <w:spacing w:after="0"/>
              <w:rPr>
                <w:sz w:val="20"/>
                <w:szCs w:val="20"/>
                <w:color w:val="auto"/>
              </w:rPr>
            </w:pPr>
            <w:r>
              <w:rPr>
                <w:rFonts w:ascii="Times New Roman" w:cs="Times New Roman" w:eastAsia="Times New Roman" w:hAnsi="Times New Roman"/>
                <w:sz w:val="16"/>
                <w:szCs w:val="16"/>
                <w:b w:val="1"/>
                <w:bCs w:val="1"/>
                <w:color w:val="auto"/>
              </w:rPr>
              <w:t>92626</w:t>
            </w:r>
          </w:p>
        </w:tc>
      </w:tr>
      <w:tr>
        <w:trPr>
          <w:trHeight w:val="166"/>
        </w:trPr>
        <w:tc>
          <w:tcPr>
            <w:tcW w:w="6060" w:type="dxa"/>
            <w:vAlign w:val="bottom"/>
          </w:tcPr>
          <w:p>
            <w:pPr>
              <w:jc w:val="center"/>
              <w:ind w:right="226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060" w:type="dxa"/>
            <w:vAlign w:val="bottom"/>
          </w:tcPr>
          <w:p>
            <w:pPr>
              <w:jc w:val="center"/>
              <w:ind w:left="4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320"/>
        </w:trPr>
        <w:tc>
          <w:tcPr>
            <w:tcW w:w="6060" w:type="dxa"/>
            <w:vAlign w:val="bottom"/>
          </w:tcPr>
          <w:p>
            <w:pPr>
              <w:jc w:val="right"/>
              <w:ind w:right="968"/>
              <w:spacing w:after="0"/>
              <w:rPr>
                <w:sz w:val="20"/>
                <w:szCs w:val="20"/>
                <w:color w:val="auto"/>
              </w:rPr>
            </w:pPr>
            <w:r>
              <w:rPr>
                <w:rFonts w:ascii="Times New Roman" w:cs="Times New Roman" w:eastAsia="Times New Roman" w:hAnsi="Times New Roman"/>
                <w:sz w:val="16"/>
                <w:szCs w:val="16"/>
                <w:b w:val="1"/>
                <w:bCs w:val="1"/>
                <w:color w:val="auto"/>
              </w:rPr>
              <w:t>(714) 599-5000</w:t>
            </w:r>
          </w:p>
        </w:tc>
        <w:tc>
          <w:tcPr>
            <w:tcW w:w="2060" w:type="dxa"/>
            <w:vAlign w:val="bottom"/>
          </w:tcPr>
          <w:p>
            <w:pPr>
              <w:spacing w:after="0"/>
              <w:rPr>
                <w:sz w:val="24"/>
                <w:szCs w:val="24"/>
                <w:color w:val="auto"/>
              </w:rPr>
            </w:pPr>
          </w:p>
        </w:tc>
      </w:tr>
      <w:tr>
        <w:trPr>
          <w:trHeight w:val="166"/>
        </w:trPr>
        <w:tc>
          <w:tcPr>
            <w:tcW w:w="6060" w:type="dxa"/>
            <w:vAlign w:val="bottom"/>
          </w:tcPr>
          <w:p>
            <w:pPr>
              <w:jc w:val="center"/>
              <w:ind w:left="2868"/>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2060" w:type="dxa"/>
            <w:vAlign w:val="bottom"/>
          </w:tcPr>
          <w:p>
            <w:pPr>
              <w:spacing w:after="0"/>
              <w:rPr>
                <w:sz w:val="14"/>
                <w:szCs w:val="14"/>
                <w:color w:val="auto"/>
              </w:rPr>
            </w:pPr>
          </w:p>
        </w:tc>
      </w:tr>
    </w:tbl>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3" w:lineRule="exact"/>
        <w:rPr>
          <w:sz w:val="24"/>
          <w:szCs w:val="24"/>
          <w:color w:val="auto"/>
        </w:rPr>
      </w:pPr>
    </w:p>
    <w:tbl>
      <w:tblPr>
        <w:tblLayout w:type="fixed"/>
        <w:tblInd w:w="10" w:type="dxa"/>
        <w:tblCellMar>
          <w:top w:w="0" w:type="dxa"/>
          <w:left w:w="0" w:type="dxa"/>
          <w:bottom w:w="0" w:type="dxa"/>
          <w:right w:w="0" w:type="dxa"/>
        </w:tblCellMar>
      </w:tblPr>
      <w:tr>
        <w:trPr>
          <w:trHeight w:val="216"/>
        </w:trPr>
        <w:tc>
          <w:tcPr>
            <w:tcW w:w="3860" w:type="dxa"/>
            <w:vAlign w:val="bottom"/>
            <w:tcBorders>
              <w:top w:val="single" w:sz="8" w:color="auto"/>
              <w:left w:val="single" w:sz="8" w:color="auto"/>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20" w:type="dxa"/>
            <w:vAlign w:val="bottom"/>
            <w:tcBorders>
              <w:top w:val="single" w:sz="8" w:color="auto"/>
              <w:bottom w:val="single" w:sz="8" w:color="auto"/>
            </w:tcBorders>
          </w:tcPr>
          <w:p>
            <w:pPr>
              <w:spacing w:after="0"/>
              <w:rPr>
                <w:sz w:val="18"/>
                <w:szCs w:val="18"/>
                <w:color w:val="auto"/>
              </w:rPr>
            </w:pPr>
          </w:p>
        </w:tc>
        <w:tc>
          <w:tcPr>
            <w:tcW w:w="3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96"/>
        </w:trPr>
        <w:tc>
          <w:tcPr>
            <w:tcW w:w="3860" w:type="dxa"/>
            <w:vAlign w:val="bottom"/>
            <w:tcBorders>
              <w:left w:val="single" w:sz="8" w:color="auto"/>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LOCO</w:t>
            </w:r>
          </w:p>
        </w:tc>
        <w:tc>
          <w:tcPr>
            <w:tcW w:w="20" w:type="dxa"/>
            <w:vAlign w:val="bottom"/>
            <w:tcBorders>
              <w:bottom w:val="single" w:sz="8" w:color="auto"/>
            </w:tcBorders>
          </w:tcPr>
          <w:p>
            <w:pPr>
              <w:spacing w:after="0"/>
              <w:rPr>
                <w:sz w:val="17"/>
                <w:szCs w:val="17"/>
                <w:color w:val="auto"/>
              </w:rPr>
            </w:pP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r>
        <w:trPr>
          <w:trHeight w:val="176"/>
        </w:trPr>
        <w:tc>
          <w:tcPr>
            <w:tcW w:w="38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40" w:type="dxa"/>
            <w:vAlign w:val="bottom"/>
          </w:tcPr>
          <w:p>
            <w:pPr>
              <w:spacing w:after="0"/>
              <w:rPr>
                <w:sz w:val="15"/>
                <w:szCs w:val="15"/>
                <w:color w:val="auto"/>
              </w:rPr>
            </w:pPr>
          </w:p>
        </w:tc>
      </w:tr>
    </w:tbl>
    <w:p>
      <w:pPr>
        <w:spacing w:after="0" w:line="148" w:lineRule="exact"/>
        <w:rPr>
          <w:sz w:val="24"/>
          <w:szCs w:val="24"/>
          <w:color w:val="auto"/>
        </w:rPr>
      </w:pPr>
    </w:p>
    <w:p>
      <w:pPr>
        <w:jc w:val="both"/>
        <w:ind w:right="160" w:firstLine="506"/>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3" w:lineRule="exact"/>
        <w:rPr>
          <w:sz w:val="24"/>
          <w:szCs w:val="24"/>
          <w:color w:val="auto"/>
        </w:rPr>
      </w:pPr>
    </w:p>
    <w:p>
      <w:pPr>
        <w:ind w:right="40" w:firstLine="506"/>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300" w:hanging="229"/>
        <w:spacing w:after="0" w:line="184" w:lineRule="exact"/>
        <w:tabs>
          <w:tab w:leader="none" w:pos="3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92" w:lineRule="exact"/>
        <w:rPr>
          <w:sz w:val="24"/>
          <w:szCs w:val="24"/>
          <w:color w:val="auto"/>
        </w:rPr>
      </w:pPr>
    </w:p>
    <w:p>
      <w:pPr>
        <w:ind w:right="80" w:firstLine="506"/>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3"/>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472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84"/>
        </w:trPr>
        <w:tc>
          <w:tcPr>
            <w:tcW w:w="17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72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55" w:lineRule="exact"/>
        <w:rPr>
          <w:sz w:val="24"/>
          <w:szCs w:val="24"/>
          <w:color w:val="auto"/>
        </w:rPr>
      </w:pPr>
    </w:p>
    <w:p>
      <w:pPr>
        <w:ind w:right="60" w:firstLine="506"/>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 w:lineRule="exact"/>
        <w:rPr>
          <w:sz w:val="24"/>
          <w:szCs w:val="24"/>
          <w:color w:val="auto"/>
        </w:rPr>
      </w:pPr>
    </w:p>
    <w:p>
      <w:pPr>
        <w:ind w:left="500" w:right="1200"/>
        <w:spacing w:after="0" w:line="25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As of April 29, 2022, there were 36,752,491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664210</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64135</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106680</wp:posOffset>
            </wp:positionV>
            <wp:extent cx="649795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7340" w:type="dxa"/>
            <w:vAlign w:val="bottom"/>
            <w:gridSpan w:val="20"/>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9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7"/>
              </w:rPr>
              <w:t>PART I—FINANCIAL INFORMATION</w:t>
            </w:r>
          </w:p>
        </w:tc>
        <w:tc>
          <w:tcPr>
            <w:tcW w:w="1220" w:type="dxa"/>
            <w:vAlign w:val="bottom"/>
            <w:vMerge w:val="restart"/>
          </w:tcPr>
          <w:p>
            <w:pPr>
              <w:spacing w:after="0"/>
              <w:rPr>
                <w:sz w:val="24"/>
                <w:szCs w:val="24"/>
                <w:color w:val="auto"/>
              </w:rPr>
            </w:pPr>
          </w:p>
        </w:tc>
        <w:tc>
          <w:tcPr>
            <w:tcW w:w="480" w:type="dxa"/>
            <w:vAlign w:val="bottom"/>
            <w:vMerge w:val="restart"/>
          </w:tcPr>
          <w:p>
            <w:pPr>
              <w:spacing w:after="0"/>
              <w:rPr>
                <w:sz w:val="24"/>
                <w:szCs w:val="24"/>
                <w:color w:val="auto"/>
              </w:rPr>
            </w:pPr>
          </w:p>
        </w:tc>
        <w:tc>
          <w:tcPr>
            <w:tcW w:w="28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26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660" w:type="dxa"/>
            <w:vAlign w:val="bottom"/>
            <w:vMerge w:val="restart"/>
          </w:tcPr>
          <w:p>
            <w:pPr>
              <w:spacing w:after="0"/>
              <w:rPr>
                <w:sz w:val="24"/>
                <w:szCs w:val="24"/>
                <w:color w:val="auto"/>
              </w:rPr>
            </w:pPr>
          </w:p>
        </w:tc>
        <w:tc>
          <w:tcPr>
            <w:tcW w:w="540" w:type="dxa"/>
            <w:vAlign w:val="bottom"/>
            <w:vMerge w:val="restart"/>
          </w:tcPr>
          <w:p>
            <w:pPr>
              <w:spacing w:after="0"/>
              <w:rPr>
                <w:sz w:val="24"/>
                <w:szCs w:val="24"/>
                <w:color w:val="auto"/>
              </w:rPr>
            </w:pPr>
          </w:p>
        </w:tc>
        <w:tc>
          <w:tcPr>
            <w:tcW w:w="1380" w:type="dxa"/>
            <w:vAlign w:val="bottom"/>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0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7"/>
              </w:rPr>
              <w:t>Item 1. Financial Statements.</w:t>
            </w: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vMerge w:val="restart"/>
          </w:tcPr>
          <w:p>
            <w:pPr>
              <w:spacing w:after="0"/>
              <w:rPr>
                <w:sz w:val="15"/>
                <w:szCs w:val="15"/>
                <w:color w:val="auto"/>
              </w:rPr>
            </w:pPr>
          </w:p>
        </w:tc>
        <w:tc>
          <w:tcPr>
            <w:tcW w:w="2080" w:type="dxa"/>
            <w:vAlign w:val="bottom"/>
            <w:tcBorders>
              <w:bottom w:val="single" w:sz="8" w:color="0000EE"/>
            </w:tcBorders>
            <w:gridSpan w:val="8"/>
            <w:vMerge w:val="continue"/>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spacing w:after="0"/>
              <w:rPr>
                <w:sz w:val="15"/>
                <w:szCs w:val="15"/>
                <w:color w:val="auto"/>
              </w:rPr>
            </w:pPr>
          </w:p>
        </w:tc>
        <w:tc>
          <w:tcPr>
            <w:tcW w:w="480" w:type="dxa"/>
            <w:vAlign w:val="bottom"/>
            <w:vMerge w:val="restart"/>
          </w:tcPr>
          <w:p>
            <w:pPr>
              <w:spacing w:after="0"/>
              <w:rPr>
                <w:sz w:val="15"/>
                <w:szCs w:val="15"/>
                <w:color w:val="auto"/>
              </w:rPr>
            </w:pPr>
          </w:p>
        </w:tc>
        <w:tc>
          <w:tcPr>
            <w:tcW w:w="2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600" w:type="dxa"/>
            <w:vAlign w:val="bottom"/>
            <w:vMerge w:val="restart"/>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384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w:t>
            </w:r>
          </w:p>
        </w:tc>
        <w:tc>
          <w:tcPr>
            <w:tcW w:w="480" w:type="dxa"/>
            <w:vAlign w:val="bottom"/>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40" w:type="dxa"/>
            <w:vAlign w:val="bottom"/>
            <w:tcBorders>
              <w:bottom w:val="single" w:sz="8" w:color="0000EE"/>
            </w:tcBorders>
            <w:gridSpan w:val="13"/>
            <w:vMerge w:val="continue"/>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600" w:type="dxa"/>
            <w:vAlign w:val="bottom"/>
            <w:vMerge w:val="restart"/>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32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Income (Unaudited)</w:t>
            </w:r>
          </w:p>
        </w:tc>
        <w:tc>
          <w:tcPr>
            <w:tcW w:w="28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320" w:type="dxa"/>
            <w:vAlign w:val="bottom"/>
            <w:tcBorders>
              <w:bottom w:val="single" w:sz="8" w:color="0000EE"/>
            </w:tcBorders>
            <w:gridSpan w:val="14"/>
            <w:vMerge w:val="continue"/>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5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(Unaudited)</w:t>
            </w: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500" w:type="dxa"/>
            <w:vAlign w:val="bottom"/>
            <w:tcBorders>
              <w:bottom w:val="single" w:sz="8" w:color="0000EE"/>
            </w:tcBorders>
            <w:gridSpan w:val="19"/>
            <w:vMerge w:val="continue"/>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16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Changes in Stockholders’ Equity (Unaudited)</w:t>
            </w: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160" w:type="dxa"/>
            <w:vAlign w:val="bottom"/>
            <w:tcBorders>
              <w:bottom w:val="single" w:sz="8" w:color="0000EE"/>
            </w:tcBorders>
            <w:gridSpan w:val="20"/>
            <w:vMerge w:val="continue"/>
          </w:tcPr>
          <w:p>
            <w:pPr>
              <w:spacing w:after="0"/>
              <w:rPr>
                <w:sz w:val="15"/>
                <w:szCs w:val="15"/>
                <w:color w:val="auto"/>
              </w:rPr>
            </w:pPr>
          </w:p>
        </w:tc>
        <w:tc>
          <w:tcPr>
            <w:tcW w:w="540" w:type="dxa"/>
            <w:vAlign w:val="bottom"/>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w:t>
            </w:r>
          </w:p>
        </w:tc>
        <w:tc>
          <w:tcPr>
            <w:tcW w:w="260" w:type="dxa"/>
            <w:vAlign w:val="bottom"/>
          </w:tcPr>
          <w:p>
            <w:pPr>
              <w:spacing w:after="0"/>
              <w:rPr>
                <w:sz w:val="5"/>
                <w:szCs w:val="5"/>
                <w:color w:val="auto"/>
              </w:rPr>
            </w:pPr>
          </w:p>
        </w:tc>
        <w:tc>
          <w:tcPr>
            <w:tcW w:w="1260" w:type="dxa"/>
            <w:vAlign w:val="bottom"/>
            <w:gridSpan w:val="2"/>
          </w:tcPr>
          <w:p>
            <w:pPr>
              <w:spacing w:after="0"/>
              <w:rPr>
                <w:sz w:val="5"/>
                <w:szCs w:val="5"/>
                <w:color w:val="auto"/>
              </w:rPr>
            </w:pPr>
          </w:p>
        </w:tc>
        <w:tc>
          <w:tcPr>
            <w:tcW w:w="540" w:type="dxa"/>
            <w:vAlign w:val="bottom"/>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40" w:type="dxa"/>
            <w:vAlign w:val="bottom"/>
            <w:tcBorders>
              <w:bottom w:val="single" w:sz="8" w:color="0000EE"/>
            </w:tcBorders>
            <w:gridSpan w:val="17"/>
            <w:vMerge w:val="continue"/>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vMerge w:val="restart"/>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90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1800" w:type="dxa"/>
            <w:vAlign w:val="bottom"/>
            <w:gridSpan w:val="3"/>
            <w:vMerge w:val="continue"/>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900" w:type="dxa"/>
            <w:vAlign w:val="bottom"/>
            <w:tcBorders>
              <w:bottom w:val="single" w:sz="8" w:color="0000EE"/>
            </w:tcBorders>
            <w:gridSpan w:val="18"/>
            <w:vMerge w:val="continue"/>
          </w:tcPr>
          <w:p>
            <w:pPr>
              <w:spacing w:after="0"/>
              <w:rPr>
                <w:sz w:val="15"/>
                <w:szCs w:val="15"/>
                <w:color w:val="auto"/>
              </w:rPr>
            </w:pPr>
          </w:p>
        </w:tc>
        <w:tc>
          <w:tcPr>
            <w:tcW w:w="1800" w:type="dxa"/>
            <w:vAlign w:val="bottom"/>
            <w:gridSpan w:val="3"/>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61"/>
        </w:trPr>
        <w:tc>
          <w:tcPr>
            <w:tcW w:w="7040" w:type="dxa"/>
            <w:vAlign w:val="bottom"/>
            <w:gridSpan w:val="23"/>
            <w:vMerge w:val="restart"/>
          </w:tcPr>
          <w:p>
            <w:pPr>
              <w:spacing w:after="0"/>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040" w:type="dxa"/>
            <w:vAlign w:val="bottom"/>
            <w:tcBorders>
              <w:bottom w:val="single" w:sz="8" w:color="0000EE"/>
            </w:tcBorders>
            <w:gridSpan w:val="23"/>
            <w:vMerge w:val="continue"/>
          </w:tcPr>
          <w:p>
            <w:pPr>
              <w:spacing w:after="0"/>
              <w:rPr>
                <w:sz w:val="15"/>
                <w:szCs w:val="15"/>
                <w:color w:val="auto"/>
              </w:rPr>
            </w:pPr>
          </w:p>
        </w:tc>
        <w:tc>
          <w:tcPr>
            <w:tcW w:w="1380" w:type="dxa"/>
            <w:vAlign w:val="bottom"/>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61"/>
        </w:trPr>
        <w:tc>
          <w:tcPr>
            <w:tcW w:w="4960" w:type="dxa"/>
            <w:vAlign w:val="bottom"/>
            <w:gridSpan w:val="18"/>
            <w:vMerge w:val="restart"/>
          </w:tcPr>
          <w:p>
            <w:pPr>
              <w:spacing w:after="0"/>
              <w:rPr>
                <w:sz w:val="20"/>
                <w:szCs w:val="20"/>
                <w:color w:val="auto"/>
              </w:rPr>
            </w:pPr>
            <w:r>
              <w:rPr>
                <w:rFonts w:ascii="Times New Roman" w:cs="Times New Roman" w:eastAsia="Times New Roman" w:hAnsi="Times New Roman"/>
                <w:sz w:val="18"/>
                <w:szCs w:val="18"/>
                <w:color w:val="0000EE"/>
                <w:w w:val="99"/>
              </w:rPr>
              <w:t>Item 3. Quantitative and Qualitative Disclosures About Market Risk.</w:t>
            </w:r>
          </w:p>
        </w:tc>
        <w:tc>
          <w:tcPr>
            <w:tcW w:w="2080" w:type="dxa"/>
            <w:vAlign w:val="bottom"/>
            <w:gridSpan w:val="5"/>
          </w:tcPr>
          <w:p>
            <w:pPr>
              <w:spacing w:after="0"/>
              <w:rPr>
                <w:sz w:val="5"/>
                <w:szCs w:val="5"/>
                <w:color w:val="auto"/>
              </w:rPr>
            </w:pPr>
          </w:p>
        </w:tc>
        <w:tc>
          <w:tcPr>
            <w:tcW w:w="1380" w:type="dxa"/>
            <w:vAlign w:val="bottom"/>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960" w:type="dxa"/>
            <w:vAlign w:val="bottom"/>
            <w:tcBorders>
              <w:bottom w:val="single" w:sz="8" w:color="0000EE"/>
            </w:tcBorders>
            <w:gridSpan w:val="18"/>
            <w:vMerge w:val="continue"/>
          </w:tcPr>
          <w:p>
            <w:pPr>
              <w:spacing w:after="0"/>
              <w:rPr>
                <w:sz w:val="15"/>
                <w:szCs w:val="15"/>
                <w:color w:val="auto"/>
              </w:rPr>
            </w:pPr>
          </w:p>
        </w:tc>
        <w:tc>
          <w:tcPr>
            <w:tcW w:w="3460" w:type="dxa"/>
            <w:vAlign w:val="bottom"/>
            <w:gridSpan w:val="6"/>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61"/>
        </w:trPr>
        <w:tc>
          <w:tcPr>
            <w:tcW w:w="238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9"/>
              </w:rPr>
              <w:t>Item 4. Controls and Procedures.</w:t>
            </w: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20" w:type="dxa"/>
            <w:vAlign w:val="bottom"/>
            <w:gridSpan w:val="4"/>
          </w:tcPr>
          <w:p>
            <w:pPr>
              <w:spacing w:after="0"/>
              <w:rPr>
                <w:sz w:val="5"/>
                <w:szCs w:val="5"/>
                <w:color w:val="auto"/>
              </w:rPr>
            </w:pPr>
          </w:p>
        </w:tc>
        <w:tc>
          <w:tcPr>
            <w:tcW w:w="20" w:type="dxa"/>
            <w:vAlign w:val="bottom"/>
          </w:tcPr>
          <w:p>
            <w:pPr>
              <w:spacing w:after="0"/>
              <w:rPr>
                <w:sz w:val="5"/>
                <w:szCs w:val="5"/>
                <w:color w:val="auto"/>
              </w:rPr>
            </w:pPr>
          </w:p>
        </w:tc>
        <w:tc>
          <w:tcPr>
            <w:tcW w:w="3460" w:type="dxa"/>
            <w:vAlign w:val="bottom"/>
            <w:gridSpan w:val="6"/>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380" w:type="dxa"/>
            <w:vAlign w:val="bottom"/>
            <w:tcBorders>
              <w:bottom w:val="single" w:sz="8" w:color="0000EE"/>
            </w:tcBorders>
            <w:gridSpan w:val="11"/>
            <w:vMerge w:val="continue"/>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vMerge w:val="restart"/>
          </w:tcPr>
          <w:p>
            <w:pPr>
              <w:spacing w:after="0"/>
              <w:rPr>
                <w:sz w:val="15"/>
                <w:szCs w:val="15"/>
                <w:color w:val="auto"/>
              </w:rPr>
            </w:pPr>
          </w:p>
        </w:tc>
        <w:tc>
          <w:tcPr>
            <w:tcW w:w="2020" w:type="dxa"/>
            <w:vAlign w:val="bottom"/>
            <w:gridSpan w:val="4"/>
            <w:vMerge w:val="restart"/>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61"/>
        </w:trPr>
        <w:tc>
          <w:tcPr>
            <w:tcW w:w="26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6"/>
              </w:rPr>
              <w:t>PART II—OTHER INFORMATION</w:t>
            </w:r>
          </w:p>
        </w:tc>
        <w:tc>
          <w:tcPr>
            <w:tcW w:w="280" w:type="dxa"/>
            <w:vAlign w:val="bottom"/>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37"/>
        </w:trPr>
        <w:tc>
          <w:tcPr>
            <w:tcW w:w="2640" w:type="dxa"/>
            <w:vAlign w:val="bottom"/>
            <w:tcBorders>
              <w:bottom w:val="single" w:sz="8" w:color="0000EE"/>
            </w:tcBorders>
            <w:gridSpan w:val="12"/>
            <w:vMerge w:val="continue"/>
          </w:tcPr>
          <w:p>
            <w:pPr>
              <w:spacing w:after="0"/>
              <w:rPr>
                <w:sz w:val="24"/>
                <w:szCs w:val="24"/>
                <w:color w:val="auto"/>
              </w:rPr>
            </w:pPr>
          </w:p>
        </w:tc>
        <w:tc>
          <w:tcPr>
            <w:tcW w:w="280" w:type="dxa"/>
            <w:vAlign w:val="bottom"/>
            <w:vMerge w:val="restart"/>
          </w:tcPr>
          <w:p>
            <w:pPr>
              <w:spacing w:after="0"/>
              <w:rPr>
                <w:sz w:val="24"/>
                <w:szCs w:val="24"/>
                <w:color w:val="auto"/>
              </w:rPr>
            </w:pPr>
          </w:p>
        </w:tc>
        <w:tc>
          <w:tcPr>
            <w:tcW w:w="2020" w:type="dxa"/>
            <w:vAlign w:val="bottom"/>
            <w:gridSpan w:val="4"/>
            <w:vMerge w:val="restart"/>
          </w:tcPr>
          <w:p>
            <w:pPr>
              <w:spacing w:after="0"/>
              <w:rPr>
                <w:sz w:val="24"/>
                <w:szCs w:val="24"/>
                <w:color w:val="auto"/>
              </w:rPr>
            </w:pPr>
          </w:p>
        </w:tc>
        <w:tc>
          <w:tcPr>
            <w:tcW w:w="3480" w:type="dxa"/>
            <w:vAlign w:val="bottom"/>
            <w:gridSpan w:val="7"/>
            <w:vMerge w:val="restart"/>
          </w:tcPr>
          <w:p>
            <w:pPr>
              <w:spacing w:after="0"/>
              <w:rPr>
                <w:sz w:val="24"/>
                <w:szCs w:val="24"/>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61"/>
        </w:trPr>
        <w:tc>
          <w:tcPr>
            <w:tcW w:w="192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w w:val="98"/>
              </w:rPr>
              <w:t>Item 1. Legal Proceedings.</w:t>
            </w:r>
          </w:p>
        </w:tc>
        <w:tc>
          <w:tcPr>
            <w:tcW w:w="440" w:type="dxa"/>
            <w:vAlign w:val="bottom"/>
            <w:gridSpan w:val="2"/>
          </w:tcPr>
          <w:p>
            <w:pPr>
              <w:spacing w:after="0"/>
              <w:rPr>
                <w:sz w:val="5"/>
                <w:szCs w:val="5"/>
                <w:color w:val="auto"/>
              </w:rPr>
            </w:pPr>
          </w:p>
        </w:tc>
        <w:tc>
          <w:tcPr>
            <w:tcW w:w="280" w:type="dxa"/>
            <w:vAlign w:val="bottom"/>
            <w:gridSpan w:val="2"/>
          </w:tcPr>
          <w:p>
            <w:pPr>
              <w:spacing w:after="0"/>
              <w:rPr>
                <w:sz w:val="5"/>
                <w:szCs w:val="5"/>
                <w:color w:val="auto"/>
              </w:rPr>
            </w:pPr>
          </w:p>
        </w:tc>
        <w:tc>
          <w:tcPr>
            <w:tcW w:w="280" w:type="dxa"/>
            <w:vAlign w:val="bottom"/>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920" w:type="dxa"/>
            <w:vAlign w:val="bottom"/>
            <w:tcBorders>
              <w:bottom w:val="single" w:sz="8" w:color="0000EE"/>
            </w:tcBorders>
            <w:gridSpan w:val="8"/>
            <w:vMerge w:val="continue"/>
          </w:tcPr>
          <w:p>
            <w:pPr>
              <w:spacing w:after="0"/>
              <w:rPr>
                <w:sz w:val="15"/>
                <w:szCs w:val="15"/>
                <w:color w:val="auto"/>
              </w:rPr>
            </w:pPr>
          </w:p>
        </w:tc>
        <w:tc>
          <w:tcPr>
            <w:tcW w:w="440" w:type="dxa"/>
            <w:vAlign w:val="bottom"/>
            <w:gridSpan w:val="2"/>
            <w:vMerge w:val="restart"/>
          </w:tcPr>
          <w:p>
            <w:pPr>
              <w:spacing w:after="0"/>
              <w:rPr>
                <w:sz w:val="15"/>
                <w:szCs w:val="15"/>
                <w:color w:val="auto"/>
              </w:rPr>
            </w:pPr>
          </w:p>
        </w:tc>
        <w:tc>
          <w:tcPr>
            <w:tcW w:w="560" w:type="dxa"/>
            <w:vAlign w:val="bottom"/>
            <w:gridSpan w:val="3"/>
            <w:vMerge w:val="restart"/>
          </w:tcPr>
          <w:p>
            <w:pPr>
              <w:spacing w:after="0"/>
              <w:rPr>
                <w:sz w:val="15"/>
                <w:szCs w:val="15"/>
                <w:color w:val="auto"/>
              </w:rPr>
            </w:pPr>
          </w:p>
        </w:tc>
        <w:tc>
          <w:tcPr>
            <w:tcW w:w="2020" w:type="dxa"/>
            <w:vAlign w:val="bottom"/>
            <w:gridSpan w:val="4"/>
            <w:vMerge w:val="restart"/>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61"/>
        </w:trPr>
        <w:tc>
          <w:tcPr>
            <w:tcW w:w="162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0000EE"/>
                <w:w w:val="97"/>
              </w:rPr>
              <w:t>Item 1A. Risk Factors.</w:t>
            </w: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620" w:type="dxa"/>
            <w:vAlign w:val="bottom"/>
            <w:tcBorders>
              <w:bottom w:val="single" w:sz="8" w:color="0000EE"/>
            </w:tcBorders>
            <w:gridSpan w:val="6"/>
            <w:vMerge w:val="continue"/>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gridSpan w:val="3"/>
          </w:tcPr>
          <w:p>
            <w:pPr>
              <w:spacing w:after="0"/>
              <w:rPr>
                <w:sz w:val="15"/>
                <w:szCs w:val="15"/>
                <w:color w:val="auto"/>
              </w:rPr>
            </w:pPr>
          </w:p>
        </w:tc>
        <w:tc>
          <w:tcPr>
            <w:tcW w:w="560" w:type="dxa"/>
            <w:vAlign w:val="bottom"/>
            <w:gridSpan w:val="3"/>
          </w:tcPr>
          <w:p>
            <w:pPr>
              <w:spacing w:after="0"/>
              <w:rPr>
                <w:sz w:val="15"/>
                <w:szCs w:val="15"/>
                <w:color w:val="auto"/>
              </w:rPr>
            </w:pPr>
          </w:p>
        </w:tc>
        <w:tc>
          <w:tcPr>
            <w:tcW w:w="2020" w:type="dxa"/>
            <w:vAlign w:val="bottom"/>
            <w:gridSpan w:val="4"/>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61"/>
        </w:trPr>
        <w:tc>
          <w:tcPr>
            <w:tcW w:w="494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4940" w:type="dxa"/>
            <w:vAlign w:val="bottom"/>
            <w:tcBorders>
              <w:bottom w:val="single" w:sz="8" w:color="0000EE"/>
            </w:tcBorders>
            <w:gridSpan w:val="17"/>
            <w:vMerge w:val="continue"/>
          </w:tcPr>
          <w:p>
            <w:pPr>
              <w:spacing w:after="0"/>
              <w:rPr>
                <w:sz w:val="15"/>
                <w:szCs w:val="15"/>
                <w:color w:val="auto"/>
              </w:rPr>
            </w:pPr>
          </w:p>
        </w:tc>
        <w:tc>
          <w:tcPr>
            <w:tcW w:w="3480" w:type="dxa"/>
            <w:vAlign w:val="bottom"/>
            <w:gridSpan w:val="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61"/>
        </w:trPr>
        <w:tc>
          <w:tcPr>
            <w:tcW w:w="292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w w:val="99"/>
              </w:rPr>
              <w:t>Item 3. Defaults Upon Senior Securities.</w:t>
            </w:r>
          </w:p>
        </w:tc>
        <w:tc>
          <w:tcPr>
            <w:tcW w:w="2020" w:type="dxa"/>
            <w:vAlign w:val="bottom"/>
            <w:gridSpan w:val="4"/>
          </w:tcPr>
          <w:p>
            <w:pPr>
              <w:spacing w:after="0"/>
              <w:rPr>
                <w:sz w:val="5"/>
                <w:szCs w:val="5"/>
                <w:color w:val="auto"/>
              </w:rPr>
            </w:pPr>
          </w:p>
        </w:tc>
        <w:tc>
          <w:tcPr>
            <w:tcW w:w="3480" w:type="dxa"/>
            <w:vAlign w:val="bottom"/>
            <w:gridSpan w:val="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920" w:type="dxa"/>
            <w:vAlign w:val="bottom"/>
            <w:tcBorders>
              <w:bottom w:val="single" w:sz="8" w:color="0000EE"/>
            </w:tcBorders>
            <w:gridSpan w:val="13"/>
            <w:vMerge w:val="continue"/>
          </w:tcPr>
          <w:p>
            <w:pPr>
              <w:spacing w:after="0"/>
              <w:rPr>
                <w:sz w:val="15"/>
                <w:szCs w:val="15"/>
                <w:color w:val="auto"/>
              </w:rPr>
            </w:pPr>
          </w:p>
        </w:tc>
        <w:tc>
          <w:tcPr>
            <w:tcW w:w="5500" w:type="dxa"/>
            <w:vAlign w:val="bottom"/>
            <w:gridSpan w:val="11"/>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61"/>
        </w:trPr>
        <w:tc>
          <w:tcPr>
            <w:tcW w:w="236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EE"/>
                <w:w w:val="98"/>
              </w:rPr>
              <w:t>Item 4. Mine Safety Disclosures.</w:t>
            </w:r>
          </w:p>
        </w:tc>
        <w:tc>
          <w:tcPr>
            <w:tcW w:w="560" w:type="dxa"/>
            <w:vAlign w:val="bottom"/>
            <w:gridSpan w:val="3"/>
          </w:tcPr>
          <w:p>
            <w:pPr>
              <w:spacing w:after="0"/>
              <w:rPr>
                <w:sz w:val="5"/>
                <w:szCs w:val="5"/>
                <w:color w:val="auto"/>
              </w:rPr>
            </w:pPr>
          </w:p>
        </w:tc>
        <w:tc>
          <w:tcPr>
            <w:tcW w:w="5500" w:type="dxa"/>
            <w:vAlign w:val="bottom"/>
            <w:gridSpan w:val="11"/>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360" w:type="dxa"/>
            <w:vAlign w:val="bottom"/>
            <w:tcBorders>
              <w:bottom w:val="single" w:sz="8" w:color="0000EE"/>
            </w:tcBorders>
            <w:gridSpan w:val="10"/>
            <w:vMerge w:val="continue"/>
          </w:tcPr>
          <w:p>
            <w:pPr>
              <w:spacing w:after="0"/>
              <w:rPr>
                <w:sz w:val="15"/>
                <w:szCs w:val="15"/>
                <w:color w:val="auto"/>
              </w:rPr>
            </w:pPr>
          </w:p>
        </w:tc>
        <w:tc>
          <w:tcPr>
            <w:tcW w:w="6060" w:type="dxa"/>
            <w:vAlign w:val="bottom"/>
            <w:gridSpan w:val="14"/>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61"/>
        </w:trPr>
        <w:tc>
          <w:tcPr>
            <w:tcW w:w="19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Item 5. Other Information.</w:t>
            </w:r>
          </w:p>
        </w:tc>
        <w:tc>
          <w:tcPr>
            <w:tcW w:w="460" w:type="dxa"/>
            <w:vAlign w:val="bottom"/>
            <w:gridSpan w:val="3"/>
          </w:tcPr>
          <w:p>
            <w:pPr>
              <w:spacing w:after="0"/>
              <w:rPr>
                <w:sz w:val="5"/>
                <w:szCs w:val="5"/>
                <w:color w:val="auto"/>
              </w:rPr>
            </w:pPr>
          </w:p>
        </w:tc>
        <w:tc>
          <w:tcPr>
            <w:tcW w:w="6060" w:type="dxa"/>
            <w:vAlign w:val="bottom"/>
            <w:gridSpan w:val="14"/>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900" w:type="dxa"/>
            <w:vAlign w:val="bottom"/>
            <w:tcBorders>
              <w:bottom w:val="single" w:sz="8" w:color="0000EE"/>
            </w:tcBorders>
            <w:gridSpan w:val="7"/>
            <w:vMerge w:val="continue"/>
          </w:tcPr>
          <w:p>
            <w:pPr>
              <w:spacing w:after="0"/>
              <w:rPr>
                <w:sz w:val="15"/>
                <w:szCs w:val="15"/>
                <w:color w:val="auto"/>
              </w:rPr>
            </w:pPr>
          </w:p>
        </w:tc>
        <w:tc>
          <w:tcPr>
            <w:tcW w:w="6520" w:type="dxa"/>
            <w:vAlign w:val="bottom"/>
            <w:gridSpan w:val="17"/>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61"/>
        </w:trPr>
        <w:tc>
          <w:tcPr>
            <w:tcW w:w="11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EE"/>
                <w:w w:val="96"/>
              </w:rPr>
              <w:t>Item 6. Exhibits.</w:t>
            </w:r>
          </w:p>
        </w:tc>
        <w:tc>
          <w:tcPr>
            <w:tcW w:w="720" w:type="dxa"/>
            <w:vAlign w:val="bottom"/>
            <w:gridSpan w:val="2"/>
          </w:tcPr>
          <w:p>
            <w:pPr>
              <w:spacing w:after="0"/>
              <w:rPr>
                <w:sz w:val="5"/>
                <w:szCs w:val="5"/>
                <w:color w:val="auto"/>
              </w:rPr>
            </w:pPr>
          </w:p>
        </w:tc>
        <w:tc>
          <w:tcPr>
            <w:tcW w:w="6520" w:type="dxa"/>
            <w:vAlign w:val="bottom"/>
            <w:gridSpan w:val="17"/>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1180" w:type="dxa"/>
            <w:vAlign w:val="bottom"/>
            <w:tcBorders>
              <w:bottom w:val="single" w:sz="8" w:color="0000EE"/>
            </w:tcBorders>
            <w:gridSpan w:val="5"/>
            <w:vMerge w:val="continue"/>
          </w:tcPr>
          <w:p>
            <w:pPr>
              <w:spacing w:after="0"/>
              <w:rPr>
                <w:sz w:val="15"/>
                <w:szCs w:val="15"/>
                <w:color w:val="auto"/>
              </w:rPr>
            </w:pPr>
          </w:p>
        </w:tc>
        <w:tc>
          <w:tcPr>
            <w:tcW w:w="7240" w:type="dxa"/>
            <w:vAlign w:val="bottom"/>
            <w:gridSpan w:val="19"/>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61"/>
        </w:trPr>
        <w:tc>
          <w:tcPr>
            <w:tcW w:w="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4"/>
              </w:rPr>
              <w:t>Signatures</w:t>
            </w:r>
          </w:p>
        </w:tc>
        <w:tc>
          <w:tcPr>
            <w:tcW w:w="440" w:type="dxa"/>
            <w:vAlign w:val="bottom"/>
            <w:gridSpan w:val="2"/>
          </w:tcPr>
          <w:p>
            <w:pPr>
              <w:spacing w:after="0"/>
              <w:rPr>
                <w:sz w:val="5"/>
                <w:szCs w:val="5"/>
                <w:color w:val="auto"/>
              </w:rPr>
            </w:pPr>
          </w:p>
        </w:tc>
        <w:tc>
          <w:tcPr>
            <w:tcW w:w="7240" w:type="dxa"/>
            <w:vAlign w:val="bottom"/>
            <w:gridSpan w:val="19"/>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740" w:type="dxa"/>
            <w:vAlign w:val="bottom"/>
            <w:tcBorders>
              <w:bottom w:val="single" w:sz="8" w:color="0000EE"/>
            </w:tcBorders>
            <w:gridSpan w:val="3"/>
            <w:vMerge w:val="continue"/>
          </w:tcPr>
          <w:p>
            <w:pPr>
              <w:spacing w:after="0"/>
              <w:rPr>
                <w:sz w:val="15"/>
                <w:szCs w:val="15"/>
                <w:color w:val="auto"/>
              </w:rPr>
            </w:pPr>
          </w:p>
        </w:tc>
        <w:tc>
          <w:tcPr>
            <w:tcW w:w="7680" w:type="dxa"/>
            <w:vAlign w:val="bottom"/>
            <w:gridSpan w:val="21"/>
            <w:vMerge w:val="restart"/>
          </w:tcPr>
          <w:p>
            <w:pPr>
              <w:spacing w:after="0"/>
              <w:rPr>
                <w:sz w:val="15"/>
                <w:szCs w:val="15"/>
                <w:color w:val="auto"/>
              </w:rPr>
            </w:pP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61"/>
        </w:trPr>
        <w:tc>
          <w:tcPr>
            <w:tcW w:w="740" w:type="dxa"/>
            <w:vAlign w:val="bottom"/>
            <w:gridSpan w:val="3"/>
          </w:tcPr>
          <w:p>
            <w:pPr>
              <w:spacing w:after="0"/>
              <w:rPr>
                <w:sz w:val="5"/>
                <w:szCs w:val="5"/>
                <w:color w:val="auto"/>
              </w:rPr>
            </w:pPr>
          </w:p>
        </w:tc>
        <w:tc>
          <w:tcPr>
            <w:tcW w:w="7680" w:type="dxa"/>
            <w:vAlign w:val="bottom"/>
            <w:gridSpan w:val="21"/>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left="1580" w:right="1600"/>
        <w:spacing w:after="0" w:line="385" w:lineRule="auto"/>
        <w:rPr>
          <w:sz w:val="20"/>
          <w:szCs w:val="20"/>
          <w:color w:val="auto"/>
        </w:rPr>
      </w:pPr>
      <w:r>
        <w:rPr>
          <w:rFonts w:ascii="Times New Roman" w:cs="Times New Roman" w:eastAsia="Times New Roman" w:hAnsi="Times New Roman"/>
          <w:sz w:val="18"/>
          <w:szCs w:val="18"/>
          <w:b w:val="1"/>
          <w:bCs w:val="1"/>
          <w:color w:val="auto"/>
        </w:rPr>
        <w:t>EL POLLO LOCO HOLDINGS, INC. CONDENSED CONSOLIDATED BALANCE SHEETS (UNAUDITED) (Amounts in thousands, except share data)</w:t>
      </w:r>
    </w:p>
    <w:tbl>
      <w:tblPr>
        <w:tblLayout w:type="fixed"/>
        <w:tblInd w:w="40" w:type="dxa"/>
        <w:tblCellMar>
          <w:top w:w="0" w:type="dxa"/>
          <w:left w:w="0" w:type="dxa"/>
          <w:bottom w:w="0" w:type="dxa"/>
          <w:right w:w="0" w:type="dxa"/>
        </w:tblCellMar>
      </w:tblPr>
      <w:tr>
        <w:trPr>
          <w:trHeight w:val="149"/>
        </w:trPr>
        <w:tc>
          <w:tcPr>
            <w:tcW w:w="6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March 30,</w:t>
            </w:r>
          </w:p>
        </w:tc>
        <w:tc>
          <w:tcPr>
            <w:tcW w:w="120" w:type="dxa"/>
            <w:vAlign w:val="bottom"/>
          </w:tcPr>
          <w:p>
            <w:pPr>
              <w:spacing w:after="0"/>
              <w:rPr>
                <w:sz w:val="12"/>
                <w:szCs w:val="12"/>
                <w:color w:val="auto"/>
              </w:rPr>
            </w:pPr>
          </w:p>
        </w:tc>
        <w:tc>
          <w:tcPr>
            <w:tcW w:w="1020" w:type="dxa"/>
            <w:vAlign w:val="bottom"/>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December 29,</w:t>
            </w:r>
          </w:p>
        </w:tc>
        <w:tc>
          <w:tcPr>
            <w:tcW w:w="0" w:type="dxa"/>
            <w:vAlign w:val="bottom"/>
          </w:tcPr>
          <w:p>
            <w:pPr>
              <w:spacing w:after="0"/>
              <w:rPr>
                <w:sz w:val="1"/>
                <w:szCs w:val="1"/>
                <w:color w:val="auto"/>
              </w:rPr>
            </w:pPr>
          </w:p>
        </w:tc>
      </w:tr>
      <w:tr>
        <w:trPr>
          <w:trHeight w:val="173"/>
        </w:trPr>
        <w:tc>
          <w:tcPr>
            <w:tcW w:w="6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30,046</w:t>
            </w:r>
          </w:p>
        </w:tc>
        <w:tc>
          <w:tcPr>
            <w:tcW w:w="0" w:type="dxa"/>
            <w:vAlign w:val="bottom"/>
          </w:tcPr>
          <w:p>
            <w:pPr>
              <w:spacing w:after="0"/>
              <w:rPr>
                <w:sz w:val="1"/>
                <w:szCs w:val="1"/>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and other receivables, net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13,407</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4,599</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3,732</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49,503</w:t>
            </w:r>
          </w:p>
        </w:tc>
        <w:tc>
          <w:tcPr>
            <w:tcW w:w="0" w:type="dxa"/>
            <w:vAlign w:val="bottom"/>
          </w:tcPr>
          <w:p>
            <w:pPr>
              <w:spacing w:after="0"/>
              <w:rPr>
                <w:sz w:val="1"/>
                <w:szCs w:val="1"/>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76,170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75,668</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held under finance lease, net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0" w:type="dxa"/>
            <w:vAlign w:val="bottom"/>
          </w:tcPr>
          <w:p>
            <w:pPr>
              <w:spacing w:after="0"/>
              <w:rPr>
                <w:sz w:val="1"/>
                <w:szCs w:val="1"/>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held under operating leases, net ("ROU asset")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169,671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171,981</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248,674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248,674</w:t>
            </w:r>
          </w:p>
        </w:tc>
        <w:tc>
          <w:tcPr>
            <w:tcW w:w="0" w:type="dxa"/>
            <w:vAlign w:val="bottom"/>
          </w:tcPr>
          <w:p>
            <w:pPr>
              <w:spacing w:after="0"/>
              <w:rPr>
                <w:sz w:val="1"/>
                <w:szCs w:val="1"/>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Trademarks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61,888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61,888</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2,245</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2,487</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2,192</w:t>
            </w:r>
          </w:p>
        </w:tc>
        <w:tc>
          <w:tcPr>
            <w:tcW w:w="0" w:type="dxa"/>
            <w:vAlign w:val="bottom"/>
          </w:tcPr>
          <w:p>
            <w:pPr>
              <w:spacing w:after="0"/>
              <w:rPr>
                <w:sz w:val="1"/>
                <w:szCs w:val="1"/>
                <w:color w:val="auto"/>
              </w:rPr>
            </w:pPr>
          </w:p>
        </w:tc>
      </w:tr>
      <w:tr>
        <w:trPr>
          <w:trHeight w:val="196"/>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609,440</w:t>
            </w: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613,786</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3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obligations under finance leases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obligations under operating leases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19,959</w:t>
            </w:r>
          </w:p>
        </w:tc>
        <w:tc>
          <w:tcPr>
            <w:tcW w:w="0" w:type="dxa"/>
            <w:vAlign w:val="bottom"/>
          </w:tcPr>
          <w:p>
            <w:pPr>
              <w:spacing w:after="0"/>
              <w:rPr>
                <w:sz w:val="1"/>
                <w:szCs w:val="1"/>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10,233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10,626</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salaries and vacation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11,539</w:t>
            </w:r>
          </w:p>
        </w:tc>
        <w:tc>
          <w:tcPr>
            <w:tcW w:w="0" w:type="dxa"/>
            <w:vAlign w:val="bottom"/>
          </w:tcPr>
          <w:p>
            <w:pPr>
              <w:spacing w:after="0"/>
              <w:rPr>
                <w:sz w:val="1"/>
                <w:szCs w:val="1"/>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insurance</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11,589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11,193</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income taxes payable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2,827</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0" w:type="dxa"/>
            <w:vAlign w:val="bottom"/>
          </w:tcPr>
          <w:p>
            <w:pPr>
              <w:spacing w:after="0"/>
              <w:rPr>
                <w:sz w:val="1"/>
                <w:szCs w:val="1"/>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portion of income tax receivable agreement payable</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19,505</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19,796</w:t>
            </w:r>
          </w:p>
        </w:tc>
        <w:tc>
          <w:tcPr>
            <w:tcW w:w="0" w:type="dxa"/>
            <w:vAlign w:val="bottom"/>
          </w:tcPr>
          <w:p>
            <w:pPr>
              <w:spacing w:after="0"/>
              <w:rPr>
                <w:sz w:val="1"/>
                <w:szCs w:val="1"/>
                <w:color w:val="auto"/>
              </w:rPr>
            </w:pPr>
          </w:p>
        </w:tc>
      </w:tr>
      <w:tr>
        <w:trPr>
          <w:trHeight w:val="19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71,021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74,582</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Revolver loan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0" w:type="dxa"/>
            <w:vAlign w:val="bottom"/>
          </w:tcPr>
          <w:p>
            <w:pPr>
              <w:spacing w:after="0"/>
              <w:rPr>
                <w:sz w:val="1"/>
                <w:szCs w:val="1"/>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 net of current portion</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1,712</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under operating leases, net of current portion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169,401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171,651</w:t>
            </w:r>
          </w:p>
        </w:tc>
        <w:tc>
          <w:tcPr>
            <w:tcW w:w="0" w:type="dxa"/>
            <w:vAlign w:val="bottom"/>
          </w:tcPr>
          <w:p>
            <w:pPr>
              <w:spacing w:after="0"/>
              <w:rPr>
                <w:sz w:val="1"/>
                <w:szCs w:val="1"/>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5,464</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receivable agreement payable, net of current portion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5,912</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8,653</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293,834</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303,163</w:t>
            </w:r>
          </w:p>
        </w:tc>
        <w:tc>
          <w:tcPr>
            <w:tcW w:w="0" w:type="dxa"/>
            <w:vAlign w:val="bottom"/>
          </w:tcPr>
          <w:p>
            <w:pPr>
              <w:spacing w:after="0"/>
              <w:rPr>
                <w:sz w:val="1"/>
                <w:szCs w:val="1"/>
                <w:color w:val="auto"/>
              </w:rPr>
            </w:pPr>
          </w:p>
        </w:tc>
      </w:tr>
      <w:tr>
        <w:trPr>
          <w:trHeight w:val="194"/>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7)</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 or outstanding</w:t>
            </w:r>
          </w:p>
        </w:tc>
        <w:tc>
          <w:tcPr>
            <w:tcW w:w="16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$0.01 par value, 200,000,000 shares authorized; 36,743,496 and 36,601,648</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issued and outstanding as March 30, 2022 and December 29, 2021, respectively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202"/>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345,296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342,941</w:t>
            </w:r>
          </w:p>
        </w:tc>
        <w:tc>
          <w:tcPr>
            <w:tcW w:w="0" w:type="dxa"/>
            <w:vAlign w:val="bottom"/>
          </w:tcPr>
          <w:p>
            <w:pPr>
              <w:spacing w:after="0"/>
              <w:rPr>
                <w:sz w:val="1"/>
                <w:szCs w:val="1"/>
                <w:color w:val="auto"/>
              </w:rPr>
            </w:pPr>
          </w:p>
        </w:tc>
      </w:tr>
      <w:tr>
        <w:trPr>
          <w:trHeight w:val="20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(30,278)</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(32,393)</w:t>
            </w: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196"/>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315,606</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310,623</w:t>
            </w:r>
          </w:p>
        </w:tc>
        <w:tc>
          <w:tcPr>
            <w:tcW w:w="0" w:type="dxa"/>
            <w:vAlign w:val="bottom"/>
          </w:tcPr>
          <w:p>
            <w:pPr>
              <w:spacing w:after="0"/>
              <w:rPr>
                <w:sz w:val="1"/>
                <w:szCs w:val="1"/>
                <w:color w:val="auto"/>
              </w:rPr>
            </w:pPr>
          </w:p>
        </w:tc>
      </w:tr>
      <w:tr>
        <w:trPr>
          <w:trHeight w:val="196"/>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609,440</w:t>
            </w:r>
          </w:p>
        </w:tc>
        <w:tc>
          <w:tcPr>
            <w:tcW w:w="2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613,786</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share data)</w:t>
      </w: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5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14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220" w:type="dxa"/>
            <w:vAlign w:val="bottom"/>
          </w:tcPr>
          <w:p>
            <w:pPr>
              <w:spacing w:after="0"/>
              <w:rPr>
                <w:sz w:val="12"/>
                <w:szCs w:val="12"/>
                <w:color w:val="auto"/>
              </w:rPr>
            </w:pPr>
          </w:p>
        </w:tc>
      </w:tr>
      <w:tr>
        <w:trPr>
          <w:trHeight w:val="209"/>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93,957</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94,161</w:t>
            </w:r>
          </w:p>
        </w:tc>
        <w:tc>
          <w:tcPr>
            <w:tcW w:w="22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220" w:type="dxa"/>
            <w:vAlign w:val="bottom"/>
            <w:shd w:val="clear" w:color="auto" w:fill="CCEEFF"/>
          </w:tcPr>
          <w:p>
            <w:pPr>
              <w:spacing w:after="0"/>
              <w:rPr>
                <w:sz w:val="18"/>
                <w:szCs w:val="18"/>
                <w:color w:val="auto"/>
              </w:rPr>
            </w:pPr>
          </w:p>
        </w:tc>
      </w:tr>
      <w:tr>
        <w:trPr>
          <w:trHeight w:val="216"/>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220" w:type="dxa"/>
            <w:vAlign w:val="bottom"/>
            <w:tcBorders>
              <w:bottom w:val="single" w:sz="8" w:color="CCEEFF"/>
            </w:tcBorders>
          </w:tcPr>
          <w:p>
            <w:pPr>
              <w:spacing w:after="0"/>
              <w:rPr>
                <w:sz w:val="18"/>
                <w:szCs w:val="18"/>
                <w:color w:val="auto"/>
              </w:rPr>
            </w:pPr>
          </w:p>
        </w:tc>
      </w:tr>
      <w:tr>
        <w:trPr>
          <w:trHeight w:val="20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107,721</w:t>
            </w:r>
          </w:p>
        </w:tc>
        <w:tc>
          <w:tcPr>
            <w:tcW w:w="220" w:type="dxa"/>
            <w:vAlign w:val="bottom"/>
            <w:shd w:val="clear" w:color="auto" w:fill="CCEEFF"/>
          </w:tcPr>
          <w:p>
            <w:pPr>
              <w:spacing w:after="0"/>
              <w:rPr>
                <w:sz w:val="18"/>
                <w:szCs w:val="18"/>
                <w:color w:val="auto"/>
              </w:rPr>
            </w:pP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operations</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Food and paper cost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24,391</w:t>
            </w:r>
          </w:p>
        </w:tc>
        <w:tc>
          <w:tcPr>
            <w:tcW w:w="220" w:type="dxa"/>
            <w:vAlign w:val="bottom"/>
            <w:shd w:val="clear" w:color="auto" w:fill="CCEEFF"/>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 and related expenses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30,732</w:t>
            </w:r>
          </w:p>
        </w:tc>
        <w:tc>
          <w:tcPr>
            <w:tcW w:w="22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23,844</w:t>
            </w:r>
          </w:p>
        </w:tc>
        <w:tc>
          <w:tcPr>
            <w:tcW w:w="220" w:type="dxa"/>
            <w:vAlign w:val="bottom"/>
            <w:shd w:val="clear" w:color="auto" w:fill="CCEEFF"/>
          </w:tcPr>
          <w:p>
            <w:pPr>
              <w:spacing w:after="0"/>
              <w:rPr>
                <w:sz w:val="18"/>
                <w:szCs w:val="18"/>
                <w:color w:val="auto"/>
              </w:rPr>
            </w:pP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Company restaurant expenses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84,249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78,967</w:t>
            </w:r>
          </w:p>
        </w:tc>
        <w:tc>
          <w:tcPr>
            <w:tcW w:w="22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220" w:type="dxa"/>
            <w:vAlign w:val="bottom"/>
            <w:shd w:val="clear" w:color="auto" w:fill="CCEEFF"/>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expenses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22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220" w:type="dxa"/>
            <w:vAlign w:val="bottom"/>
            <w:shd w:val="clear" w:color="auto" w:fill="CCEEFF"/>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20" w:type="dxa"/>
            <w:vAlign w:val="bottom"/>
            <w:shd w:val="clear" w:color="auto" w:fill="CCEEFF"/>
          </w:tcPr>
          <w:p>
            <w:pPr>
              <w:spacing w:after="0"/>
              <w:rPr>
                <w:sz w:val="18"/>
                <w:szCs w:val="18"/>
                <w:color w:val="auto"/>
              </w:rPr>
            </w:pPr>
          </w:p>
        </w:tc>
      </w:tr>
      <w:tr>
        <w:trPr>
          <w:trHeight w:val="21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106,728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101,720</w:t>
            </w:r>
          </w:p>
        </w:tc>
        <w:tc>
          <w:tcPr>
            <w:tcW w:w="220" w:type="dxa"/>
            <w:vAlign w:val="bottom"/>
            <w:tcBorders>
              <w:bottom w:val="single" w:sz="8" w:color="CCEEFF"/>
            </w:tcBorders>
          </w:tcPr>
          <w:p>
            <w:pPr>
              <w:spacing w:after="0"/>
              <w:rPr>
                <w:sz w:val="18"/>
                <w:szCs w:val="18"/>
                <w:color w:val="auto"/>
              </w:rPr>
            </w:pPr>
          </w:p>
        </w:tc>
      </w:tr>
      <w:tr>
        <w:trPr>
          <w:trHeight w:val="210"/>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220" w:type="dxa"/>
            <w:vAlign w:val="bottom"/>
            <w:shd w:val="clear" w:color="auto" w:fill="CCEEFF"/>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income</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r>
      <w:tr>
        <w:trPr>
          <w:trHeight w:val="21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5,561</w:t>
            </w:r>
          </w:p>
        </w:tc>
        <w:tc>
          <w:tcPr>
            <w:tcW w:w="22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20" w:type="dxa"/>
            <w:vAlign w:val="bottom"/>
            <w:shd w:val="clear" w:color="auto" w:fill="CCEEFF"/>
          </w:tcPr>
          <w:p>
            <w:pPr>
              <w:spacing w:after="0"/>
              <w:rPr>
                <w:sz w:val="18"/>
                <w:szCs w:val="18"/>
                <w:color w:val="auto"/>
              </w:rPr>
            </w:pPr>
          </w:p>
        </w:tc>
      </w:tr>
      <w:tr>
        <w:trPr>
          <w:trHeight w:val="249"/>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220" w:type="dxa"/>
            <w:vAlign w:val="bottom"/>
            <w:tcBorders>
              <w:bottom w:val="single" w:sz="8" w:color="CCEEFF"/>
            </w:tcBorders>
          </w:tcPr>
          <w:p>
            <w:pPr>
              <w:spacing w:after="0"/>
              <w:rPr>
                <w:sz w:val="21"/>
                <w:szCs w:val="21"/>
                <w:color w:val="auto"/>
              </w:rPr>
            </w:pPr>
          </w:p>
        </w:tc>
      </w:tr>
      <w:tr>
        <w:trPr>
          <w:trHeight w:val="197"/>
        </w:trPr>
        <w:tc>
          <w:tcPr>
            <w:tcW w:w="59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per share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shd w:val="clear" w:color="auto" w:fill="CCEEFF"/>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shares used in computing net income per share</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36,225,747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35,795,205</w:t>
            </w:r>
          </w:p>
        </w:tc>
        <w:tc>
          <w:tcPr>
            <w:tcW w:w="220" w:type="dxa"/>
            <w:vAlign w:val="bottom"/>
            <w:shd w:val="clear" w:color="auto" w:fill="CCEEFF"/>
          </w:tcPr>
          <w:p>
            <w:pPr>
              <w:spacing w:after="0"/>
              <w:rPr>
                <w:sz w:val="18"/>
                <w:szCs w:val="18"/>
                <w:color w:val="auto"/>
              </w:rPr>
            </w:pP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36,480,354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36,424,068</w:t>
            </w:r>
          </w:p>
        </w:tc>
        <w:tc>
          <w:tcPr>
            <w:tcW w:w="220" w:type="dxa"/>
            <w:vAlign w:val="bottom"/>
          </w:tcPr>
          <w:p>
            <w:pPr>
              <w:spacing w:after="0"/>
              <w:rPr>
                <w:sz w:val="20"/>
                <w:szCs w:val="20"/>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60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240" w:type="dxa"/>
            <w:vAlign w:val="bottom"/>
          </w:tcPr>
          <w:p>
            <w:pPr>
              <w:spacing w:after="0"/>
              <w:rPr>
                <w:sz w:val="12"/>
                <w:szCs w:val="12"/>
                <w:color w:val="auto"/>
              </w:rPr>
            </w:pPr>
          </w:p>
        </w:tc>
      </w:tr>
      <w:tr>
        <w:trPr>
          <w:trHeight w:val="209"/>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derivative instruments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net gains arising during the period from interest rate swap</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Reclassifications of losses into net income</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shd w:val="clear" w:color="auto" w:fill="CCEEFF"/>
          </w:tcPr>
          <w:p>
            <w:pPr>
              <w:spacing w:after="0"/>
              <w:rPr>
                <w:sz w:val="18"/>
                <w:szCs w:val="18"/>
                <w:color w:val="auto"/>
              </w:rPr>
            </w:pPr>
          </w:p>
        </w:tc>
      </w:tr>
      <w:tr>
        <w:trPr>
          <w:trHeight w:val="216"/>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Borders>
              <w:top w:val="single" w:sz="8" w:color="CCEEFF"/>
            </w:tcBorders>
            <w:shd w:val="clear" w:color="auto" w:fill="CCEEFF"/>
          </w:tcPr>
          <w:p>
            <w:pPr>
              <w:spacing w:after="0"/>
              <w:rPr>
                <w:sz w:val="18"/>
                <w:szCs w:val="18"/>
                <w:color w:val="auto"/>
              </w:rPr>
            </w:pPr>
          </w:p>
        </w:tc>
      </w:tr>
      <w:tr>
        <w:trPr>
          <w:trHeight w:val="20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4,105</w:t>
            </w:r>
          </w:p>
        </w:tc>
        <w:tc>
          <w:tcPr>
            <w:tcW w:w="240" w:type="dxa"/>
            <w:vAlign w:val="bottom"/>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 March 30, 2022</w:t>
            </w: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74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38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vMerge w:val="continue"/>
          </w:tcPr>
          <w:p>
            <w:pPr>
              <w:spacing w:after="0"/>
              <w:rPr>
                <w:sz w:val="15"/>
                <w:szCs w:val="15"/>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8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60" w:type="dxa"/>
            <w:vAlign w:val="bottom"/>
          </w:tcPr>
          <w:p>
            <w:pPr>
              <w:spacing w:after="0"/>
              <w:rPr>
                <w:sz w:val="12"/>
                <w:szCs w:val="12"/>
                <w:color w:val="auto"/>
              </w:rPr>
            </w:pPr>
          </w:p>
        </w:tc>
        <w:tc>
          <w:tcPr>
            <w:tcW w:w="740" w:type="dxa"/>
            <w:vAlign w:val="bottom"/>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29, 2021</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36,601,648</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$ 342,941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(32,393)</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310,623</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141,848</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09"/>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30, 2022</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36,743,496</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$ 345,296</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(30,278)</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315,606</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0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Thirteen Weeks Ended March 31, 2021</w:t>
            </w: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tcPr>
          <w:p>
            <w:pPr>
              <w:jc w:val="center"/>
              <w:ind w:right="14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0"/>
                <w:szCs w:val="10"/>
                <w:color w:val="auto"/>
              </w:rPr>
            </w:pPr>
          </w:p>
        </w:tc>
        <w:tc>
          <w:tcPr>
            <w:tcW w:w="74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3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8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38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80" w:type="dxa"/>
            <w:vAlign w:val="bottom"/>
            <w:gridSpan w:val="3"/>
            <w:vMerge w:val="continue"/>
          </w:tcPr>
          <w:p>
            <w:pPr>
              <w:spacing w:after="0"/>
              <w:rPr>
                <w:sz w:val="15"/>
                <w:szCs w:val="15"/>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08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12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2"/>
                <w:szCs w:val="12"/>
                <w:color w:val="auto"/>
              </w:rPr>
            </w:pPr>
          </w:p>
        </w:tc>
        <w:tc>
          <w:tcPr>
            <w:tcW w:w="740" w:type="dxa"/>
            <w:vAlign w:val="bottom"/>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30, 2020</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36,423,505</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$ 339,561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(61,514)</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277,578</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0" w:type="dxa"/>
            <w:vAlign w:val="bottom"/>
          </w:tcPr>
          <w:p>
            <w:pPr>
              <w:spacing w:after="0"/>
              <w:rPr>
                <w:sz w:val="1"/>
                <w:szCs w:val="1"/>
                <w:color w:val="auto"/>
              </w:rPr>
            </w:pPr>
          </w:p>
        </w:tc>
      </w:tr>
      <w:tr>
        <w:trPr>
          <w:trHeight w:val="198"/>
        </w:trPr>
        <w:tc>
          <w:tcPr>
            <w:tcW w:w="3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61,419</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198"/>
        </w:trPr>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Forfeiture of common stock related to</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shares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(6,241)</w:t>
            </w:r>
          </w:p>
        </w:tc>
        <w:tc>
          <w:tcPr>
            <w:tcW w:w="30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36,478,683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$ 340,739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282,862</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4"/>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3"/>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50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2,115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3,964</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flows (used in) provided by operating</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activities: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3,597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826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receivable agreement income</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 of property and equipment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89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(1,039)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(310)</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and other receivables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(645)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(1,055)</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(867)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1,938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(846)</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2,811</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salaries and vacation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(5,302)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(3,444)</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insurance</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accrued expenses and liabilities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(2,164)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(1,313)</w:t>
            </w: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flows (used in) provided by operating activities</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7,398</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(3,772)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(5,257)</w:t>
            </w:r>
          </w:p>
        </w:tc>
        <w:tc>
          <w:tcPr>
            <w:tcW w:w="0" w:type="dxa"/>
            <w:vAlign w:val="bottom"/>
          </w:tcPr>
          <w:p>
            <w:pPr>
              <w:spacing w:after="0"/>
              <w:rPr>
                <w:sz w:val="1"/>
                <w:szCs w:val="1"/>
                <w:color w:val="auto"/>
              </w:rPr>
            </w:pPr>
          </w:p>
        </w:tc>
      </w:tr>
      <w:tr>
        <w:trPr>
          <w:trHeight w:val="196"/>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(3,772)</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(5,257)</w:t>
            </w:r>
          </w:p>
        </w:tc>
        <w:tc>
          <w:tcPr>
            <w:tcW w:w="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revolver and swingline loan</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(9,000)</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 net of expenses</w:t>
            </w: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1,530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obligations under finance leases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flows provided by (used in) financing activities</w:t>
            </w: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1,482</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(8,691)</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Decrease in cash and cash equivalents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(4,595)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(6,550)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Cash and cash equivalents, </w:t>
            </w:r>
            <w:r>
              <w:rPr>
                <w:rFonts w:ascii="Times New Roman" w:cs="Times New Roman" w:eastAsia="Times New Roman" w:hAnsi="Times New Roman"/>
                <w:sz w:val="16"/>
                <w:szCs w:val="16"/>
                <w:color w:val="auto"/>
              </w:rPr>
              <w:t>beginning of period</w:t>
            </w:r>
          </w:p>
        </w:tc>
        <w:tc>
          <w:tcPr>
            <w:tcW w:w="3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30,046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13,219</w:t>
            </w:r>
          </w:p>
        </w:tc>
        <w:tc>
          <w:tcPr>
            <w:tcW w:w="4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Cash and cash equivalents, </w:t>
            </w:r>
            <w:r>
              <w:rPr>
                <w:rFonts w:ascii="Times New Roman" w:cs="Times New Roman" w:eastAsia="Times New Roman" w:hAnsi="Times New Roman"/>
                <w:sz w:val="16"/>
                <w:szCs w:val="16"/>
                <w:color w:val="auto"/>
              </w:rPr>
              <w:t>end of period</w:t>
            </w:r>
          </w:p>
        </w:tc>
        <w:tc>
          <w:tcPr>
            <w:tcW w:w="300" w:type="dxa"/>
            <w:vAlign w:val="bottom"/>
          </w:tcPr>
          <w:p>
            <w:pPr>
              <w:spacing w:after="0"/>
              <w:rPr>
                <w:sz w:val="17"/>
                <w:szCs w:val="17"/>
                <w:color w:val="auto"/>
              </w:rPr>
            </w:pPr>
          </w:p>
        </w:tc>
        <w:tc>
          <w:tcPr>
            <w:tcW w:w="2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25,451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6,669</w:t>
            </w:r>
          </w:p>
        </w:tc>
        <w:tc>
          <w:tcPr>
            <w:tcW w:w="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20" w:type="dxa"/>
            <w:vAlign w:val="bottom"/>
          </w:tcPr>
          <w:p>
            <w:pPr>
              <w:spacing w:after="0"/>
              <w:rPr>
                <w:sz w:val="12"/>
                <w:szCs w:val="12"/>
                <w:color w:val="auto"/>
              </w:rPr>
            </w:pPr>
          </w:p>
        </w:tc>
        <w:tc>
          <w:tcPr>
            <w:tcW w:w="1420" w:type="dxa"/>
            <w:vAlign w:val="bottom"/>
            <w:gridSpan w:val="5"/>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120" w:type="dxa"/>
            <w:vAlign w:val="bottom"/>
          </w:tcPr>
          <w:p>
            <w:pPr>
              <w:spacing w:after="0"/>
              <w:rPr>
                <w:sz w:val="12"/>
                <w:szCs w:val="12"/>
                <w:color w:val="auto"/>
              </w:rPr>
            </w:pPr>
          </w:p>
        </w:tc>
        <w:tc>
          <w:tcPr>
            <w:tcW w:w="11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2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3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6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w:t>
            </w:r>
          </w:p>
        </w:tc>
        <w:tc>
          <w:tcPr>
            <w:tcW w:w="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30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Unpaid purchases of property and equipment</w:t>
            </w: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2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2,725</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5" w:lineRule="exact"/>
        <w:rPr>
          <w:sz w:val="20"/>
          <w:szCs w:val="20"/>
          <w:color w:val="auto"/>
        </w:rPr>
      </w:pPr>
    </w:p>
    <w:p>
      <w:pPr>
        <w:ind w:left="60" w:right="1359" w:hanging="10"/>
        <w:spacing w:after="0" w:line="503" w:lineRule="auto"/>
        <w:tabs>
          <w:tab w:leader="none" w:pos="2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Overview</w:t>
      </w: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El Pollo Loco Holdings, Inc. (“Holdings”) is a Delaware corporation headquartered in Costa Mesa, California. Holdings and its direct and indirect subsidiaries are collectively referred to herein as the “Company.” The Company’s activities are conducted principally through its indirect wholly-owned subsidiary, El Pollo Loco, Inc. (“EPL”), which develops, franchises, licenses, and operates quick-service restaurants under the name El Pollo Loco® and operates under one operating segment. At March 30, 2022, the Company operated 188 and franchised 293 El Pollo Loco restaurants.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statement of the Company’s condensed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consolidated financial statements included in the Company’s annual report on Form 10-K for the year ended December 29, 2021.</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uses a 52- or 53-week fiscal year ending on the last Wednesday of the calendar year. In a 52-week</w:t>
      </w:r>
    </w:p>
    <w:p>
      <w:pPr>
        <w:spacing w:after="0" w:line="27" w:lineRule="exact"/>
        <w:rPr>
          <w:sz w:val="20"/>
          <w:szCs w:val="20"/>
          <w:color w:val="auto"/>
        </w:rPr>
      </w:pPr>
    </w:p>
    <w:p>
      <w:pPr>
        <w:ind w:left="60" w:right="179"/>
        <w:spacing w:after="0" w:line="273" w:lineRule="auto"/>
        <w:rPr>
          <w:sz w:val="20"/>
          <w:szCs w:val="20"/>
          <w:color w:val="auto"/>
        </w:rPr>
      </w:pPr>
      <w:r>
        <w:rPr>
          <w:rFonts w:ascii="Times New Roman" w:cs="Times New Roman" w:eastAsia="Times New Roman" w:hAnsi="Times New Roman"/>
          <w:sz w:val="17"/>
          <w:szCs w:val="17"/>
          <w:color w:val="auto"/>
        </w:rPr>
        <w:t>fiscal year, each quarter includes 13 weeks of operations; in a 53-week fiscal year, the first, second and third quarters each include 13 weeks of operations, and the fourth quarter includes 14 weeks of operations. Every six or seven years, a 53-week fiscal year occurs. Fiscal 2022 and 2021 are both 52-week years, ending on December 28, 2022 and December 29, 2021, respectively. Revenues, expenses, and other financial and operational figures may be elevated in a 53-week year.</w:t>
      </w:r>
    </w:p>
    <w:p>
      <w:pPr>
        <w:spacing w:after="0" w:line="172"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Holdings has no material assets or operations. Holdings and Holdings’ direct subsidiary, EPL Intermediate, Inc. (“Intermediate”), guarantee EPL’s 2018 Revolver (as defined below) on a full and unconditional basis (see Note 4, “Long-Term Debt”), and Intermediate has no subsidiaries other than EPL. EPL is a separate and distinct legal entity and has no obligation to make funds available to Intermediate. EPL and Intermediate may pay dividends to Intermediate and to Holdings, respectively, subject to the terms of the 2018 Revolver.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9"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accounting matters, stock-based compensation, income tax receivable agreement liability, contingent liabilities and income tax valuation allowances.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COVID-19</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While all of the Company’s restaurants had dining rooms open as of March 30, 2022, the Company continues to experience staffing challenges, which resulted in reduced operating hours and service channels at some of the Company restaurants and resulted in higher wage inflation, overtime costs and other labor related costs. Further, the Company experienced inflationary pressures due to supply chain disruptions that resulted in increased commodity prices and impacted the Company’s business and results of operations during the thirteen weeks ended March 30, 2022. The Company expects these pressures to continue during the rest of fiscal 2022. During the thirteen weeks ended March 30, 2022, the Company incurred $2.3 million in COVID-19 related expenses, primarily due to leaves of absence and overtime pay. During the thirteen weeks ended March 31, 2021, the Company incurred $2.8 million in COVID-19 related expenses, primarily due to leaves of absence and overtime pay.</w:t>
      </w:r>
    </w:p>
    <w:p>
      <w:pPr>
        <w:spacing w:after="0" w:line="188"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Due to the rapid development and fluidity of this situation, the Company cannot determine the ultimate impact that the COVID-19 pandemic will have on the Company’s condensed consolidated financial condition, liquidity, and future results of operations, and therefore any prediction as to the ultimate materiality of the adverse impact on the Company’s condensed consolidated financial condition, liquidity, and future results of operations is uncertain.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Company considers all liquid instruments with an original maturity of three months or less at the date of purchase to be cash equivalents.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ind w:left="60" w:right="119"/>
        <w:spacing w:after="0" w:line="269" w:lineRule="auto"/>
        <w:rPr>
          <w:sz w:val="20"/>
          <w:szCs w:val="20"/>
          <w:color w:val="auto"/>
        </w:rPr>
      </w:pPr>
      <w:r>
        <w:rPr>
          <w:rFonts w:ascii="Times New Roman" w:cs="Times New Roman" w:eastAsia="Times New Roman" w:hAnsi="Times New Roman"/>
          <w:sz w:val="17"/>
          <w:szCs w:val="17"/>
          <w:color w:val="auto"/>
        </w:rPr>
        <w:t xml:space="preserve">The Company’s principal liquidity and capital requirements are new restaurants, existing restaurant capital investments (remodels and maintenance), interest payments on its debt, lease obligations and working capital and general corporate needs. At March 30, 2022, the Company’s total debt was $40.0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and available cash of $25.5 million at March 30, 2022 will be adequate to meet the Company’s liquidity needs for the next twelve months from the date of filing of these condensed consolidated financial statements. However, </w:t>
      </w:r>
      <w:r>
        <w:rPr>
          <w:rFonts w:ascii="Times New Roman" w:cs="Times New Roman" w:eastAsia="Times New Roman" w:hAnsi="Times New Roman"/>
          <w:sz w:val="17"/>
          <w:szCs w:val="17"/>
          <w:color w:val="212529"/>
        </w:rPr>
        <w:t>depending on the severity and longevity of the COVID-19 pandemic,</w:t>
      </w:r>
      <w:r>
        <w:rPr>
          <w:rFonts w:ascii="Times New Roman" w:cs="Times New Roman" w:eastAsia="Times New Roman" w:hAnsi="Times New Roman"/>
          <w:sz w:val="17"/>
          <w:szCs w:val="17"/>
          <w:color w:val="auto"/>
        </w:rPr>
        <w:t xml:space="preserve"> the Company’s financial performance and liquidity could be further impacted and could impact the Company’s ability to meet certain covenants required in its 2018 Credit Agreement (as defined below), specifically the lease-adjusted coverage ratio and fixed-charge coverage ratio.</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Concentration of Risk</w:t>
      </w:r>
    </w:p>
    <w:p>
      <w:pPr>
        <w:spacing w:after="0" w:line="229" w:lineRule="exact"/>
        <w:rPr>
          <w:sz w:val="20"/>
          <w:szCs w:val="20"/>
          <w:color w:val="auto"/>
        </w:rPr>
      </w:pPr>
    </w:p>
    <w:p>
      <w:pPr>
        <w:ind w:left="60" w:right="539"/>
        <w:spacing w:after="0" w:line="282" w:lineRule="auto"/>
        <w:rPr>
          <w:sz w:val="20"/>
          <w:szCs w:val="20"/>
          <w:color w:val="auto"/>
        </w:rPr>
      </w:pPr>
      <w:r>
        <w:rPr>
          <w:rFonts w:ascii="Times New Roman" w:cs="Times New Roman" w:eastAsia="Times New Roman" w:hAnsi="Times New Roman"/>
          <w:sz w:val="18"/>
          <w:szCs w:val="18"/>
          <w:color w:val="auto"/>
        </w:rPr>
        <w:t>Cash and cash equivalents are maintained at financial institutions and, at times, these balances may exceed federally-insured limits. The Company has never experienced any losses related to these balances.</w:t>
      </w:r>
    </w:p>
    <w:p>
      <w:pPr>
        <w:spacing w:after="0" w:line="162" w:lineRule="exact"/>
        <w:rPr>
          <w:sz w:val="20"/>
          <w:szCs w:val="20"/>
          <w:color w:val="auto"/>
        </w:rPr>
      </w:pPr>
    </w:p>
    <w:p>
      <w:pPr>
        <w:jc w:val="both"/>
        <w:ind w:left="60" w:right="399"/>
        <w:spacing w:after="0" w:line="261" w:lineRule="auto"/>
        <w:rPr>
          <w:sz w:val="20"/>
          <w:szCs w:val="20"/>
          <w:color w:val="auto"/>
        </w:rPr>
      </w:pPr>
      <w:r>
        <w:rPr>
          <w:rFonts w:ascii="Times New Roman" w:cs="Times New Roman" w:eastAsia="Times New Roman" w:hAnsi="Times New Roman"/>
          <w:sz w:val="18"/>
          <w:szCs w:val="18"/>
          <w:color w:val="auto"/>
        </w:rPr>
        <w:t>The Company had one supplier to whom amounts due totaled 20.6% and 26.1% of the Company’s accounts payable at March 30, 2022 and December 29, 2021, respectively. Purchases from the Company’s largest supplier totaled 29.7% of total expenses for the thirteen weeks ended March 30, 2022, and 25.5% of total expenses for the thirteen weeks ended March 31, 2021.</w:t>
      </w:r>
    </w:p>
    <w:p>
      <w:pPr>
        <w:spacing w:after="0" w:line="180" w:lineRule="exact"/>
        <w:rPr>
          <w:sz w:val="20"/>
          <w:szCs w:val="20"/>
          <w:color w:val="auto"/>
        </w:rPr>
      </w:pPr>
    </w:p>
    <w:p>
      <w:pPr>
        <w:ind w:left="60" w:right="259"/>
        <w:spacing w:after="0" w:line="312" w:lineRule="auto"/>
        <w:rPr>
          <w:sz w:val="20"/>
          <w:szCs w:val="20"/>
          <w:color w:val="auto"/>
        </w:rPr>
      </w:pPr>
      <w:r>
        <w:rPr>
          <w:rFonts w:ascii="Times New Roman" w:cs="Times New Roman" w:eastAsia="Times New Roman" w:hAnsi="Times New Roman"/>
          <w:sz w:val="17"/>
          <w:szCs w:val="17"/>
          <w:color w:val="auto"/>
        </w:rPr>
        <w:t>Company-operated and franchised restaurants in the greater Los Angeles area generated, in the aggregate, approximately 70.8% of total revenue for the thirteen weeks ended March 30, 2022, and 70.1% thirteen weeks ended March 31, 2021.</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Goodwill and Indefinite Lived Intangible Assets</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 amortize its goodwill and indefinite-lived intangible assets. Goodwill resulted from the acquisition of certain franchise locations.</w:t>
      </w:r>
    </w:p>
    <w:p>
      <w:pPr>
        <w:spacing w:after="0" w:line="180"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Upon the sale or closure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w:t>
      </w:r>
    </w:p>
    <w:p>
      <w:pPr>
        <w:spacing w:after="0" w:line="176" w:lineRule="exact"/>
        <w:rPr>
          <w:sz w:val="20"/>
          <w:szCs w:val="20"/>
          <w:color w:val="auto"/>
        </w:rPr>
      </w:pPr>
    </w:p>
    <w:p>
      <w:pPr>
        <w:ind w:left="60" w:right="579"/>
        <w:spacing w:after="0" w:line="282" w:lineRule="auto"/>
        <w:rPr>
          <w:sz w:val="20"/>
          <w:szCs w:val="20"/>
          <w:color w:val="auto"/>
        </w:rPr>
      </w:pPr>
      <w:r>
        <w:rPr>
          <w:rFonts w:ascii="Times New Roman" w:cs="Times New Roman" w:eastAsia="Times New Roman" w:hAnsi="Times New Roman"/>
          <w:sz w:val="18"/>
          <w:szCs w:val="18"/>
          <w:color w:val="auto"/>
        </w:rPr>
        <w:t>The Company performs an annual impairment test for goodwill during the fourth fiscal quarter of each year, or more frequently if impairment indicators arise.</w:t>
      </w:r>
    </w:p>
    <w:p>
      <w:pPr>
        <w:spacing w:after="0" w:line="162"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The Company reviews goodwill for impairment utilizing either a qualitative assessment or a fair value test by comparing the fair value of a reporting unit with its carrying amount. If the Company decides that it is appropriate to perform a qualitative assessment and concludes that the fair value of a reporting unit more likely than not exceeds its carrying value, no further evaluation is necessary. If the Company performs the fair value test, the Company will compare the fair value of a reporting unit with its carrying amount, including goodwill. If the fair value of a reporting unit exceeds its carrying amount, goodwill of the reporting unit is considered not impaired. If the carrying amount of a reporting unit exceeds its fair value, the Company will recognize an impairment charge for the amount by which the carrying amount exceeds the reporting unit’s fair value; however, the loss recognized cannot exceed the total amount of goodwill allocated to that reporting unit.</w:t>
      </w:r>
    </w:p>
    <w:p>
      <w:pPr>
        <w:spacing w:after="0" w:line="188" w:lineRule="exact"/>
        <w:rPr>
          <w:sz w:val="20"/>
          <w:szCs w:val="20"/>
          <w:color w:val="auto"/>
        </w:rPr>
      </w:pPr>
    </w:p>
    <w:p>
      <w:pPr>
        <w:jc w:val="both"/>
        <w:ind w:left="60" w:right="159"/>
        <w:spacing w:after="0" w:line="261" w:lineRule="auto"/>
        <w:rPr>
          <w:sz w:val="20"/>
          <w:szCs w:val="20"/>
          <w:color w:val="auto"/>
        </w:rPr>
      </w:pPr>
      <w:r>
        <w:rPr>
          <w:rFonts w:ascii="Times New Roman" w:cs="Times New Roman" w:eastAsia="Times New Roman" w:hAnsi="Times New Roman"/>
          <w:sz w:val="18"/>
          <w:szCs w:val="18"/>
          <w:color w:val="auto"/>
        </w:rPr>
        <w:t>The Company performs an annual impairment test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pacing w:after="0" w:line="180"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76" w:lineRule="exact"/>
        <w:rPr>
          <w:sz w:val="20"/>
          <w:szCs w:val="20"/>
          <w:color w:val="auto"/>
        </w:rPr>
      </w:pPr>
    </w:p>
    <w:p>
      <w:pPr>
        <w:ind w:left="60" w:right="499"/>
        <w:spacing w:after="0" w:line="258" w:lineRule="auto"/>
        <w:rPr>
          <w:sz w:val="20"/>
          <w:szCs w:val="20"/>
          <w:color w:val="auto"/>
        </w:rPr>
      </w:pPr>
      <w:r>
        <w:rPr>
          <w:rFonts w:ascii="Times New Roman" w:cs="Times New Roman" w:eastAsia="Times New Roman" w:hAnsi="Times New Roman"/>
          <w:sz w:val="18"/>
          <w:szCs w:val="18"/>
          <w:color w:val="auto"/>
        </w:rPr>
        <w:t>The Company determined that there were no indicators of potential impairment of its goodwill and indefinite-lived intangible assets during the thirteen weeks ended March 30, 2022. Accordingly, the Company did not record any impairment to its goodwill or indefinite-lived intangible assets during the thirteen weeks ended March 30, 2022. T</w:t>
      </w:r>
      <w:r>
        <w:rPr>
          <w:rFonts w:ascii="Times New Roman" w:cs="Times New Roman" w:eastAsia="Times New Roman" w:hAnsi="Times New Roman"/>
          <w:sz w:val="18"/>
          <w:szCs w:val="18"/>
          <w:color w:val="212529"/>
        </w:rPr>
        <w: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ultimate severity and longevity of the COVID-19 pandemic is unknown, and therefore, </w:t>
      </w:r>
      <w:r>
        <w:rPr>
          <w:rFonts w:ascii="Times New Roman" w:cs="Times New Roman" w:eastAsia="Times New Roman" w:hAnsi="Times New Roman"/>
          <w:sz w:val="18"/>
          <w:szCs w:val="18"/>
          <w:color w:val="000000"/>
        </w:rPr>
        <w:t>it is possible that impairments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could be identified in future periods, and such amounts could be material.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jc w:val="both"/>
        <w:ind w:left="60" w:right="99"/>
        <w:spacing w:after="0" w:line="266"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76" w:lineRule="exact"/>
        <w:rPr>
          <w:sz w:val="20"/>
          <w:szCs w:val="20"/>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Quoted prices for identical instruments in active markets.</w:t>
      </w:r>
    </w:p>
    <w:p>
      <w:pPr>
        <w:spacing w:after="0" w:line="225" w:lineRule="exact"/>
        <w:rPr>
          <w:rFonts w:ascii="Times New Roman" w:cs="Times New Roman" w:eastAsia="Times New Roman" w:hAnsi="Times New Roman"/>
          <w:sz w:val="18"/>
          <w:szCs w:val="18"/>
          <w:color w:val="auto"/>
        </w:rPr>
      </w:pPr>
    </w:p>
    <w:p>
      <w:pPr>
        <w:ind w:left="720" w:right="119" w:hanging="319"/>
        <w:spacing w:after="0" w:line="266"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Observable prices for similar instruments in active markets; quoted prices for identical or similar instruments in markets that are not active; and model-derived valuations whose inputs or significant value drivers are observable.</w:t>
      </w:r>
    </w:p>
    <w:p>
      <w:pPr>
        <w:spacing w:after="0" w:line="17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used when little or no market data is available.</w:t>
      </w:r>
    </w:p>
    <w:p>
      <w:pPr>
        <w:spacing w:after="0" w:line="225"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During fiscal 2019, the Company entered into an interest rate swap, which is required to be measured at fair value on a recurring basis. The fair value was determined based on Level 2 inputs, which include valuation models, as reported by the Company’s counterparty. These valuation models use a discounted cash flow analysis on the cash flows of the derivative based on the terms of the contract and the forward yield curves adjusted for the Company’s credit risk.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20"/>
        <w:spacing w:after="0" w:line="282" w:lineRule="auto"/>
        <w:rPr>
          <w:sz w:val="20"/>
          <w:szCs w:val="20"/>
          <w:color w:val="auto"/>
        </w:rPr>
      </w:pPr>
      <w:r>
        <w:rPr>
          <w:rFonts w:ascii="Times New Roman" w:cs="Times New Roman" w:eastAsia="Times New Roman" w:hAnsi="Times New Roman"/>
          <w:sz w:val="18"/>
          <w:szCs w:val="18"/>
          <w:color w:val="auto"/>
        </w:rPr>
        <w:t>key inputs for the valuation models are observable market prices, discount rates, and forward yield curves. See Note 4, “Long-Term Debt” for further discussion regarding the Company’s interest rate swap.</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fair value for the interest rate swap at March 30, 2022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20" w:type="dxa"/>
            <w:vAlign w:val="bottom"/>
            <w:gridSpan w:val="8"/>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42"/>
        </w:trPr>
        <w:tc>
          <w:tcPr>
            <w:tcW w:w="4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 Interest rate swap</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fair value for the interest rate swap at December 29, 2021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5"/>
                <w:szCs w:val="15"/>
                <w:color w:val="auto"/>
              </w:rPr>
            </w:pPr>
          </w:p>
        </w:tc>
        <w:tc>
          <w:tcPr>
            <w:tcW w:w="3300" w:type="dxa"/>
            <w:vAlign w:val="bottom"/>
            <w:gridSpan w:val="8"/>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Fair Value Measurements Using</w:t>
            </w:r>
          </w:p>
        </w:tc>
        <w:tc>
          <w:tcPr>
            <w:tcW w:w="0" w:type="dxa"/>
            <w:vAlign w:val="bottom"/>
          </w:tcPr>
          <w:p>
            <w:pPr>
              <w:spacing w:after="0"/>
              <w:rPr>
                <w:sz w:val="1"/>
                <w:szCs w:val="1"/>
                <w:color w:val="auto"/>
              </w:rPr>
            </w:pPr>
          </w:p>
        </w:tc>
      </w:tr>
      <w:tr>
        <w:trPr>
          <w:trHeight w:val="142"/>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 - Interest rate swap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0" w:right="380"/>
        <w:spacing w:after="0" w:line="266" w:lineRule="auto"/>
        <w:rPr>
          <w:sz w:val="20"/>
          <w:szCs w:val="20"/>
          <w:color w:val="auto"/>
        </w:rPr>
      </w:pPr>
      <w:r>
        <w:rPr>
          <w:rFonts w:ascii="Times New Roman" w:cs="Times New Roman" w:eastAsia="Times New Roman" w:hAnsi="Times New Roman"/>
          <w:sz w:val="18"/>
          <w:szCs w:val="18"/>
          <w:color w:val="auto"/>
        </w:rPr>
        <w:t>Certain assets and liabilities are measured at fair value on a nonrecurring basis. In other words, the instruments are not measured at fair value on an ongoing basis, but are subject to fair value adjustments only in certain circumstances (e.g., when there is evidence of impairment).</w:t>
      </w:r>
    </w:p>
    <w:p>
      <w:pPr>
        <w:spacing w:after="0" w:line="176" w:lineRule="exact"/>
        <w:rPr>
          <w:sz w:val="20"/>
          <w:szCs w:val="20"/>
          <w:color w:val="auto"/>
        </w:rPr>
      </w:pPr>
    </w:p>
    <w:p>
      <w:pPr>
        <w:ind w:left="60" w:right="160"/>
        <w:spacing w:after="0" w:line="261" w:lineRule="auto"/>
        <w:rPr>
          <w:sz w:val="20"/>
          <w:szCs w:val="20"/>
          <w:color w:val="auto"/>
        </w:rPr>
      </w:pPr>
      <w:r>
        <w:rPr>
          <w:rFonts w:ascii="Times New Roman" w:cs="Times New Roman" w:eastAsia="Times New Roman" w:hAnsi="Times New Roman"/>
          <w:sz w:val="18"/>
          <w:szCs w:val="18"/>
          <w:color w:val="auto"/>
        </w:rPr>
        <w:t>The following non-financial instruments were measured at fair value, on a nonrecurring basis, as of and for the thirteen weeks ended March 30, 2022, reflecting certain property and equipment assets and right-of-use (“ROU”) assets for which an impairment loss was recognized during the corresponding periods, as discussed under Note 2, “Property and Equipment” and immediately below under “Impairment of Long-Lived Assets and ROU Assets”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8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w w:val="97"/>
              </w:rPr>
              <w:t>Level 1</w:t>
            </w:r>
          </w:p>
        </w:tc>
        <w:tc>
          <w:tcPr>
            <w:tcW w:w="880" w:type="dxa"/>
            <w:vAlign w:val="bottom"/>
            <w:gridSpan w:val="3"/>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2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Impairment Losses</w:t>
            </w: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property and equipment, net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bl>
    <w:p>
      <w:pPr>
        <w:spacing w:after="0" w:line="200" w:lineRule="exact"/>
        <w:rPr>
          <w:sz w:val="20"/>
          <w:szCs w:val="20"/>
          <w:color w:val="auto"/>
        </w:rPr>
      </w:pPr>
    </w:p>
    <w:p>
      <w:pPr>
        <w:spacing w:after="0" w:line="214" w:lineRule="exact"/>
        <w:rPr>
          <w:sz w:val="20"/>
          <w:szCs w:val="20"/>
          <w:color w:val="auto"/>
        </w:rPr>
      </w:pPr>
    </w:p>
    <w:p>
      <w:pPr>
        <w:ind w:left="60" w:right="180"/>
        <w:spacing w:after="0" w:line="261" w:lineRule="auto"/>
        <w:rPr>
          <w:sz w:val="20"/>
          <w:szCs w:val="20"/>
          <w:color w:val="auto"/>
        </w:rPr>
      </w:pPr>
      <w:r>
        <w:rPr>
          <w:rFonts w:ascii="Times New Roman" w:cs="Times New Roman" w:eastAsia="Times New Roman" w:hAnsi="Times New Roman"/>
          <w:sz w:val="18"/>
          <w:szCs w:val="18"/>
          <w:color w:val="auto"/>
        </w:rPr>
        <w:t>The following non-financial instruments were measured at fair value on a nonrecurring basis as of and for the thirteen weeks ended March 31, 2021, reflecting certain property and equipment assets and ROU assets for which an impairment loss was recognized during the corresponding periods, as discussed immediately below under “Impairment of Long-Lived Assets and ROU Assets”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Certain property and equipment, net</w:t>
            </w:r>
          </w:p>
        </w:tc>
        <w:tc>
          <w:tcPr>
            <w:tcW w:w="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Impairment Losses</w:t>
            </w:r>
          </w:p>
        </w:tc>
        <w:tc>
          <w:tcPr>
            <w:tcW w:w="0" w:type="dxa"/>
            <w:vAlign w:val="bottom"/>
          </w:tcPr>
          <w:p>
            <w:pPr>
              <w:spacing w:after="0"/>
              <w:rPr>
                <w:sz w:val="1"/>
                <w:szCs w:val="1"/>
                <w:color w:val="auto"/>
              </w:rPr>
            </w:pPr>
          </w:p>
        </w:tc>
      </w:tr>
      <w:tr>
        <w:trPr>
          <w:trHeight w:val="210"/>
        </w:trPr>
        <w:tc>
          <w:tcPr>
            <w:tcW w:w="3320" w:type="dxa"/>
            <w:vAlign w:val="bottom"/>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Certain ROU assets, net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Impairment of Long-Lived Assets and ROU Assets</w:t>
      </w:r>
    </w:p>
    <w:p>
      <w:pPr>
        <w:spacing w:after="0" w:line="229" w:lineRule="exact"/>
        <w:rPr>
          <w:sz w:val="20"/>
          <w:szCs w:val="20"/>
          <w:color w:val="auto"/>
        </w:rPr>
      </w:pPr>
    </w:p>
    <w:p>
      <w:pPr>
        <w:ind w:left="60" w:right="60"/>
        <w:spacing w:after="0" w:line="252" w:lineRule="auto"/>
        <w:rPr>
          <w:sz w:val="20"/>
          <w:szCs w:val="20"/>
          <w:color w:val="auto"/>
        </w:rPr>
      </w:pPr>
      <w:r>
        <w:rPr>
          <w:rFonts w:ascii="Times New Roman" w:cs="Times New Roman" w:eastAsia="Times New Roman" w:hAnsi="Times New Roman"/>
          <w:sz w:val="18"/>
          <w:szCs w:val="18"/>
          <w:color w:val="auto"/>
        </w:rPr>
        <w:t>The Company reviews its long-lived and ROU assets for impairment on a restaurant-by-restaurant basis whenever events or changes in circumstances indicate that the carrying value of certain long-lived and ROU assets may not be recoverable. The Company considers a triggering event related to long-lived assets or ROU assets in a net asset position to have occurred related to a specific restaurant if the restaurant’s average unit volume for the last twelve months is less than a minimum threshold or if consistent levels of undiscounted cash flows for the remaining lease period are less than the carrying value of the restaurant’s assets. Additionally, the Company considers a triggering event related to ROU assets to have occurred related to a specific lease if the location has been subleased and future estimated sublease income is less than lease payments under the head lease. If the Company concludes that the carrying value of certain long-lived and ROU assets will not be recovered based on expected undiscounted future cash flows, an impairment loss is recorded to reduce the long-lived or ROU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The Company determined that triggering events occurred for certain restaurants during the thirteen weeks ended March 30, 2022 that required an impairment review of certain of the Company’s long-lived and ROU assets. Based on the results of the analysis, the Company recorded non-cash impairment charges of $0.1 million for the thirteen weeks ended March 30, 2022, primarily related to the long-lived assets of one restaurant in California.</w:t>
      </w:r>
    </w:p>
    <w:p>
      <w:pPr>
        <w:sectPr>
          <w:pgSz w:w="11900" w:h="16838" w:orient="portrait"/>
          <w:cols w:equalWidth="0" w:num="1">
            <w:col w:w="9020"/>
          </w:cols>
          <w:pgMar w:left="1440" w:top="513"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3" w:right="1439"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The Company recorded a non-cash impairment charge of $0.3 million for the thirteen weeks ended March 31, 2021, primarily related to the carrying value of the ROU assets of one restaurant in Texas closed in 2019 and the long-lived assets of three restaurants in California. Given the inherent uncertainty in projecting results for newer restaurants in newer markets, as well as the impact of the COVID-19 pandemic, the Company is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Closed-Store Reserves</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When a restaurant is closed, the Company will evaluate the ROU asset for impairment, based on anticipated sublease recoveries. The remaining value of the ROU asset is amortized on a straight-line basis, with the expense recognized in closed-store reserve expense. Additionally, any property tax and common area maintenance (“CAM”) payments relating to closed restaurants are included within closed-store expense. During the thirteen weeks ended March 30, 2022, the Company recognized less than $0.1 million of closed-store reserve expense related to the amortization of ROU assets, property taxes and CAM payments for its closed locations. During the thirteen weeks ended March 31, 2021, the Company recognized $0.3 million of closed-store reserve expense, primarily related to the amortization of ROU assets, property taxes and CAM payments for its closed locations.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uses an interest rate swap, a derivative instrument, to hedge interest rate risk and not for trading purposes.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derivative contract is entered into with a financial institution.</w:t>
      </w:r>
    </w:p>
    <w:p>
      <w:pPr>
        <w:spacing w:after="0" w:line="207" w:lineRule="exact"/>
        <w:rPr>
          <w:sz w:val="20"/>
          <w:szCs w:val="20"/>
          <w:color w:val="auto"/>
        </w:rPr>
      </w:pPr>
    </w:p>
    <w:p>
      <w:pPr>
        <w:ind w:left="60" w:right="199"/>
        <w:spacing w:after="0" w:line="255" w:lineRule="auto"/>
        <w:rPr>
          <w:sz w:val="20"/>
          <w:szCs w:val="20"/>
          <w:color w:val="auto"/>
        </w:rPr>
      </w:pPr>
      <w:r>
        <w:rPr>
          <w:rFonts w:ascii="Times New Roman" w:cs="Times New Roman" w:eastAsia="Times New Roman" w:hAnsi="Times New Roman"/>
          <w:sz w:val="18"/>
          <w:szCs w:val="18"/>
          <w:color w:val="auto"/>
        </w:rPr>
        <w:t>The Company records the derivative instrument on its condensed consolidated balance sheets at fair value. The derivative instrument qualifies as a hedging instrument in a qualifying cash flow hedge relationship, and the gain or loss on the derivative instrument is reported as a component of accumulated other comprehensive (loss) income (“AOCI”) and reclassified into earnings in the same period or periods during which the hedged transaction affects earnings. For any derivative instruments not designated as hedging instruments, the gain or loss will be recognized in earnings immediately. If a derivative previously designated as a hedge is terminated, or no longer meets the qualifications for hedge accounting, any balances in AOCI will be reclassified to earnings immediately.</w:t>
      </w:r>
    </w:p>
    <w:p>
      <w:pPr>
        <w:spacing w:after="0" w:line="18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As a result of the use of an interest rate swap, the Company is exposed to risk that the counterparty will fail to meet its contractual obligations. To mitigate the counterparty credit risk, the Company will only enter into contracts with major financial institutions, based upon their credit ratings and other factors, and will continue to assess the creditworthiness of the counterparty. As of March 30, 2022, the counterparty to the Company’s interest rate swap has performed in accordance with its contractual obligation.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60" w:right="119"/>
        <w:spacing w:after="0" w:line="273" w:lineRule="auto"/>
        <w:rPr>
          <w:sz w:val="20"/>
          <w:szCs w:val="20"/>
          <w:color w:val="auto"/>
        </w:rPr>
      </w:pPr>
      <w:r>
        <w:rPr>
          <w:rFonts w:ascii="Times New Roman" w:cs="Times New Roman" w:eastAsia="Times New Roman" w:hAnsi="Times New Roman"/>
          <w:sz w:val="17"/>
          <w:szCs w:val="17"/>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 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a reserve for the portion of deferred tax assets which are not expected to be realized.</w:t>
      </w:r>
    </w:p>
    <w:p>
      <w:pPr>
        <w:spacing w:after="0" w:line="171" w:lineRule="exact"/>
        <w:rPr>
          <w:sz w:val="20"/>
          <w:szCs w:val="20"/>
          <w:color w:val="auto"/>
        </w:rPr>
      </w:pPr>
    </w:p>
    <w:p>
      <w:pPr>
        <w:ind w:left="60" w:right="739"/>
        <w:spacing w:after="0" w:line="282" w:lineRule="auto"/>
        <w:rPr>
          <w:sz w:val="20"/>
          <w:szCs w:val="20"/>
          <w:color w:val="auto"/>
        </w:rPr>
      </w:pPr>
      <w:r>
        <w:rPr>
          <w:rFonts w:ascii="Times New Roman" w:cs="Times New Roman" w:eastAsia="Times New Roman" w:hAnsi="Times New Roman"/>
          <w:sz w:val="18"/>
          <w:szCs w:val="18"/>
          <w:color w:val="auto"/>
        </w:rPr>
        <w:t>The Company reviews its filing positions for all open tax years in all U.S. federal and state jurisdictions where the Company is required to file.</w:t>
      </w:r>
    </w:p>
    <w:p>
      <w:pPr>
        <w:spacing w:after="0" w:line="162" w:lineRule="exact"/>
        <w:rPr>
          <w:sz w:val="20"/>
          <w:szCs w:val="20"/>
          <w:color w:val="auto"/>
        </w:rPr>
      </w:pPr>
    </w:p>
    <w:p>
      <w:pPr>
        <w:jc w:val="both"/>
        <w:ind w:left="60" w:right="319"/>
        <w:spacing w:after="0" w:line="272" w:lineRule="auto"/>
        <w:rPr>
          <w:sz w:val="20"/>
          <w:szCs w:val="20"/>
          <w:color w:val="auto"/>
        </w:rPr>
      </w:pPr>
      <w:r>
        <w:rPr>
          <w:rFonts w:ascii="Times New Roman" w:cs="Times New Roman" w:eastAsia="Times New Roman" w:hAnsi="Times New Roman"/>
          <w:sz w:val="17"/>
          <w:szCs w:val="17"/>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w:t>
      </w:r>
    </w:p>
    <w:p>
      <w:pPr>
        <w:spacing w:after="0" w:line="2" w:lineRule="exact"/>
        <w:rPr>
          <w:sz w:val="20"/>
          <w:szCs w:val="20"/>
          <w:color w:val="auto"/>
        </w:rPr>
      </w:pPr>
    </w:p>
    <w:p>
      <w:pPr>
        <w:ind w:left="60" w:right="159"/>
        <w:spacing w:after="0" w:line="255" w:lineRule="auto"/>
        <w:rPr>
          <w:sz w:val="20"/>
          <w:szCs w:val="20"/>
          <w:color w:val="auto"/>
        </w:rPr>
      </w:pPr>
      <w:r>
        <w:rPr>
          <w:rFonts w:ascii="Times New Roman" w:cs="Times New Roman" w:eastAsia="Times New Roman" w:hAnsi="Times New Roman"/>
          <w:sz w:val="18"/>
          <w:szCs w:val="18"/>
          <w:color w:val="auto"/>
        </w:rPr>
        <w:t>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involve management’s judgment regarding the likelihood of the benefit being sustained. The final resolution of uncertain tax positions could result in adjustments to recorded amounts and may affect the Company’s condensed consolidated financial position, results of operations, and cash flows.</w:t>
      </w:r>
    </w:p>
    <w:p>
      <w:pPr>
        <w:spacing w:after="0" w:line="176" w:lineRule="exact"/>
        <w:rPr>
          <w:sz w:val="20"/>
          <w:szCs w:val="20"/>
          <w:color w:val="auto"/>
        </w:rPr>
      </w:pPr>
    </w:p>
    <w:p>
      <w:pPr>
        <w:ind w:left="60" w:right="379"/>
        <w:spacing w:after="0" w:line="258"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matters in income tax expense. The Company had no accrual for interest or penalties at March 30, 2022 or at December 29, 2021. The Company did not recognize interest or penalties during the thirteen weeks ended March 30, 2022 and March 31, 2021, respectively, since there were no material unrecognized tax benefits. Management believes no significant changes to the amount of unrecognized tax benefits will occur within the next twelve months.</w:t>
      </w:r>
    </w:p>
    <w:p>
      <w:pPr>
        <w:spacing w:after="0" w:line="183" w:lineRule="exact"/>
        <w:rPr>
          <w:sz w:val="20"/>
          <w:szCs w:val="20"/>
          <w:color w:val="auto"/>
        </w:rPr>
      </w:pPr>
    </w:p>
    <w:p>
      <w:pPr>
        <w:ind w:left="60" w:right="179"/>
        <w:spacing w:after="0" w:line="273" w:lineRule="auto"/>
        <w:rPr>
          <w:sz w:val="20"/>
          <w:szCs w:val="20"/>
          <w:color w:val="auto"/>
        </w:rPr>
      </w:pPr>
      <w:r>
        <w:rPr>
          <w:rFonts w:ascii="Times New Roman" w:cs="Times New Roman" w:eastAsia="Times New Roman" w:hAnsi="Times New Roman"/>
          <w:sz w:val="17"/>
          <w:szCs w:val="17"/>
          <w:color w:val="auto"/>
        </w:rPr>
        <w:t>On July 30, 2014, the Company entered into the income tax receivable agreement (the “TRA”), which calls for the Company to pay to its pre-initial public offering (“IPO”) stockholders 85% of the savings in cash that the Company realizes in its income taxes as a result of utilizing its net operating losses (“NOLs”) and other tax attributes attributable to preceding periods. For the thirteen weeks ended March 30, 2022, the Company recorded income tax receivable agreement income of $0.1 million, and for the thirteen weeks ended March 31, 2021, the Company recorded income tax receivable agreement income of less than $0.1 million, in each case, related to the amortization of interest expense related to the total expected TRA payments and changes in estimates for actual tax returns filed and future forecasted taxable income.</w:t>
      </w:r>
    </w:p>
    <w:p>
      <w:pPr>
        <w:spacing w:after="0" w:line="171"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Act (the “CARES Act”) was signed into law as a stimulus package, and contained several tax provisions, including a correction of a previous drafting error related to quality improvement property and immediate refundability of all remaining alternative minimum tax credits. The new provisions did not have a material impact on the Company’s condensed consolidated financial statements.</w:t>
      </w:r>
    </w:p>
    <w:p>
      <w:pPr>
        <w:spacing w:after="0" w:line="180"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The CARES Act also provides for the deferral of employer Social Security taxes that are otherwise owed for wage payment and the creation of refundable employee retention credits. The total amount deferred as of December 30, 2020 was $4.9 million, of which 50% was paid at the end of 2021 and another 50% is due by December 31, 2022.</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PROPERTY AND EQUIPMENT</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costs and related accumulated depreciation and amortization of major classes of property and equipment are as follows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March 30, 2022</w:t>
            </w: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29, 2021</w:t>
            </w:r>
          </w:p>
        </w:tc>
      </w:tr>
      <w:tr>
        <w:trPr>
          <w:trHeight w:val="210"/>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146,647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144,631</w:t>
            </w: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property and equipment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78,383</w:t>
            </w:r>
          </w:p>
        </w:tc>
      </w:tr>
      <w:tr>
        <w:trPr>
          <w:trHeight w:val="216"/>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5,218</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w:t>
            </w:r>
          </w:p>
        </w:tc>
      </w:tr>
      <w:tr>
        <w:trPr>
          <w:trHeight w:val="210"/>
        </w:trPr>
        <w:tc>
          <w:tcPr>
            <w:tcW w:w="6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243,194</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240,670</w:t>
            </w: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(167,024)</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(165,002)</w:t>
            </w:r>
          </w:p>
        </w:tc>
      </w:tr>
      <w:tr>
        <w:trPr>
          <w:trHeight w:val="210"/>
        </w:trPr>
        <w:tc>
          <w:tcPr>
            <w:tcW w:w="64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75,668</w:t>
            </w: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Depreciation expense was $3.6 million and $3.9 million for the thirteen weeks ended March 30, 2022 and March 31, 2021, respectively.</w:t>
      </w:r>
    </w:p>
    <w:p>
      <w:pPr>
        <w:spacing w:after="0" w:line="162"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Based on the Company’s review of its long-lived assets for impairment, the Company recorded non-cash impairment charges of $0.1 million for the thirteen weeks ended March 30, 2022, primarily related to the carrying value of the long-lived assets of one restaurant in California.</w:t>
      </w:r>
    </w:p>
    <w:p>
      <w:pPr>
        <w:spacing w:after="0" w:line="176" w:lineRule="exact"/>
        <w:rPr>
          <w:sz w:val="20"/>
          <w:szCs w:val="20"/>
          <w:color w:val="auto"/>
        </w:rPr>
      </w:pPr>
    </w:p>
    <w:p>
      <w:pPr>
        <w:ind w:left="60" w:right="159"/>
        <w:spacing w:after="0" w:line="277" w:lineRule="auto"/>
        <w:rPr>
          <w:sz w:val="20"/>
          <w:szCs w:val="20"/>
          <w:color w:val="auto"/>
        </w:rPr>
      </w:pPr>
      <w:r>
        <w:rPr>
          <w:rFonts w:ascii="Times New Roman" w:cs="Times New Roman" w:eastAsia="Times New Roman" w:hAnsi="Times New Roman"/>
          <w:sz w:val="17"/>
          <w:szCs w:val="17"/>
          <w:color w:val="auto"/>
        </w:rPr>
        <w:t>During the thirteen weeks ended March 31, 2021, the Company recorded non-cash impairment charges of $0.2 million, primarily related to the carrying value of the long-lived assets of three restaurants in California. D</w:t>
      </w:r>
      <w:r>
        <w:rPr>
          <w:rFonts w:ascii="Times New Roman" w:cs="Times New Roman" w:eastAsia="Times New Roman" w:hAnsi="Times New Roman"/>
          <w:sz w:val="17"/>
          <w:szCs w:val="17"/>
          <w:color w:val="212529"/>
        </w:rPr>
        <w:t>epending on the severity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 xml:space="preserve">and longevity of the COVID-19 pandemic, </w:t>
      </w:r>
      <w:r>
        <w:rPr>
          <w:rFonts w:ascii="Times New Roman" w:cs="Times New Roman" w:eastAsia="Times New Roman" w:hAnsi="Times New Roman"/>
          <w:sz w:val="17"/>
          <w:szCs w:val="17"/>
          <w:color w:val="000000"/>
        </w:rPr>
        <w:t>the Company’s financial performance could be further impacted and it is</w:t>
      </w:r>
      <w:r>
        <w:rPr>
          <w:rFonts w:ascii="Times New Roman" w:cs="Times New Roman" w:eastAsia="Times New Roman" w:hAnsi="Times New Roman"/>
          <w:sz w:val="17"/>
          <w:szCs w:val="17"/>
          <w:color w:val="212529"/>
        </w:rPr>
        <w:t xml:space="preserve"> </w:t>
      </w:r>
      <w:r>
        <w:rPr>
          <w:rFonts w:ascii="Times New Roman" w:cs="Times New Roman" w:eastAsia="Times New Roman" w:hAnsi="Times New Roman"/>
          <w:sz w:val="17"/>
          <w:szCs w:val="17"/>
          <w:color w:val="000000"/>
        </w:rPr>
        <w:t>possible that material impairments could be identified in future periods. See Note 1, “Basis of Presentation and Summary of Significant Accounting Policies – Impairment of Long-Lived Assets and ROU Assets” for additional information.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STOCK-BASED COMPENSATION</w:t>
      </w:r>
    </w:p>
    <w:p>
      <w:pPr>
        <w:spacing w:after="0" w:line="229"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18"/>
          <w:szCs w:val="18"/>
          <w:color w:val="auto"/>
        </w:rPr>
        <w:t>At March 30, 2022, options to purchase 836,230 shares of common stock were outstanding, including 557,322 vested and 278,908 unvested. Unvested options vest over time; however, upon a change in control, the Board of Directors may accelerate vesting. At March 30, 2022, 212,196 premium options, which are options granted above the stock price at date of grant, remained outstanding. A summary of stock option activity as of March 30, 2022 and changes during the thirteen weeks ended March 30, 2022 is as follows: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 w:type="dxa"/>
            <w:vAlign w:val="bottom"/>
          </w:tcPr>
          <w:p>
            <w:pPr>
              <w:spacing w:after="0"/>
              <w:rPr>
                <w:sz w:val="13"/>
                <w:szCs w:val="13"/>
                <w:color w:val="auto"/>
              </w:rPr>
            </w:pPr>
          </w:p>
        </w:tc>
        <w:tc>
          <w:tcPr>
            <w:tcW w:w="8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9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4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December 29, 2021</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978,078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(141,848)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 March 30, 2022</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836,230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240" w:type="dxa"/>
            <w:vAlign w:val="bottom"/>
            <w:tcBorders>
              <w:top w:val="single" w:sz="8" w:color="CCEEFF"/>
              <w:bottom w:val="single" w:sz="8" w:color="CCEEFF"/>
            </w:tcBorders>
            <w:gridSpan w:val="2"/>
            <w:shd w:val="clear" w:color="auto" w:fill="CCEEFF"/>
          </w:tcPr>
          <w:p>
            <w:pPr>
              <w:jc w:val="right"/>
              <w:ind w:right="308"/>
              <w:spacing w:after="0"/>
              <w:rPr>
                <w:sz w:val="20"/>
                <w:szCs w:val="20"/>
                <w:color w:val="auto"/>
              </w:rPr>
            </w:pPr>
            <w:r>
              <w:rPr>
                <w:rFonts w:ascii="Times New Roman" w:cs="Times New Roman" w:eastAsia="Times New Roman" w:hAnsi="Times New Roman"/>
                <w:sz w:val="18"/>
                <w:szCs w:val="18"/>
                <w:color w:val="auto"/>
              </w:rPr>
              <w:t>5.04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rPr>
                <w:sz w:val="1"/>
                <w:szCs w:val="1"/>
                <w:color w:val="auto"/>
              </w:rPr>
            </w:pPr>
          </w:p>
        </w:tc>
      </w:tr>
      <w:tr>
        <w:trPr>
          <w:trHeight w:val="20"/>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March 30, 2022</w:t>
            </w: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40" w:type="dxa"/>
            <w:vAlign w:val="bottom"/>
            <w:gridSpan w:val="2"/>
            <w:vMerge w:val="restart"/>
          </w:tcPr>
          <w:p>
            <w:pPr>
              <w:jc w:val="right"/>
              <w:ind w:right="308"/>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ind w:right="135"/>
              <w:spacing w:after="0"/>
              <w:rPr>
                <w:sz w:val="20"/>
                <w:szCs w:val="20"/>
                <w:color w:val="auto"/>
              </w:rPr>
            </w:pPr>
            <w:r>
              <w:rPr>
                <w:rFonts w:ascii="Times New Roman" w:cs="Times New Roman" w:eastAsia="Times New Roman" w:hAnsi="Times New Roman"/>
                <w:sz w:val="18"/>
                <w:szCs w:val="18"/>
                <w:color w:val="auto"/>
              </w:rPr>
              <w:t>1,413</w:t>
            </w:r>
          </w:p>
        </w:tc>
        <w:tc>
          <w:tcPr>
            <w:tcW w:w="0" w:type="dxa"/>
            <w:vAlign w:val="bottom"/>
          </w:tcPr>
          <w:p>
            <w:pPr>
              <w:spacing w:after="0" w:line="20" w:lineRule="exact"/>
              <w:rPr>
                <w:sz w:val="1"/>
                <w:szCs w:val="1"/>
                <w:color w:val="auto"/>
              </w:rPr>
            </w:pPr>
          </w:p>
        </w:tc>
      </w:tr>
      <w:tr>
        <w:trPr>
          <w:trHeight w:val="237"/>
        </w:trPr>
        <w:tc>
          <w:tcPr>
            <w:tcW w:w="4600" w:type="dxa"/>
            <w:vAlign w:val="bottom"/>
            <w:tcBorders>
              <w:bottom w:val="single" w:sz="8" w:color="CCEEFF"/>
            </w:tcBorders>
            <w:vMerge w:val="continue"/>
          </w:tcPr>
          <w:p>
            <w:pPr>
              <w:spacing w:after="0"/>
              <w:rPr>
                <w:sz w:val="20"/>
                <w:szCs w:val="20"/>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832,975</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11.54</w:t>
            </w:r>
          </w:p>
        </w:tc>
        <w:tc>
          <w:tcPr>
            <w:tcW w:w="1240" w:type="dxa"/>
            <w:vAlign w:val="bottom"/>
            <w:tcBorders>
              <w:bottom w:val="single" w:sz="8" w:color="CCEEFF"/>
            </w:tcBorders>
            <w:gridSpan w:val="2"/>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8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6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March 30, 2022</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557,322</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9.82</w:t>
            </w:r>
          </w:p>
        </w:tc>
        <w:tc>
          <w:tcPr>
            <w:tcW w:w="1240" w:type="dxa"/>
            <w:vAlign w:val="bottom"/>
            <w:tcBorders>
              <w:bottom w:val="single" w:sz="8" w:color="CCEEFF"/>
            </w:tcBorders>
            <w:gridSpan w:val="2"/>
            <w:shd w:val="clear" w:color="auto" w:fill="CCEEFF"/>
          </w:tcPr>
          <w:p>
            <w:pPr>
              <w:jc w:val="right"/>
              <w:ind w:right="308"/>
              <w:spacing w:after="0" w:line="196" w:lineRule="exact"/>
              <w:rPr>
                <w:sz w:val="20"/>
                <w:szCs w:val="20"/>
                <w:color w:val="auto"/>
              </w:rPr>
            </w:pPr>
            <w:r>
              <w:rPr>
                <w:rFonts w:ascii="Times New Roman" w:cs="Times New Roman" w:eastAsia="Times New Roman" w:hAnsi="Times New Roman"/>
                <w:sz w:val="18"/>
                <w:szCs w:val="18"/>
                <w:color w:val="auto"/>
              </w:rPr>
              <w:t>3.46</w:t>
            </w:r>
          </w:p>
        </w:tc>
        <w:tc>
          <w:tcPr>
            <w:tcW w:w="16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35"/>
              <w:spacing w:after="0" w:line="196" w:lineRule="exact"/>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At March 30, 2022, the Company had total unrecognized compensation expense of $1.2 million related to unvested stock options, which it expects to recognize over a weighted-average period of 2.73 years.</w:t>
      </w:r>
    </w:p>
    <w:p>
      <w:pPr>
        <w:spacing w:after="0" w:line="162" w:lineRule="exact"/>
        <w:rPr>
          <w:sz w:val="20"/>
          <w:szCs w:val="20"/>
          <w:color w:val="auto"/>
        </w:rPr>
      </w:pPr>
    </w:p>
    <w:p>
      <w:pPr>
        <w:ind w:left="60" w:right="159"/>
        <w:spacing w:after="0" w:line="282" w:lineRule="auto"/>
        <w:rPr>
          <w:sz w:val="20"/>
          <w:szCs w:val="20"/>
          <w:color w:val="auto"/>
        </w:rPr>
      </w:pPr>
      <w:r>
        <w:rPr>
          <w:rFonts w:ascii="Times New Roman" w:cs="Times New Roman" w:eastAsia="Times New Roman" w:hAnsi="Times New Roman"/>
          <w:sz w:val="18"/>
          <w:szCs w:val="18"/>
          <w:color w:val="auto"/>
        </w:rPr>
        <w:t>A summary of restricted share activity as of March 30, 2022 and changes during the thirteen weeks ended March 30, 2022 is as follows: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94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73"/>
        </w:trPr>
        <w:tc>
          <w:tcPr>
            <w:tcW w:w="66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shares at December 29, 2021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shares at March 30, 2022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495,780</w:t>
            </w:r>
          </w:p>
        </w:tc>
        <w:tc>
          <w:tcPr>
            <w:tcW w:w="34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At March 30, 2022, the Company had unrecognized compensation expense of $4.7 million related to unvested restricted shares, which it expects to recognize over a weighted-average period of 2.31 years.</w:t>
      </w:r>
    </w:p>
    <w:p>
      <w:pPr>
        <w:spacing w:after="0" w:line="162"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Total stock-based compensation expense was 0.8 million for the thirteen weeks ended March 30, 2022, and $0.9 million for the thirteen weeks ended March 31,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LONG-TERM DEBT</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Company, as a guarantor, is a party to a credit agreement (the “2018 Credit Agreement”) among EPL, as borrower, Intermediate, as a guarantor, Bank of America, N.A., as administrative agent, swingline lender, and letter of credit issuer, the lenders party thereto, and the other parties thereto, which provides for a $150.0 million five-year senior secured revolving credit facility (the “2018 Revolver”). The 2018 Revolver includes a sub limit of $15.0 million for letters of credit and a sub limit of $15.0 million for swingline loans. The 2018 Revolver and 2018 Credit Agreement will mature on</w:t>
      </w:r>
    </w:p>
    <w:p>
      <w:pPr>
        <w:spacing w:after="0" w:line="3" w:lineRule="exact"/>
        <w:rPr>
          <w:sz w:val="20"/>
          <w:szCs w:val="20"/>
          <w:color w:val="auto"/>
        </w:rPr>
      </w:pPr>
    </w:p>
    <w:p>
      <w:pPr>
        <w:jc w:val="both"/>
        <w:ind w:left="60" w:right="279"/>
        <w:spacing w:after="0" w:line="255" w:lineRule="auto"/>
        <w:rPr>
          <w:sz w:val="20"/>
          <w:szCs w:val="20"/>
          <w:color w:val="auto"/>
        </w:rPr>
      </w:pPr>
      <w:r>
        <w:rPr>
          <w:rFonts w:ascii="Times New Roman" w:cs="Times New Roman" w:eastAsia="Times New Roman" w:hAnsi="Times New Roman"/>
          <w:sz w:val="18"/>
          <w:szCs w:val="18"/>
          <w:color w:val="auto"/>
        </w:rPr>
        <w:t>July 13, 2023. The obligations under the 2018 Credit Agreement and related loan documents are guaranteed by Holdings and Intermediate. The obligations of Holdings, EPL and Intermediate under the 2018 Credit Agreement and related loan documents are secured by a first priority lien on substantially all of their respective assets.</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Under the 2018 Revolver, Holdings may not make certain payments such as cash dividends, except that it may, inter alia,</w:t>
      </w:r>
    </w:p>
    <w:p>
      <w:pPr>
        <w:spacing w:after="0" w:line="27" w:lineRule="exact"/>
        <w:rPr>
          <w:sz w:val="20"/>
          <w:szCs w:val="20"/>
          <w:color w:val="auto"/>
        </w:rPr>
      </w:pPr>
    </w:p>
    <w:p>
      <w:pPr>
        <w:jc w:val="both"/>
        <w:ind w:left="60" w:right="339" w:hanging="10"/>
        <w:spacing w:after="0" w:line="265" w:lineRule="auto"/>
        <w:tabs>
          <w:tab w:leader="none" w:pos="27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up to $1.0 million per year to repurchase or redeem qualified equity interests of Holdings held by past or present officers, directors, or employees (or their estates) of the Company upon death, disability, or termination of employment,</w:t>
      </w:r>
    </w:p>
    <w:p>
      <w:pPr>
        <w:ind w:left="60" w:right="139" w:hanging="10"/>
        <w:spacing w:after="0" w:line="265" w:lineRule="auto"/>
        <w:tabs>
          <w:tab w:leader="none" w:pos="32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w:t>
      </w:r>
    </w:p>
    <w:p>
      <w:pPr>
        <w:ind w:left="60" w:right="179"/>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to its compliance, on a pro forma basis, with (x) a lease-adjusted consolidated leverage ratio not to exceed 4.25 times and (y) the financial covenants applicable to the 2018 Revolver.</w:t>
      </w:r>
    </w:p>
    <w:p>
      <w:pPr>
        <w:spacing w:after="0" w:line="162"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1.35% to 1.70% for the thirteen weeks ended March 30, 2022, and 1.36% to 1.65% for the thirteen weeks ended March 31, 2021.</w:t>
      </w:r>
    </w:p>
    <w:p>
      <w:pPr>
        <w:spacing w:after="0" w:line="189" w:lineRule="exact"/>
        <w:rPr>
          <w:sz w:val="20"/>
          <w:szCs w:val="20"/>
          <w:color w:val="auto"/>
        </w:rPr>
      </w:pPr>
    </w:p>
    <w:p>
      <w:pPr>
        <w:ind w:left="60" w:right="519"/>
        <w:spacing w:after="0" w:line="282" w:lineRule="auto"/>
        <w:rPr>
          <w:sz w:val="20"/>
          <w:szCs w:val="20"/>
          <w:color w:val="auto"/>
        </w:rPr>
      </w:pPr>
      <w:r>
        <w:rPr>
          <w:rFonts w:ascii="Times New Roman" w:cs="Times New Roman" w:eastAsia="Times New Roman" w:hAnsi="Times New Roman"/>
          <w:sz w:val="18"/>
          <w:szCs w:val="18"/>
          <w:color w:val="auto"/>
        </w:rPr>
        <w:t>The 2018 Credit Agreement contains certain financial covenants. The Company was in compliance with the financial covenants as of March 30, 2022.</w:t>
      </w:r>
    </w:p>
    <w:p>
      <w:pPr>
        <w:spacing w:after="0" w:line="162" w:lineRule="exact"/>
        <w:rPr>
          <w:sz w:val="20"/>
          <w:szCs w:val="20"/>
          <w:color w:val="auto"/>
        </w:rPr>
      </w:pPr>
    </w:p>
    <w:p>
      <w:pPr>
        <w:ind w:left="60" w:right="539"/>
        <w:spacing w:after="0" w:line="312" w:lineRule="auto"/>
        <w:rPr>
          <w:sz w:val="20"/>
          <w:szCs w:val="20"/>
          <w:color w:val="auto"/>
        </w:rPr>
      </w:pPr>
      <w:r>
        <w:rPr>
          <w:rFonts w:ascii="Times New Roman" w:cs="Times New Roman" w:eastAsia="Times New Roman" w:hAnsi="Times New Roman"/>
          <w:sz w:val="17"/>
          <w:szCs w:val="17"/>
          <w:color w:val="auto"/>
        </w:rPr>
        <w:t>At March 30, 2022, $10.0 million of letters of credit and $40.0 million in borrowings under the 2018 Revolver were outstanding. The Company had $100.0 million in borrowing availability under the 2018 Revolver at March 30, 2022.</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Maturities</w:t>
      </w:r>
    </w:p>
    <w:p>
      <w:pPr>
        <w:spacing w:after="0" w:line="229" w:lineRule="exact"/>
        <w:rPr>
          <w:sz w:val="20"/>
          <w:szCs w:val="20"/>
          <w:color w:val="auto"/>
        </w:rPr>
      </w:pPr>
    </w:p>
    <w:p>
      <w:pPr>
        <w:ind w:left="60" w:right="259"/>
        <w:spacing w:after="0" w:line="266" w:lineRule="auto"/>
        <w:rPr>
          <w:sz w:val="20"/>
          <w:szCs w:val="20"/>
          <w:color w:val="auto"/>
        </w:rPr>
      </w:pPr>
      <w:r>
        <w:rPr>
          <w:rFonts w:ascii="Times New Roman" w:cs="Times New Roman" w:eastAsia="Times New Roman" w:hAnsi="Times New Roman"/>
          <w:sz w:val="18"/>
          <w:szCs w:val="18"/>
          <w:color w:val="auto"/>
        </w:rPr>
        <w:t>No amounts were paid on the 2018 Revolver during the thirteen weeks ended March 30, 2022. During the thirteen weeks ended March 31, 2021, the Company paid down $9.0 million on the 2018 Revolver. There are no required principal payments prior to maturity for the 2018 Revolver.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Swap</w:t>
      </w:r>
    </w:p>
    <w:p>
      <w:pPr>
        <w:spacing w:after="0" w:line="229"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During the year ended December 25, 2019, the Company entered into a variable-to-fixed interest rate swap agreement with a notional amount of $40.0 million that matures in June 2023. The objective of the interest rate swap was to reduce the Company’s exposure to interest rate risk for a portion of its variable-rate interest payments on its borrowings under the 2018 Revolver. Under the terms of the swap agreement, the variable LIBOR-based component of interest payments was converted to a fixed rate of 1.31%, plus applicable margin, which was 1.5% for the thirteen weeks ended March 30, 2022. The interest rate swap was designated as a cash flow hedge, as the changes in the future cash flows of the swap were expected to offset changes in expected future interest payments on the related variable-rate debt, in accordance with Accounting Standards Codification (“ASC”) 815 “Derivatives and Hedging.”</w:t>
      </w:r>
    </w:p>
    <w:p>
      <w:pPr>
        <w:spacing w:after="0" w:line="192"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 changes in the fair value of the interest rate swap are not included in earnings, but are included in other comprehensive (loss) income (“OCI”). These changes in fair value are subsequently reclassified into net earnings as a component of interest expense as the hedged interest payments are made on the variable rate borrowings.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thirteen weeks ended March 30, 2022, the swap was a highly effective cash flow hedge.</w:t>
      </w:r>
    </w:p>
    <w:p>
      <w:pPr>
        <w:spacing w:after="0" w:line="225"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As of March 30, 2022, the estimated net gain included in AOCI related to the Company’s cash flow hedge that will be reclassified into earnings in the next 12 months is $0.5 million, based on current LIBOR interest rates.</w:t>
      </w:r>
    </w:p>
    <w:p>
      <w:pPr>
        <w:spacing w:after="0" w:line="162"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The following table shows the financial statement line item and amount of the Company’s cash flow hedge accounting on the condensed consolidated balance sheets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2022</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29, 2021</w:t>
            </w:r>
          </w:p>
        </w:tc>
        <w:tc>
          <w:tcPr>
            <w:tcW w:w="0" w:type="dxa"/>
            <w:vAlign w:val="bottom"/>
          </w:tcPr>
          <w:p>
            <w:pPr>
              <w:spacing w:after="0"/>
              <w:rPr>
                <w:sz w:val="1"/>
                <w:szCs w:val="1"/>
                <w:color w:val="auto"/>
              </w:rPr>
            </w:pPr>
          </w:p>
        </w:tc>
      </w:tr>
      <w:tr>
        <w:trPr>
          <w:trHeight w:val="142"/>
        </w:trPr>
        <w:tc>
          <w:tcPr>
            <w:tcW w:w="3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assets - Interest rate swap</w:t>
            </w:r>
          </w:p>
        </w:tc>
        <w:tc>
          <w:tcPr>
            <w:tcW w:w="1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7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7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460" w:type="dxa"/>
            <w:vAlign w:val="bottom"/>
            <w:vMerge w:val="continue"/>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Pr>
          <w:p>
            <w:pPr>
              <w:spacing w:after="0"/>
              <w:rPr>
                <w:sz w:val="18"/>
                <w:szCs w:val="18"/>
                <w:color w:val="auto"/>
              </w:rPr>
            </w:pPr>
          </w:p>
        </w:tc>
        <w:tc>
          <w:tcPr>
            <w:tcW w:w="400" w:type="dxa"/>
            <w:vAlign w:val="bottom"/>
            <w:tcBorders>
              <w:top w:val="single" w:sz="8" w:color="auto"/>
            </w:tcBorders>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307</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 - Interest rate swap</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460" w:type="dxa"/>
            <w:vAlign w:val="bottom"/>
          </w:tcPr>
          <w:p>
            <w:pPr>
              <w:spacing w:after="0"/>
              <w:rPr>
                <w:sz w:val="24"/>
                <w:szCs w:val="24"/>
                <w:color w:val="auto"/>
              </w:rPr>
            </w:pPr>
          </w:p>
        </w:tc>
        <w:tc>
          <w:tcPr>
            <w:tcW w:w="194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the Company’s cash flow hedge accounting on the condensed consolidated statements of income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30, 2022</w:t>
            </w:r>
          </w:p>
        </w:tc>
        <w:tc>
          <w:tcPr>
            <w:tcW w:w="80" w:type="dxa"/>
            <w:vAlign w:val="bottom"/>
          </w:tcPr>
          <w:p>
            <w:pPr>
              <w:spacing w:after="0"/>
              <w:rPr>
                <w:sz w:val="15"/>
                <w:szCs w:val="15"/>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09"/>
        </w:trPr>
        <w:tc>
          <w:tcPr>
            <w:tcW w:w="6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hedged portion of debt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on interest rate swap</w:t>
            </w: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Borders>
              <w:bottom w:val="single" w:sz="8" w:color="CCEEFF"/>
            </w:tcBorders>
          </w:tcPr>
          <w:p>
            <w:pPr>
              <w:spacing w:after="0"/>
              <w:rPr>
                <w:sz w:val="18"/>
                <w:szCs w:val="18"/>
                <w:color w:val="auto"/>
              </w:rPr>
            </w:pPr>
          </w:p>
        </w:tc>
      </w:tr>
      <w:tr>
        <w:trPr>
          <w:trHeight w:val="209"/>
        </w:trPr>
        <w:tc>
          <w:tcPr>
            <w:tcW w:w="62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on debt and derivatives,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0"/>
        </w:trPr>
        <w:tc>
          <w:tcPr>
            <w:tcW w:w="6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 of the Company’s cash flow hedge accounting on AOCI for the thirteen weeks ended March 30, 2022 and March 31, 2021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gridSpan w:val="5"/>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Net Gain (Loss) Recognized in OCI</w:t>
            </w:r>
          </w:p>
        </w:tc>
        <w:tc>
          <w:tcPr>
            <w:tcW w:w="140" w:type="dxa"/>
            <w:vAlign w:val="bottom"/>
          </w:tcPr>
          <w:p>
            <w:pPr>
              <w:spacing w:after="0"/>
              <w:rPr>
                <w:sz w:val="13"/>
                <w:szCs w:val="13"/>
                <w:color w:val="auto"/>
              </w:rPr>
            </w:pPr>
          </w:p>
        </w:tc>
        <w:tc>
          <w:tcPr>
            <w:tcW w:w="29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Gain (Loss) Reclassified from</w:t>
            </w:r>
          </w:p>
        </w:tc>
        <w:tc>
          <w:tcPr>
            <w:tcW w:w="0" w:type="dxa"/>
            <w:vAlign w:val="bottom"/>
          </w:tcPr>
          <w:p>
            <w:pPr>
              <w:spacing w:after="0"/>
              <w:rPr>
                <w:sz w:val="1"/>
                <w:szCs w:val="1"/>
                <w:color w:val="auto"/>
              </w:rPr>
            </w:pPr>
          </w:p>
        </w:tc>
      </w:tr>
      <w:tr>
        <w:trPr>
          <w:trHeight w:val="173"/>
        </w:trPr>
        <w:tc>
          <w:tcPr>
            <w:tcW w:w="2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96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29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AOCI into Interest expense</w:t>
            </w:r>
          </w:p>
        </w:tc>
        <w:tc>
          <w:tcPr>
            <w:tcW w:w="0" w:type="dxa"/>
            <w:vAlign w:val="bottom"/>
          </w:tcPr>
          <w:p>
            <w:pPr>
              <w:spacing w:after="0"/>
              <w:rPr>
                <w:sz w:val="1"/>
                <w:szCs w:val="1"/>
                <w:color w:val="auto"/>
              </w:rPr>
            </w:pPr>
          </w:p>
        </w:tc>
      </w:tr>
      <w:tr>
        <w:trPr>
          <w:trHeight w:val="142"/>
        </w:trPr>
        <w:tc>
          <w:tcPr>
            <w:tcW w:w="26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239"/>
        <w:spacing w:after="0" w:line="282" w:lineRule="auto"/>
        <w:rPr>
          <w:sz w:val="20"/>
          <w:szCs w:val="20"/>
          <w:color w:val="auto"/>
        </w:rPr>
      </w:pPr>
      <w:r>
        <w:rPr>
          <w:rFonts w:ascii="Times New Roman" w:cs="Times New Roman" w:eastAsia="Times New Roman" w:hAnsi="Times New Roman"/>
          <w:sz w:val="18"/>
          <w:szCs w:val="18"/>
          <w:color w:val="auto"/>
        </w:rPr>
        <w:t>See Note 1, “Basis of Presentation and Summary of Significant Accounting Policies” for information about the fair value of the Company’s derivative asset.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OTHER ACCRUED EXPENSES AND CURRENT LIABILITIES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Other accrued expenses and current liabilities consist of the following (in thousands):</w:t>
      </w:r>
    </w:p>
    <w:p>
      <w:pPr>
        <w:spacing w:after="0" w:line="200" w:lineRule="exact"/>
        <w:rPr>
          <w:sz w:val="20"/>
          <w:szCs w:val="20"/>
          <w:color w:val="auto"/>
        </w:rPr>
      </w:pP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66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March 30, 2022</w:t>
            </w:r>
          </w:p>
        </w:tc>
        <w:tc>
          <w:tcPr>
            <w:tcW w:w="1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29, 2021</w:t>
            </w: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sales and property taxes</w:t>
            </w:r>
          </w:p>
        </w:tc>
        <w:tc>
          <w:tcPr>
            <w:tcW w:w="8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Gift card liability</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4,622</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Loyalty rewards program liability</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legal settlements and professional fees</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Deferred franchise and development fees</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other accrued expenses and current liabilities</w:t>
            </w:r>
          </w:p>
        </w:tc>
        <w:tc>
          <w:tcPr>
            <w:tcW w:w="860" w:type="dxa"/>
            <w:vAlign w:val="bottom"/>
          </w:tcPr>
          <w:p>
            <w:pPr>
              <w:spacing w:after="0"/>
              <w:rPr>
                <w:sz w:val="18"/>
                <w:szCs w:val="18"/>
                <w:color w:val="auto"/>
              </w:rPr>
            </w:pPr>
          </w:p>
        </w:tc>
        <w:tc>
          <w:tcPr>
            <w:tcW w:w="280" w:type="dxa"/>
            <w:vAlign w:val="bottom"/>
            <w:tcBorders>
              <w:bottom w:val="single" w:sz="8" w:color="auto"/>
            </w:tcBorders>
            <w:gridSpan w:val="2"/>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19,505</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OTHER NONCURRENT LIABILITIES</w:t>
            </w:r>
          </w:p>
        </w:tc>
        <w:tc>
          <w:tcPr>
            <w:tcW w:w="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March 30, 2022   December 29, 2021</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franchise and development fees</w:t>
            </w:r>
          </w:p>
        </w:tc>
        <w:tc>
          <w:tcPr>
            <w:tcW w:w="90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Employer social security tax deferral</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90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On or about February 24, 2014, a former employee filed a class action in the Superior Court of the State of California, County of Orange, under the caption Elliott Olvera, et al v. El Pollo Loco, Inc., et al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parties reached a settlement in principle on January 24, 2019 of all claims brought on behalf of the 32,000+ putative class members in Olvera, as well as all claims for failure to pay overtime compensation, failure to provide meal periods and rest breaks, and failure to provide itemized wage statements brought in the class actions captioned Martha Perez v. El Pollo Loco, Inc. (Los Angeles Superior Court Case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No. BC624001), Maria Vega, et al. v. El Pollo Loco, Inc. (Los Angeles Superior Court Case No. BC649719), and Gonzalez v. El Pollo Loco, Inc. (Los Angeles Superior Court Case No. BC712867). The settlement reached in principle in</w:t>
      </w:r>
    </w:p>
    <w:p>
      <w:pPr>
        <w:ind w:left="60" w:right="79"/>
        <w:spacing w:after="0" w:line="251" w:lineRule="auto"/>
        <w:rPr>
          <w:sz w:val="20"/>
          <w:szCs w:val="20"/>
          <w:color w:val="auto"/>
        </w:rPr>
      </w:pPr>
      <w:r>
        <w:rPr>
          <w:rFonts w:ascii="Times New Roman" w:cs="Times New Roman" w:eastAsia="Times New Roman" w:hAnsi="Times New Roman"/>
          <w:sz w:val="18"/>
          <w:szCs w:val="18"/>
          <w:color w:val="auto"/>
        </w:rPr>
        <w:t>the Olvera, Perez, Vega, and Gonzalez actions resolves all potential claims from April 12, 2010 through April 1, 2019 that El Pollo Loco restaurant employees may have against El Pollo Loco for failure to pay for all compensation owed, failure to pay overtime compensation, failure to provide meal periods and rest breaks and failure to provide itemized wage statements, among other wage and hour related claims. A $16.3 million accrual of an expected settlement amount related to this matter was recorded as of December 26, 2018, and the court formally approved the settlement on January 31, 2020. The settlement payment was made on February 28, 2020. Purported class actions alleging wage and hour violations are commonly filed against California employers. The Company fully expects to have to defend against similar lawsuits in the future.</w:t>
      </w:r>
    </w:p>
    <w:p>
      <w:pPr>
        <w:spacing w:after="0" w:line="194"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On or about November 5, 2015, a purported Holdings shareholder filed a derivative complaint on behalf of Holdings in the Court of Chancery of the State of Delaware against certain Holdings officers, directors and Trimaran Pollo Partners, L.L.C., under the caption Armen Galustyan v. Sather, et al.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Holdings shareholder voluntarily dismissed the action on October 7, 2020. A second purported Holdings shareholder filed a derivative complaint on or about September 23, 2016, under the caption Diep v. Sather, CA 12760-VCL in the Delaware Court of Chancery. The Diep action is also purportedly brought on behalf of Holdings, names the same defendants and asserts substantially the same claims on substantially the same alleged facts as does Galustyan. Defendants moved to stay or dismiss the Diep action.</w:t>
      </w:r>
    </w:p>
    <w:p>
      <w:pPr>
        <w:spacing w:after="0" w:line="190"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On March 17, 2017, the Delaware court granted in part, and denied in part, the motion to stay the Diep action. The court denied defendants’ motion to dismiss the complaint for failure to state a claim. On January 17, 2018, the court entered an order granting the parties’ stipulation staying all proceedings in the Diep action for five months or until the completion of an investigation of the allegations in the action by a special litigation committee of the Holdings board of directors (the “SLC”). On September 25, 2020, after concluding its investigation, the SLC filed a motion to dismiss the Diep action and filed its investigative report under seal as an exhibit to the motion to dismiss.</w:t>
      </w:r>
    </w:p>
    <w:p>
      <w:pPr>
        <w:spacing w:after="0" w:line="187"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On May 21, 2021, while the SLC’s motion to dismiss the Diep action was pending, the Company filed a notice of proposed partial settlement of the Diep action with respect to defendants Kay Bogeajis, Laurance Roberts, Stephen J. Sather, Edward J. Valle, Douglas K. Ammerman, and Samuel N. Borgese (collectively, the “Settling Defendants”). Defendant Trimaran Pollo Partners, LLC (“Trimaran”) was not a party to the settlement. The court approved the settlement of $625,000, less Plaintiffs’ fees of $156,250, on September 10, 2021, and dismissed all claims brought, or that could have been brought, against Settling Defendants. In connection with this settlement, the Company received $469,000 in insurance proceeds, which was recorded within general and administrative expenses in the Company’s statement of income for the year ended December 29, 2021.</w:t>
      </w:r>
    </w:p>
    <w:p>
      <w:pPr>
        <w:spacing w:after="0" w:line="192"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On July 30, 2021, the court granted the SLC’s motion to dismiss with respect to the claims asserted against remaining defendant Trimaran. On October 4, 2021, Plaintiffs filed a notice of appeal of the court’s granting of the motion to dismiss against defendant Trimaran. Plaintiff filed its opening brief on December 6, 2021. SLC filed its answering brief on December 20, 2021 and the public version of the brief was filed on January 7, 2022. Plaintiffs filed the reply brief on January 4, 2022. The hearing on the appeal took place on March 30, 2022, and the parties are awaiting a ruling.</w:t>
      </w:r>
    </w:p>
    <w:p>
      <w:pPr>
        <w:spacing w:after="0" w:line="183"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The Company is also involved in various other claims such as wage and hour and other legal actions that arise in the ordinary course of business. The outcomes of these actions are not predictable but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condensed consolidated financial condition, results of operations, and cash flows.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Purchasing Commitments</w:t>
      </w:r>
    </w:p>
    <w:p>
      <w:pPr>
        <w:spacing w:after="0" w:line="229" w:lineRule="exact"/>
        <w:rPr>
          <w:sz w:val="20"/>
          <w:szCs w:val="20"/>
          <w:color w:val="auto"/>
        </w:rPr>
      </w:pPr>
    </w:p>
    <w:p>
      <w:pPr>
        <w:ind w:left="60" w:right="300"/>
        <w:spacing w:after="0" w:line="258" w:lineRule="auto"/>
        <w:rPr>
          <w:sz w:val="20"/>
          <w:szCs w:val="20"/>
          <w:color w:val="auto"/>
        </w:rPr>
      </w:pPr>
      <w:r>
        <w:rPr>
          <w:rFonts w:ascii="Times New Roman" w:cs="Times New Roman" w:eastAsia="Times New Roman" w:hAnsi="Times New Roman"/>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 dollar volume of purchases for system-wide restaurants which will vary according to their demand for beverage syrup and fluctuations in the market rates for beverage syrup. These contracts have terms extending through the end of 2024.</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At March 30, 2022, the Company’s total estimated commitment to purchase chicken was $30.4 million.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Contingent Lease Obligations</w:t>
      </w:r>
    </w:p>
    <w:p>
      <w:pPr>
        <w:spacing w:after="0" w:line="229" w:lineRule="exact"/>
        <w:rPr>
          <w:sz w:val="20"/>
          <w:szCs w:val="20"/>
          <w:color w:val="auto"/>
        </w:rPr>
      </w:pPr>
    </w:p>
    <w:p>
      <w:pPr>
        <w:ind w:left="60" w:right="120"/>
        <w:spacing w:after="0" w:line="254" w:lineRule="auto"/>
        <w:rPr>
          <w:sz w:val="20"/>
          <w:szCs w:val="20"/>
          <w:color w:val="auto"/>
        </w:rPr>
      </w:pPr>
      <w:r>
        <w:rPr>
          <w:rFonts w:ascii="Times New Roman" w:cs="Times New Roman" w:eastAsia="Times New Roman" w:hAnsi="Times New Roman"/>
          <w:sz w:val="18"/>
          <w:szCs w:val="18"/>
          <w:color w:val="auto"/>
        </w:rPr>
        <w:t>As a result of assigning the Company’s interest in obligations under real estate leases in connection with the sale of company-operated restaurants to some of the Company’s franchisees, the Company is contingently liable on four lease agreements. These leases have various terms, the latest of which expires in 2036. As of March 30, 2022, the potential amount of undiscounted payments the Company could be required to make in the event of non-payment by the primary lessee was $2.6 million. The present value of these potential payments discounted at the Company’s estimated pre-tax cost of debt at March 30, 2022 was $2.3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left="60" w:right="580"/>
        <w:spacing w:after="0" w:line="266" w:lineRule="auto"/>
        <w:rPr>
          <w:sz w:val="20"/>
          <w:szCs w:val="20"/>
          <w:color w:val="auto"/>
        </w:rPr>
      </w:pPr>
      <w:r>
        <w:rPr>
          <w:rFonts w:ascii="Times New Roman" w:cs="Times New Roman" w:eastAsia="Times New Roman" w:hAnsi="Times New Roman"/>
          <w:sz w:val="18"/>
          <w:szCs w:val="18"/>
          <w:color w:val="auto"/>
        </w:rPr>
        <w:t>As of March 30, 2022, the Company had employment agreements with two of the officers of the Company. These agreements provide for minimum salary levels, possible annual adjustments for cost-of-living changes, and incentive bonuses that are payable under certain business conditions.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left="60" w:right="180"/>
        <w:spacing w:after="0" w:line="258"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EARNINGS PER SHARE</w:t>
      </w:r>
    </w:p>
    <w:p>
      <w:pPr>
        <w:spacing w:after="0" w:line="229" w:lineRule="exact"/>
        <w:rPr>
          <w:sz w:val="20"/>
          <w:szCs w:val="20"/>
          <w:color w:val="auto"/>
        </w:rPr>
      </w:pPr>
    </w:p>
    <w:p>
      <w:pPr>
        <w:ind w:left="60" w:right="200"/>
        <w:spacing w:after="0" w:line="261" w:lineRule="auto"/>
        <w:rPr>
          <w:sz w:val="20"/>
          <w:szCs w:val="20"/>
          <w:color w:val="auto"/>
        </w:rPr>
      </w:pPr>
      <w:r>
        <w:rPr>
          <w:rFonts w:ascii="Times New Roman" w:cs="Times New Roman" w:eastAsia="Times New Roman" w:hAnsi="Times New Roman"/>
          <w:sz w:val="18"/>
          <w:szCs w:val="18"/>
          <w:color w:val="auto"/>
        </w:rPr>
        <w:t>Basic earnings per share (“EPS”) is calculated using the weighted-average number of shares of common stock outstanding during the thirteen weeks ended March 30, 2022 and March 31, 2021. Diluted EPS is calculated using the weighted-average number of shares of common stock outstanding and potentially dilutive during the period, using the treasury stock method.</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are basic and diluted EPS data for the periods indicated (in thousands except for share and per share data):</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6520" w:type="dxa"/>
            <w:vAlign w:val="bottom"/>
          </w:tcPr>
          <w:p>
            <w:pPr>
              <w:spacing w:after="0"/>
              <w:rPr>
                <w:sz w:val="12"/>
                <w:szCs w:val="12"/>
                <w:color w:val="auto"/>
              </w:rPr>
            </w:pPr>
          </w:p>
        </w:tc>
        <w:tc>
          <w:tcPr>
            <w:tcW w:w="1260" w:type="dxa"/>
            <w:vAlign w:val="bottom"/>
            <w:tcBorders>
              <w:top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10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180" w:type="dxa"/>
            <w:vAlign w:val="bottom"/>
          </w:tcPr>
          <w:p>
            <w:pPr>
              <w:spacing w:after="0"/>
              <w:rPr>
                <w:sz w:val="12"/>
                <w:szCs w:val="12"/>
                <w:color w:val="auto"/>
              </w:rPr>
            </w:pPr>
          </w:p>
        </w:tc>
      </w:tr>
      <w:tr>
        <w:trPr>
          <w:trHeight w:val="210"/>
        </w:trPr>
        <w:tc>
          <w:tcPr>
            <w:tcW w:w="6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w:t>
            </w:r>
          </w:p>
        </w:tc>
        <w:tc>
          <w:tcPr>
            <w:tcW w:w="180" w:type="dxa"/>
            <w:vAlign w:val="bottom"/>
            <w:tcBorders>
              <w:bottom w:val="single" w:sz="8" w:color="CCEEFF"/>
            </w:tcBorders>
          </w:tcPr>
          <w:p>
            <w:pPr>
              <w:spacing w:after="0"/>
              <w:rPr>
                <w:sz w:val="18"/>
                <w:szCs w:val="18"/>
                <w:color w:val="auto"/>
              </w:rPr>
            </w:pPr>
          </w:p>
        </w:tc>
      </w:tr>
      <w:tr>
        <w:trPr>
          <w:trHeight w:val="21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36,225,747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35,795,205</w:t>
            </w:r>
          </w:p>
        </w:tc>
        <w:tc>
          <w:tcPr>
            <w:tcW w:w="18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36,480,354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36,424,068</w:t>
            </w:r>
          </w:p>
        </w:tc>
        <w:tc>
          <w:tcPr>
            <w:tcW w:w="180" w:type="dxa"/>
            <w:vAlign w:val="bottom"/>
            <w:shd w:val="clear" w:color="auto" w:fill="CCEEFF"/>
          </w:tcPr>
          <w:p>
            <w:pPr>
              <w:spacing w:after="0"/>
              <w:rPr>
                <w:sz w:val="18"/>
                <w:szCs w:val="18"/>
                <w:color w:val="auto"/>
              </w:rPr>
            </w:pPr>
          </w:p>
        </w:tc>
      </w:tr>
      <w:tr>
        <w:trPr>
          <w:trHeight w:val="21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shd w:val="clear" w:color="auto" w:fill="CCEEFF"/>
          </w:tcPr>
          <w:p>
            <w:pPr>
              <w:spacing w:after="0"/>
              <w:rPr>
                <w:sz w:val="18"/>
                <w:szCs w:val="18"/>
                <w:color w:val="auto"/>
              </w:rPr>
            </w:pPr>
          </w:p>
        </w:tc>
      </w:tr>
      <w:tr>
        <w:trPr>
          <w:trHeight w:val="20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securities not considered in diluted EPS calculation</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305,632</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060"/>
          </w:cols>
          <w:pgMar w:left="1440" w:top="513" w:right="13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60"/>
          </w:cols>
          <w:pgMar w:left="1440" w:top="513" w:right="1399"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is a reconciliation of basic and diluted share counts:</w:t>
      </w:r>
    </w:p>
    <w:p>
      <w:pPr>
        <w:spacing w:after="0" w:line="38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232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r>
      <w:tr>
        <w:trPr>
          <w:trHeight w:val="142"/>
        </w:trPr>
        <w:tc>
          <w:tcPr>
            <w:tcW w:w="6580" w:type="dxa"/>
            <w:vAlign w:val="bottom"/>
          </w:tcPr>
          <w:p>
            <w:pPr>
              <w:spacing w:after="0"/>
              <w:rPr>
                <w:sz w:val="12"/>
                <w:szCs w:val="12"/>
                <w:color w:val="auto"/>
              </w:rPr>
            </w:pPr>
          </w:p>
        </w:tc>
        <w:tc>
          <w:tcPr>
            <w:tcW w:w="1160" w:type="dxa"/>
            <w:vAlign w:val="bottom"/>
            <w:tcBorders>
              <w:top w:val="single" w:sz="8" w:color="auto"/>
            </w:tcBorders>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180" w:type="dxa"/>
            <w:vAlign w:val="bottom"/>
          </w:tcPr>
          <w:p>
            <w:pPr>
              <w:spacing w:after="0"/>
              <w:rPr>
                <w:sz w:val="12"/>
                <w:szCs w:val="12"/>
                <w:color w:val="auto"/>
              </w:rPr>
            </w:pPr>
          </w:p>
        </w:tc>
      </w:tr>
      <w:tr>
        <w:trPr>
          <w:trHeight w:val="209"/>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outstanding—basic</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36,225,747</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35,795,205</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Dilutive effect of stock options and restricted shares</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254,607</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628,863</w:t>
            </w:r>
          </w:p>
        </w:tc>
        <w:tc>
          <w:tcPr>
            <w:tcW w:w="180" w:type="dxa"/>
            <w:vAlign w:val="bottom"/>
            <w:tcBorders>
              <w:bottom w:val="single" w:sz="8" w:color="CCEEFF"/>
            </w:tcBorders>
          </w:tcPr>
          <w:p>
            <w:pPr>
              <w:spacing w:after="0"/>
              <w:rPr>
                <w:sz w:val="18"/>
                <w:szCs w:val="18"/>
                <w:color w:val="auto"/>
              </w:rPr>
            </w:pPr>
          </w:p>
        </w:tc>
      </w:tr>
      <w:tr>
        <w:trPr>
          <w:trHeight w:val="21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outstanding—diluted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36,480,354</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36,424,068</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RELATED PARTY TRANSACTIONS</w:t>
      </w:r>
    </w:p>
    <w:p>
      <w:pPr>
        <w:spacing w:after="0" w:line="229" w:lineRule="exact"/>
        <w:rPr>
          <w:sz w:val="20"/>
          <w:szCs w:val="20"/>
          <w:color w:val="auto"/>
        </w:rPr>
      </w:pPr>
    </w:p>
    <w:p>
      <w:pPr>
        <w:ind w:left="60" w:right="159"/>
        <w:spacing w:after="0" w:line="269" w:lineRule="auto"/>
        <w:rPr>
          <w:sz w:val="20"/>
          <w:szCs w:val="20"/>
          <w:color w:val="auto"/>
        </w:rPr>
      </w:pPr>
      <w:r>
        <w:rPr>
          <w:rFonts w:ascii="Times New Roman" w:cs="Times New Roman" w:eastAsia="Times New Roman" w:hAnsi="Times New Roman"/>
          <w:sz w:val="17"/>
          <w:szCs w:val="17"/>
          <w:color w:val="auto"/>
        </w:rPr>
        <w:t>Trimaran Pollo Partners, L.L.C. (“LLC”) owns approximately 45.6% of the Company’s outstanding common stock as of March 30, 2022.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amended and restated certificate of incorporation or amended and restated by-laws, and the Company’s winding up and dissolution. The Company’s amended and restated certificate of incorporation provides that (i) so long as LLC beneficially owns, directly or indirectly, more than 40% of the Company’s common stock, any member of the Board of Directors or the entire Board of Directors may be removed from office at any time with or without cause by the affirmative vote of a majority of the Company’s common stock, and (ii) prior to the date the LLC ceases to beneficially own, directly or indirectly, 40% or more of the Company’s common stock, stockholders representing at least 40% of the Company’s common stock may call a special meeting of the Company’s stockholders.</w:t>
      </w:r>
    </w:p>
    <w:p>
      <w:pPr>
        <w:spacing w:after="0" w:line="175" w:lineRule="exact"/>
        <w:rPr>
          <w:sz w:val="20"/>
          <w:szCs w:val="20"/>
          <w:color w:val="auto"/>
        </w:rPr>
      </w:pPr>
    </w:p>
    <w:p>
      <w:pPr>
        <w:ind w:left="60" w:right="4319" w:hanging="10"/>
        <w:spacing w:after="0" w:line="502" w:lineRule="auto"/>
        <w:tabs>
          <w:tab w:leader="none" w:pos="33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 Revenue Recognition</w:t>
      </w:r>
    </w:p>
    <w:p>
      <w:pPr>
        <w:ind w:left="60"/>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two revenue streams, company-operated restaurant revenue and franchise related revenue.</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Company-operated restaurant revenue</w:t>
      </w:r>
    </w:p>
    <w:p>
      <w:pPr>
        <w:spacing w:after="0" w:line="227" w:lineRule="exact"/>
        <w:rPr>
          <w:sz w:val="20"/>
          <w:szCs w:val="20"/>
          <w:color w:val="auto"/>
        </w:rPr>
      </w:pPr>
    </w:p>
    <w:p>
      <w:pPr>
        <w:ind w:left="60" w:right="179"/>
        <w:spacing w:after="0" w:line="266" w:lineRule="auto"/>
        <w:rPr>
          <w:sz w:val="20"/>
          <w:szCs w:val="20"/>
          <w:color w:val="auto"/>
        </w:rPr>
      </w:pPr>
      <w:r>
        <w:rPr>
          <w:rFonts w:ascii="Times New Roman" w:cs="Times New Roman" w:eastAsia="Times New Roman" w:hAnsi="Times New Roman"/>
          <w:sz w:val="18"/>
          <w:szCs w:val="18"/>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176"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offers a loyalty rewards program, which awards a customer points for dollars spent. Customers earn points for each dollar spent and 50 points can be redeemed for a $5 reward to be used for a future purchase. If a customer does not earn or use points within a one-year period, their account is deactivated and all points expire. Additionally, if a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if necessary, on a pro-rata basis, based on stand-alone selling price, as determined by menu pricing and loyalty points terms. As of March 30, 2022 and December 29, 2021, the revenue allocated to loyalty points that have not been redeemed was $0.6 million and $0.7 million, respectively, which is reflected in the Company’s accompanying condensed consolidated balance sheets within other accrued expenses and current liabilities. The Company expects the loyalty points to be redeemed and recognized over a one-year period.</w:t>
      </w:r>
    </w:p>
    <w:p>
      <w:pPr>
        <w:spacing w:after="0" w:line="187" w:lineRule="exact"/>
        <w:rPr>
          <w:sz w:val="20"/>
          <w:szCs w:val="20"/>
          <w:color w:val="auto"/>
        </w:rPr>
      </w:pPr>
    </w:p>
    <w:p>
      <w:pPr>
        <w:ind w:left="60" w:right="339"/>
        <w:spacing w:after="0" w:line="261" w:lineRule="auto"/>
        <w:rPr>
          <w:sz w:val="20"/>
          <w:szCs w:val="20"/>
          <w:color w:val="auto"/>
        </w:rPr>
      </w:pPr>
      <w:r>
        <w:rPr>
          <w:rFonts w:ascii="Times New Roman" w:cs="Times New Roman" w:eastAsia="Times New Roman" w:hAnsi="Times New Roman"/>
          <w:sz w:val="18"/>
          <w:szCs w:val="18"/>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99"/>
        <w:spacing w:after="0" w:line="282" w:lineRule="auto"/>
        <w:rPr>
          <w:sz w:val="20"/>
          <w:szCs w:val="20"/>
          <w:color w:val="auto"/>
        </w:rPr>
      </w:pPr>
      <w:r>
        <w:rPr>
          <w:rFonts w:ascii="Times New Roman" w:cs="Times New Roman" w:eastAsia="Times New Roman" w:hAnsi="Times New Roman"/>
          <w:sz w:val="18"/>
          <w:szCs w:val="18"/>
          <w:color w:val="auto"/>
        </w:rPr>
        <w:t>The Company recognizes income from gift cards when redeemed by the customer. Unredeemed gift card balances are deferred and recorded as other accrued expenses on the accompanying condensed consolidated balance sheets.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Franchise and franchise advertising revenue</w:t>
      </w:r>
    </w:p>
    <w:p>
      <w:pPr>
        <w:spacing w:after="0" w:line="227"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p>
      <w:pPr>
        <w:spacing w:after="0" w:line="176" w:lineRule="exact"/>
        <w:rPr>
          <w:sz w:val="20"/>
          <w:szCs w:val="20"/>
          <w:color w:val="auto"/>
        </w:rPr>
      </w:pPr>
    </w:p>
    <w:p>
      <w:pPr>
        <w:ind w:left="720" w:right="239" w:hanging="319"/>
        <w:spacing w:after="0" w:line="261"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license - inclusive of advertising services, development agreements, training, access to plans and help desk services.</w:t>
      </w: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renewal option.</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services.</w:t>
      </w:r>
    </w:p>
    <w:p>
      <w:pPr>
        <w:spacing w:after="0" w:line="207"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183"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 expedient available under ASC Topic 606, “Revenue from Contracts with Customers” (“Topic 606”) regarding disclosure of the aggregate amount of the transaction price allocated to the performance obligations that are unsatisfied for sales-based royalties.</w:t>
      </w:r>
    </w:p>
    <w:p>
      <w:pPr>
        <w:spacing w:after="0" w:line="187"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In certain franchise agreements, the Company offers a discounted renewal to incentivize future renewals after the end of the initial franchise term. As this is considered a separate performance obligation, the Company allocates a portion of the initial franchise fee to this discounted renewal, on a pro-rata basis, assuming a 20-year renewal. This performance obligation is satisfied over the renewal term, typically 10 or 20 years, while payment is fixed and due at the time the renewal is signed.</w:t>
      </w:r>
    </w:p>
    <w:p>
      <w:pPr>
        <w:spacing w:after="0" w:line="183" w:lineRule="exact"/>
        <w:rPr>
          <w:sz w:val="20"/>
          <w:szCs w:val="20"/>
          <w:color w:val="auto"/>
        </w:rPr>
      </w:pPr>
    </w:p>
    <w:p>
      <w:pPr>
        <w:ind w:left="60" w:right="119"/>
        <w:spacing w:after="0" w:line="261" w:lineRule="auto"/>
        <w:rPr>
          <w:sz w:val="20"/>
          <w:szCs w:val="20"/>
          <w:color w:val="auto"/>
        </w:rPr>
      </w:pPr>
      <w:r>
        <w:rPr>
          <w:rFonts w:ascii="Times New Roman" w:cs="Times New Roman" w:eastAsia="Times New Roman" w:hAnsi="Times New Roman"/>
          <w:sz w:val="18"/>
          <w:szCs w:val="18"/>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March 30, 2022, there were no performance obligations related to hardware services that were unsatisfied or partially satisfied.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revenue source and market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20" w:type="dxa"/>
            <w:vAlign w:val="bottom"/>
          </w:tcPr>
          <w:p>
            <w:pPr>
              <w:spacing w:after="0"/>
              <w:rPr>
                <w:sz w:val="15"/>
                <w:szCs w:val="15"/>
                <w:color w:val="auto"/>
              </w:rPr>
            </w:pPr>
          </w:p>
        </w:tc>
        <w:tc>
          <w:tcPr>
            <w:tcW w:w="2220" w:type="dxa"/>
            <w:vAlign w:val="bottom"/>
            <w:tcBorders>
              <w:bottom w:val="single" w:sz="8" w:color="CCEEFF"/>
            </w:tcBorders>
          </w:tcPr>
          <w:p>
            <w:pPr>
              <w:spacing w:after="0"/>
              <w:rPr>
                <w:sz w:val="15"/>
                <w:szCs w:val="15"/>
                <w:color w:val="auto"/>
              </w:rPr>
            </w:pPr>
          </w:p>
        </w:tc>
        <w:tc>
          <w:tcPr>
            <w:tcW w:w="2460" w:type="dxa"/>
            <w:vAlign w:val="bottom"/>
            <w:tcBorders>
              <w:bottom w:val="single" w:sz="8" w:color="CCEEFF"/>
            </w:tcBorders>
          </w:tcPr>
          <w:p>
            <w:pPr>
              <w:spacing w:after="0"/>
              <w:rPr>
                <w:sz w:val="15"/>
                <w:szCs w:val="15"/>
                <w:color w:val="auto"/>
              </w:rPr>
            </w:pPr>
          </w:p>
        </w:tc>
        <w:tc>
          <w:tcPr>
            <w:tcW w:w="18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Core Market</w:t>
            </w:r>
            <w:r>
              <w:rPr>
                <w:rFonts w:ascii="Times New Roman" w:cs="Times New Roman" w:eastAsia="Times New Roman" w:hAnsi="Times New Roman"/>
                <w:sz w:val="24"/>
                <w:szCs w:val="24"/>
                <w:b w:val="1"/>
                <w:bCs w:val="1"/>
                <w:color w:val="auto"/>
                <w:vertAlign w:val="superscript"/>
              </w:rPr>
              <w:t>(1)</w:t>
            </w:r>
            <w:r>
              <w:rPr>
                <w:rFonts w:ascii="Times New Roman" w:cs="Times New Roman" w:eastAsia="Times New Roman" w:hAnsi="Times New Roman"/>
                <w:sz w:val="17"/>
                <w:szCs w:val="17"/>
                <w:b w:val="1"/>
                <w:bCs w:val="1"/>
                <w:color w:val="auto"/>
              </w:rPr>
              <w:t>:</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89,627</w:t>
            </w:r>
          </w:p>
        </w:tc>
        <w:tc>
          <w:tcPr>
            <w:tcW w:w="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Franchise revenue</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core market</w:t>
            </w:r>
          </w:p>
        </w:tc>
        <w:tc>
          <w:tcPr>
            <w:tcW w:w="1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93,687</w:t>
            </w: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80" w:type="dxa"/>
            <w:vAlign w:val="bottom"/>
            <w:gridSpan w:val="2"/>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Non-Core Market</w:t>
            </w:r>
            <w:r>
              <w:rPr>
                <w:rFonts w:ascii="Times New Roman" w:cs="Times New Roman" w:eastAsia="Times New Roman" w:hAnsi="Times New Roman"/>
                <w:sz w:val="24"/>
                <w:szCs w:val="24"/>
                <w:b w:val="1"/>
                <w:bCs w:val="1"/>
                <w:color w:val="auto"/>
                <w:vertAlign w:val="superscript"/>
              </w:rPr>
              <w:t>(2)</w:t>
            </w:r>
            <w:r>
              <w:rPr>
                <w:rFonts w:ascii="Times New Roman" w:cs="Times New Roman" w:eastAsia="Times New Roman" w:hAnsi="Times New Roman"/>
                <w:sz w:val="17"/>
                <w:szCs w:val="17"/>
                <w:b w:val="1"/>
                <w:bCs w:val="1"/>
                <w:color w:val="auto"/>
              </w:rPr>
              <w: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Franchise revenue</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w:t>
            </w:r>
          </w:p>
        </w:tc>
        <w:tc>
          <w:tcPr>
            <w:tcW w:w="12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non-core market</w:t>
            </w:r>
          </w:p>
        </w:tc>
        <w:tc>
          <w:tcPr>
            <w:tcW w:w="1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12,873</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14,034</w:t>
            </w:r>
          </w:p>
        </w:tc>
        <w:tc>
          <w:tcPr>
            <w:tcW w:w="12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110,048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107,721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599" w:hanging="330"/>
        <w:spacing w:after="0" w:line="208" w:lineRule="auto"/>
        <w:tabs>
          <w:tab w:leader="none" w:pos="380" w:val="left"/>
        </w:tabs>
        <w:numPr>
          <w:ilvl w:val="0"/>
          <w:numId w:val="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Core Market includes markets with existing company-operated restaurants at the time of the Company’s IPO on July 28, 2014.</w:t>
      </w:r>
    </w:p>
    <w:p>
      <w:pPr>
        <w:spacing w:after="0" w:line="1" w:lineRule="exact"/>
        <w:rPr>
          <w:rFonts w:ascii="Times New Roman" w:cs="Times New Roman" w:eastAsia="Times New Roman" w:hAnsi="Times New Roman"/>
          <w:sz w:val="27"/>
          <w:szCs w:val="27"/>
          <w:color w:val="auto"/>
          <w:vertAlign w:val="superscript"/>
        </w:rPr>
      </w:pPr>
    </w:p>
    <w:p>
      <w:pPr>
        <w:ind w:left="380" w:hanging="330"/>
        <w:spacing w:after="0" w:line="180" w:lineRule="auto"/>
        <w:tabs>
          <w:tab w:leader="none" w:pos="38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Non-Core Market includes markets entered into by the Company subsequent to the IPO date.</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geographic market:</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6200" w:type="dxa"/>
            <w:vAlign w:val="bottom"/>
          </w:tcPr>
          <w:p>
            <w:pPr>
              <w:spacing w:after="0"/>
              <w:rPr>
                <w:sz w:val="15"/>
                <w:szCs w:val="15"/>
                <w:color w:val="auto"/>
              </w:rPr>
            </w:pPr>
          </w:p>
        </w:tc>
        <w:tc>
          <w:tcPr>
            <w:tcW w:w="14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March 30, 2022</w:t>
            </w:r>
          </w:p>
        </w:tc>
        <w:tc>
          <w:tcPr>
            <w:tcW w:w="1340" w:type="dxa"/>
            <w:vAlign w:val="bottom"/>
            <w:gridSpan w:val="2"/>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Greater Los Angeles area market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 markets</w:t>
            </w:r>
          </w:p>
        </w:tc>
        <w:tc>
          <w:tcPr>
            <w:tcW w:w="14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29.2 %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29.9 %</w:t>
            </w:r>
          </w:p>
        </w:tc>
      </w:tr>
      <w:tr>
        <w:trPr>
          <w:trHeight w:val="210"/>
        </w:trPr>
        <w:tc>
          <w:tcPr>
            <w:tcW w:w="62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6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the change in the franchise contract liability balances during the thirteen weeks ended March 30, 2022 and March 31, 2021 (in thousands)</w:t>
      </w:r>
      <w:r>
        <w:rPr>
          <w:rFonts w:ascii="Times New Roman" w:cs="Times New Roman" w:eastAsia="Times New Roman" w:hAnsi="Times New Roman"/>
          <w:sz w:val="18"/>
          <w:szCs w:val="18"/>
          <w:b w:val="1"/>
          <w:bCs w:val="1"/>
          <w:color w:val="auto"/>
        </w:rPr>
        <w:t>:</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29, 2021</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recognized - beginning balance</w:t>
            </w:r>
          </w:p>
        </w:tc>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Additional contract liability</w:t>
            </w:r>
          </w:p>
        </w:tc>
        <w:tc>
          <w:tcPr>
            <w:tcW w:w="2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50"/>
        </w:trPr>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30, 2022</w:t>
            </w:r>
          </w:p>
        </w:tc>
        <w:tc>
          <w:tcPr>
            <w:tcW w:w="23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3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30, 2020</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Revenue recognized - beginning balance</w:t>
            </w:r>
          </w:p>
        </w:tc>
        <w:tc>
          <w:tcPr>
            <w:tcW w:w="2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Additional contract liability</w:t>
            </w:r>
          </w:p>
        </w:tc>
        <w:tc>
          <w:tcPr>
            <w:tcW w:w="23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The Company’s franchise contract liability includes development fees, initial franchise and license fees, franchise renewal fees, lease subsidies and royalty discounts and is included within other accrued expenses and current liabilities and other noncurrent liabilities within the accompanying condensed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18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estimated revenue to be recognized in future periods related to performance obligations under the applicable contracts that are unsatisfied as of March 30, 2022 (in thousands):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Franchise revenues: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6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5480" w:type="dxa"/>
            <w:vAlign w:val="bottom"/>
            <w:tcBorders>
              <w:top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5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5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2025</w:t>
            </w:r>
          </w:p>
        </w:tc>
        <w:tc>
          <w:tcPr>
            <w:tcW w:w="5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5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Thereafter</w:t>
            </w:r>
          </w:p>
        </w:tc>
        <w:tc>
          <w:tcPr>
            <w:tcW w:w="50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4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5040" w:type="dxa"/>
            <w:vAlign w:val="bottom"/>
            <w:vMerge w:val="restart"/>
          </w:tcPr>
          <w:p>
            <w:pPr>
              <w:jc w:val="right"/>
              <w:ind w:right="303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62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Changes in the loyalty rewards program liability included in deferred revenue within other accrued expenses and current liabilities on the condensed consolidated balance sheets were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40" w:type="dxa"/>
            <w:vAlign w:val="bottom"/>
          </w:tcPr>
          <w:p>
            <w:pPr>
              <w:spacing w:after="0"/>
              <w:rPr>
                <w:sz w:val="16"/>
                <w:szCs w:val="16"/>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9"/>
        </w:trPr>
        <w:tc>
          <w:tcPr>
            <w:tcW w:w="62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7"/>
                <w:szCs w:val="17"/>
                <w:color w:val="auto"/>
              </w:rPr>
            </w:pPr>
          </w:p>
        </w:tc>
      </w:tr>
      <w:tr>
        <w:trPr>
          <w:trHeight w:val="20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rewards liability, beginning balance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shd w:val="clear" w:color="auto" w:fill="CCEEFF"/>
          </w:tcPr>
          <w:p>
            <w:pPr>
              <w:spacing w:after="0"/>
              <w:rPr>
                <w:sz w:val="18"/>
                <w:szCs w:val="18"/>
                <w:color w:val="auto"/>
              </w:rPr>
            </w:pPr>
          </w:p>
        </w:tc>
      </w:tr>
      <w:tr>
        <w:trPr>
          <w:trHeight w:val="216"/>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deferred</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60" w:type="dxa"/>
            <w:vAlign w:val="bottom"/>
          </w:tcPr>
          <w:p>
            <w:pPr>
              <w:spacing w:after="0"/>
              <w:rPr>
                <w:sz w:val="18"/>
                <w:szCs w:val="18"/>
                <w:color w:val="auto"/>
              </w:rPr>
            </w:pP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(2,890)</w:t>
            </w:r>
          </w:p>
        </w:tc>
      </w:tr>
      <w:tr>
        <w:trPr>
          <w:trHeight w:val="20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Loyalty rewards liability, ending balance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599</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687</w:t>
            </w:r>
          </w:p>
        </w:tc>
        <w:tc>
          <w:tcPr>
            <w:tcW w:w="160" w:type="dxa"/>
            <w:vAlign w:val="bottom"/>
          </w:tcPr>
          <w:p>
            <w:pPr>
              <w:spacing w:after="0"/>
              <w:rPr>
                <w:sz w:val="18"/>
                <w:szCs w:val="18"/>
                <w:color w:val="auto"/>
              </w:rPr>
            </w:pPr>
          </w:p>
        </w:tc>
      </w:tr>
      <w:tr>
        <w:trPr>
          <w:trHeight w:val="20"/>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The Company expects all loyalty points revenue related to performance obligations unsatisfied as of March 30, 2022 to be recognized within one year.</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Gift Cards</w:t>
      </w:r>
    </w:p>
    <w:p>
      <w:pPr>
        <w:spacing w:after="0" w:line="227"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 gift card liability included in other accrued expenses and current liabilities on the condensed consolidated balance sheets was as follows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160" w:type="dxa"/>
            <w:vAlign w:val="bottom"/>
          </w:tcPr>
          <w:p>
            <w:pPr>
              <w:spacing w:after="0"/>
              <w:rPr>
                <w:sz w:val="16"/>
                <w:szCs w:val="16"/>
                <w:color w:val="auto"/>
              </w:rPr>
            </w:pPr>
          </w:p>
        </w:tc>
        <w:tc>
          <w:tcPr>
            <w:tcW w:w="11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December 29,</w:t>
            </w:r>
          </w:p>
        </w:tc>
      </w:tr>
      <w:tr>
        <w:trPr>
          <w:trHeight w:val="199"/>
        </w:trPr>
        <w:tc>
          <w:tcPr>
            <w:tcW w:w="62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liability</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4,622</w:t>
            </w:r>
          </w:p>
        </w:tc>
      </w:tr>
      <w:tr>
        <w:trPr>
          <w:trHeight w:val="20"/>
        </w:trPr>
        <w:tc>
          <w:tcPr>
            <w:tcW w:w="6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119"/>
        <w:spacing w:after="0" w:line="282" w:lineRule="auto"/>
        <w:rPr>
          <w:sz w:val="20"/>
          <w:szCs w:val="20"/>
          <w:color w:val="auto"/>
        </w:rPr>
      </w:pPr>
      <w:r>
        <w:rPr>
          <w:rFonts w:ascii="Times New Roman" w:cs="Times New Roman" w:eastAsia="Times New Roman" w:hAnsi="Times New Roman"/>
          <w:sz w:val="18"/>
          <w:szCs w:val="18"/>
          <w:color w:val="auto"/>
        </w:rPr>
        <w:t>Revenue recognized from the redemption of gift cards that was included in other accrued expenses and current liabilities at the beginning of the year was as follows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30,</w:t>
            </w:r>
          </w:p>
        </w:tc>
        <w:tc>
          <w:tcPr>
            <w:tcW w:w="24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9"/>
        </w:trPr>
        <w:tc>
          <w:tcPr>
            <w:tcW w:w="57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7"/>
                <w:szCs w:val="17"/>
                <w:color w:val="auto"/>
              </w:rPr>
            </w:pPr>
          </w:p>
        </w:tc>
      </w:tr>
      <w:tr>
        <w:trPr>
          <w:trHeight w:val="210"/>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 from gift card liability balance at the beginning of the year</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227" w:lineRule="exact"/>
        <w:rPr>
          <w:sz w:val="20"/>
          <w:szCs w:val="20"/>
          <w:color w:val="auto"/>
        </w:rPr>
      </w:pPr>
    </w:p>
    <w:p>
      <w:pPr>
        <w:jc w:val="both"/>
        <w:ind w:left="60" w:right="319"/>
        <w:spacing w:after="0" w:line="282" w:lineRule="auto"/>
        <w:rPr>
          <w:sz w:val="20"/>
          <w:szCs w:val="20"/>
          <w:color w:val="auto"/>
        </w:rPr>
      </w:pPr>
      <w:r>
        <w:rPr>
          <w:rFonts w:ascii="Times New Roman" w:cs="Times New Roman" w:eastAsia="Times New Roman" w:hAnsi="Times New Roman"/>
          <w:sz w:val="18"/>
          <w:szCs w:val="18"/>
          <w:color w:val="auto"/>
        </w:rPr>
        <w:t>The Company does not currently incur costs to obtain or fulfill a contract that would be considered contract assets under Topic 606.</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Nature of leases</w:t>
      </w:r>
    </w:p>
    <w:p>
      <w:pPr>
        <w:spacing w:after="0" w:line="227"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The Company’s operations utilize property, facilities, equipment and vehicles leased from others. Additionally, the Company has various contracts with vendors that have been determined to contain an embedded lease in accordance with Topic 842.</w:t>
      </w:r>
    </w:p>
    <w:p>
      <w:pPr>
        <w:spacing w:after="0" w:line="1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As of March 30, 2022, the Company had three leases that it had entered into, but had not yet commenced. The Company does not have control of the property until lease commencement.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Building and facility leases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 majority of the Company’s building and facilities leases are classified as operating leases; however, the Company currently has two facilities and ten equipment leases that are classified as finance leases.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Restaurants are operated under lease arrangements that generally provide for a fixed base rent and, in some instances, contingent rent based on a percentage of gross operating profit or net revenues in excess of a defined amount. Additionally, a number of the Company’s leases have payments, which increase at pre-determined dates based on the change in the consumer price index. For all leases, the Company also reimburses the landlord for non-lease components, or items that are not considered components of a contract, such as CAM, property tax and insurance costs. While the Company determined not to separate lease and non-lease components, these payments are based on actual costs, making them variable consideration and excluding them from the calculations of the ROU asset and lease liability.</w:t>
      </w:r>
    </w:p>
    <w:p>
      <w:pPr>
        <w:spacing w:after="0" w:line="189"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The initial terms of land and restaurant building leases are generally 20 years, exclusive of options to renew. These leases typically have four 5-year renewal options, which have generally been excluded in the calculation of the ROU asset and lease liability, as they are not considered reasonably certain to be exercised, unless (1) the renewal had already occurred as of the time of adoption of Topic 842, or (2) there have been significant leasehold improvements that have a useful life that extend past the original lease term. Furthermore, there are no residual value guarantees and no restrictions imposed by the lease.</w:t>
      </w:r>
    </w:p>
    <w:p>
      <w:pPr>
        <w:spacing w:after="0" w:line="187"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During the thirteen weeks ended March 30, 2022, the Company reassessed the lease terms on four restaurants due to certain triggering events, such as the addition of significant leasehold improvements with useful lives that extend past the current lease expiration, the decision to terminate a lease, or the decision to renew. As a result of the reassessment, an additional $2.5 million of ROU asset and lease liabilities for the thirteen weeks ended March 30, 2022, were recognized and will be amortized over the new lease term. During the thirteen weeks ended March 31, 2021, the Company reassessed the lease terms on seven restaurants due to certain triggering events, such as the addition of significant leasehold improvements with useful lives that extend past the current lease expiration, the decision to terminate a lease, or the decision to renew. This reassessment resulted in an additional $4.7 million of ROU asset and lease liabilities for the thirteen weeks ended March 31, 2021, which were recognized and will be amortized over the new lease term. The reassessments did not have any impact on the original lease classification. Additionally, as the Company adopted all practical expedients available under Topic 842, no reallocation between lease and non-lease components was necessary.</w:t>
      </w:r>
    </w:p>
    <w:p>
      <w:pPr>
        <w:spacing w:after="0" w:line="192"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The Company also subleases facilities to certain franchisees and other non-related parties which are also considered operating leases. Sublease income also includes contingent rental income based on net revenues. The vast majority of these leases have rights to extend terms via fixed rental increases. However, none of these leases have early termination rights, the right to purchase the premises or any residual value guarantees. The Company does not have any related party leases.</w:t>
      </w:r>
    </w:p>
    <w:p>
      <w:pPr>
        <w:spacing w:after="0" w:line="164" w:lineRule="exact"/>
        <w:rPr>
          <w:sz w:val="20"/>
          <w:szCs w:val="20"/>
          <w:color w:val="auto"/>
        </w:rPr>
      </w:pPr>
    </w:p>
    <w:p>
      <w:pPr>
        <w:ind w:left="60" w:right="499"/>
        <w:spacing w:after="0" w:line="261" w:lineRule="auto"/>
        <w:rPr>
          <w:sz w:val="20"/>
          <w:szCs w:val="20"/>
          <w:color w:val="auto"/>
        </w:rPr>
      </w:pPr>
      <w:r>
        <w:rPr>
          <w:rFonts w:ascii="Times New Roman" w:cs="Times New Roman" w:eastAsia="Times New Roman" w:hAnsi="Times New Roman"/>
          <w:sz w:val="18"/>
          <w:szCs w:val="18"/>
          <w:color w:val="auto"/>
        </w:rPr>
        <w:t>During the thirteen weeks ended March 30, 2022, the Company did not record any non-cash impairment charges. The Company recorded a less than $0.1 million non-cash impairment charge for the thirteen weeks ended March 31, 2021 related to one restaurant closed in 2019. See Note 1, “Basis of Presentation and Summary of Significant Accounting Policies – Impairment of Long-Lived Assets and ROU Assets” for additional information.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Equipment</w:t>
      </w:r>
    </w:p>
    <w:p>
      <w:pPr>
        <w:spacing w:after="0" w:line="229" w:lineRule="exact"/>
        <w:rPr>
          <w:sz w:val="20"/>
          <w:szCs w:val="20"/>
          <w:color w:val="auto"/>
        </w:rPr>
      </w:pPr>
    </w:p>
    <w:p>
      <w:pPr>
        <w:jc w:val="both"/>
        <w:ind w:left="60" w:right="139"/>
        <w:spacing w:after="0" w:line="266" w:lineRule="auto"/>
        <w:rPr>
          <w:sz w:val="20"/>
          <w:szCs w:val="20"/>
          <w:color w:val="auto"/>
        </w:rPr>
      </w:pPr>
      <w:r>
        <w:rPr>
          <w:rFonts w:ascii="Times New Roman" w:cs="Times New Roman" w:eastAsia="Times New Roman" w:hAnsi="Times New Roman"/>
          <w:sz w:val="18"/>
          <w:szCs w:val="18"/>
          <w:color w:val="auto"/>
        </w:rPr>
        <w:t>Leases of equipment primarily consist of restaurant equipment, copiers and vehicles. These leases are fixed payments with no variable component. Additionally, no optional renewal periods have been included in the calculation of the ROU asset, there are no residual value guarantees and no restrictions imposed.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Significant Assumptions and Judgments</w:t>
      </w:r>
    </w:p>
    <w:p>
      <w:pPr>
        <w:spacing w:after="0" w:line="227" w:lineRule="exact"/>
        <w:rPr>
          <w:sz w:val="20"/>
          <w:szCs w:val="20"/>
          <w:color w:val="auto"/>
        </w:rPr>
      </w:pPr>
    </w:p>
    <w:p>
      <w:pPr>
        <w:ind w:left="60" w:right="879"/>
        <w:spacing w:after="0" w:line="282" w:lineRule="auto"/>
        <w:rPr>
          <w:sz w:val="20"/>
          <w:szCs w:val="20"/>
          <w:color w:val="auto"/>
        </w:rPr>
      </w:pPr>
      <w:r>
        <w:rPr>
          <w:rFonts w:ascii="Times New Roman" w:cs="Times New Roman" w:eastAsia="Times New Roman" w:hAnsi="Times New Roman"/>
          <w:sz w:val="18"/>
          <w:szCs w:val="18"/>
          <w:color w:val="auto"/>
        </w:rPr>
        <w:t>In applying the requirements of Topic 842, the Company made significant assumptions and judgments related to determination of whether a contract contains a lease and the discount rate used for the lease.</w:t>
      </w:r>
    </w:p>
    <w:p>
      <w:pPr>
        <w:spacing w:after="0" w:line="162"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In determining if any of the Company’s contracts contain a lease, the Company made assumptions and judgments related to its ability to direct the use of any assets stated in the contract and the likelihood of renewing any short-term contracts for a period extending past twelve months.</w:t>
      </w:r>
    </w:p>
    <w:p>
      <w:pPr>
        <w:spacing w:after="0" w:line="176" w:lineRule="exact"/>
        <w:rPr>
          <w:sz w:val="20"/>
          <w:szCs w:val="20"/>
          <w:color w:val="auto"/>
        </w:rPr>
      </w:pPr>
    </w:p>
    <w:p>
      <w:pPr>
        <w:jc w:val="both"/>
        <w:ind w:left="60" w:right="219"/>
        <w:spacing w:after="0" w:line="266" w:lineRule="auto"/>
        <w:rPr>
          <w:sz w:val="20"/>
          <w:szCs w:val="20"/>
          <w:color w:val="auto"/>
        </w:rPr>
      </w:pPr>
      <w:r>
        <w:rPr>
          <w:rFonts w:ascii="Times New Roman" w:cs="Times New Roman" w:eastAsia="Times New Roman" w:hAnsi="Times New Roman"/>
          <w:sz w:val="18"/>
          <w:szCs w:val="18"/>
          <w:color w:val="auto"/>
        </w:rPr>
        <w:t>The Company also made significant assumptions and judgments in determining an appropriate discount rate for property leases. These included using a consistent discount rate for a portfolio of leases entered into at varying dates, using the full 20-year term of the lease, excluding any options, and using the total minimum lease payments. The Company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20"/>
        <w:spacing w:after="0" w:line="282" w:lineRule="auto"/>
        <w:rPr>
          <w:sz w:val="20"/>
          <w:szCs w:val="20"/>
          <w:color w:val="auto"/>
        </w:rPr>
      </w:pPr>
      <w:r>
        <w:rPr>
          <w:rFonts w:ascii="Times New Roman" w:cs="Times New Roman" w:eastAsia="Times New Roman" w:hAnsi="Times New Roman"/>
          <w:sz w:val="18"/>
          <w:szCs w:val="18"/>
          <w:color w:val="auto"/>
        </w:rPr>
        <w:t>utilizes a third-party valuation firm in determining the discount rate, based on the above assumptions. For all other leases, the Company uses the discount rate implicit in the lease, or the Company’s incremental borrowing rate.</w:t>
      </w:r>
    </w:p>
    <w:p>
      <w:pPr>
        <w:spacing w:after="0" w:line="162" w:lineRule="exact"/>
        <w:rPr>
          <w:sz w:val="20"/>
          <w:szCs w:val="20"/>
          <w:color w:val="auto"/>
        </w:rPr>
      </w:pPr>
    </w:p>
    <w:p>
      <w:pPr>
        <w:ind w:left="60" w:right="660"/>
        <w:spacing w:after="0" w:line="266" w:lineRule="auto"/>
        <w:rPr>
          <w:sz w:val="20"/>
          <w:szCs w:val="20"/>
          <w:color w:val="auto"/>
        </w:rPr>
      </w:pPr>
      <w:r>
        <w:rPr>
          <w:rFonts w:ascii="Times New Roman" w:cs="Times New Roman" w:eastAsia="Times New Roman" w:hAnsi="Times New Roman"/>
          <w:sz w:val="18"/>
          <w:szCs w:val="18"/>
          <w:color w:val="auto"/>
        </w:rPr>
        <w:t>As the Company has adopted the practical expedient not to separate lease and non-lease components, no significant assumptions or judgments were necessary in allocating consideration between these components, for all classes of underlying assets.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total lease cost, disaggregated by underlying asset (in thousands):</w:t>
      </w:r>
    </w:p>
    <w:p>
      <w:pPr>
        <w:spacing w:after="0" w:line="31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200" w:type="dxa"/>
            <w:vAlign w:val="bottom"/>
          </w:tcPr>
          <w:p>
            <w:pPr>
              <w:spacing w:after="0"/>
              <w:rPr>
                <w:sz w:val="10"/>
                <w:szCs w:val="10"/>
                <w:color w:val="auto"/>
              </w:rPr>
            </w:pPr>
          </w:p>
        </w:tc>
        <w:tc>
          <w:tcPr>
            <w:tcW w:w="880" w:type="dxa"/>
            <w:vAlign w:val="bottom"/>
            <w:gridSpan w:val="3"/>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200" w:type="dxa"/>
            <w:vAlign w:val="bottom"/>
          </w:tcPr>
          <w:p>
            <w:pPr>
              <w:spacing w:after="0"/>
              <w:rPr>
                <w:sz w:val="10"/>
                <w:szCs w:val="10"/>
                <w:color w:val="auto"/>
              </w:rPr>
            </w:pPr>
          </w:p>
        </w:tc>
        <w:tc>
          <w:tcPr>
            <w:tcW w:w="920" w:type="dxa"/>
            <w:vAlign w:val="bottom"/>
            <w:gridSpan w:val="3"/>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0" w:type="dxa"/>
            <w:vAlign w:val="bottom"/>
          </w:tcPr>
          <w:p>
            <w:pPr>
              <w:spacing w:after="0"/>
              <w:rPr>
                <w:sz w:val="1"/>
                <w:szCs w:val="1"/>
                <w:color w:val="auto"/>
              </w:rPr>
            </w:pPr>
          </w:p>
        </w:tc>
      </w:tr>
      <w:tr>
        <w:trPr>
          <w:trHeight w:val="209"/>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2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6,175</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6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total lease cost on the condensed consolidated statements of income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30, 2022</w:t>
            </w:r>
          </w:p>
        </w:tc>
        <w:tc>
          <w:tcPr>
            <w:tcW w:w="1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10"/>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Occupancy and other operating expenses</w:t>
            </w:r>
          </w:p>
        </w:tc>
        <w:tc>
          <w:tcPr>
            <w:tcW w:w="2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6,231</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 – General &amp; administrative</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Depreciation and amortization</w:t>
            </w:r>
          </w:p>
        </w:tc>
        <w:tc>
          <w:tcPr>
            <w:tcW w:w="2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cost – Interest expense</w:t>
            </w:r>
          </w:p>
        </w:tc>
        <w:tc>
          <w:tcPr>
            <w:tcW w:w="2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cost - Closed-store reserve</w:t>
            </w:r>
          </w:p>
        </w:tc>
        <w:tc>
          <w:tcPr>
            <w:tcW w:w="20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r>
      <w:tr>
        <w:trPr>
          <w:trHeight w:val="20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0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6,588</w:t>
            </w:r>
          </w:p>
        </w:tc>
      </w:tr>
      <w:tr>
        <w:trPr>
          <w:trHeight w:val="858"/>
        </w:trPr>
        <w:tc>
          <w:tcPr>
            <w:tcW w:w="4140" w:type="dxa"/>
            <w:vAlign w:val="bottom"/>
          </w:tcPr>
          <w:p>
            <w:pPr>
              <w:spacing w:after="0"/>
              <w:rPr>
                <w:sz w:val="24"/>
                <w:szCs w:val="24"/>
                <w:color w:val="auto"/>
              </w:rPr>
            </w:pPr>
          </w:p>
        </w:tc>
        <w:tc>
          <w:tcPr>
            <w:tcW w:w="202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0"/>
        </w:trPr>
        <w:tc>
          <w:tcPr>
            <w:tcW w:w="41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9020"/>
          </w:cols>
          <w:pgMar w:left="1440" w:top="513" w:right="1439" w:bottom="1440" w:gutter="0" w:footer="0" w:header="0"/>
        </w:sectPr>
      </w:pPr>
    </w:p>
    <w:bookmarkStart w:id="24" w:name="page25"/>
    <w:bookmarkEnd w:id="24"/>
    <w:p>
      <w:pPr>
        <w:ind w:left="6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0" w:right="760"/>
        <w:spacing w:after="0" w:line="282" w:lineRule="auto"/>
        <w:rPr>
          <w:sz w:val="20"/>
          <w:szCs w:val="20"/>
          <w:color w:val="auto"/>
        </w:rPr>
      </w:pPr>
      <w:r>
        <w:rPr>
          <w:rFonts w:ascii="Times New Roman" w:cs="Times New Roman" w:eastAsia="Times New Roman" w:hAnsi="Times New Roman"/>
          <w:sz w:val="18"/>
          <w:szCs w:val="18"/>
          <w:color w:val="auto"/>
        </w:rPr>
        <w:t>During the thirteen weeks ended March 30, 2022 and March 31, 2021, the Company had the following cash and non-cash activities associated with its leases (dollars in thousands):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March 30, 2022</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3"/>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Property</w:t>
            </w:r>
          </w:p>
        </w:tc>
        <w:tc>
          <w:tcPr>
            <w:tcW w:w="240" w:type="dxa"/>
            <w:vAlign w:val="bottom"/>
          </w:tcPr>
          <w:p>
            <w:pPr>
              <w:spacing w:after="0"/>
              <w:rPr>
                <w:sz w:val="10"/>
                <w:szCs w:val="10"/>
                <w:color w:val="auto"/>
              </w:rPr>
            </w:pPr>
          </w:p>
        </w:tc>
        <w:tc>
          <w:tcPr>
            <w:tcW w:w="70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Equipment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5"/>
              </w:rPr>
              <w:t>Leases</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2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Operating cash flows used for operating leases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6,993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Financing cash flows used for finance leases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ROU assets obtained in exchange for lease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ROU assets obtained in exchange for lease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Finance lease ROU assets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Derecognition of ROU assets due to terminations, impairment or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modifications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20"/>
                <w:szCs w:val="20"/>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Weighted-average remaining years in lease term—finance leases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Weighted-average remaining years in lease term—operating leases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Weighted-average discount rate—finance leases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Weighted-average discount rate—operating leases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Information regarding the Company’s minimum future lease obligations as of March 30, 2022 is as follows (in thousands):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100" w:type="dxa"/>
            <w:vAlign w:val="bottom"/>
          </w:tcPr>
          <w:p>
            <w:pPr>
              <w:spacing w:after="0"/>
              <w:rPr>
                <w:sz w:val="15"/>
                <w:szCs w:val="15"/>
                <w:color w:val="auto"/>
              </w:rPr>
            </w:pPr>
          </w:p>
        </w:tc>
        <w:tc>
          <w:tcPr>
            <w:tcW w:w="1760" w:type="dxa"/>
            <w:vAlign w:val="bottom"/>
            <w:gridSpan w:val="4"/>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117"/>
        </w:trPr>
        <w:tc>
          <w:tcPr>
            <w:tcW w:w="5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5"/>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16"/>
              <w:spacing w:after="0" w:line="118" w:lineRule="exact"/>
              <w:rPr>
                <w:sz w:val="20"/>
                <w:szCs w:val="20"/>
                <w:color w:val="auto"/>
              </w:rPr>
            </w:pPr>
            <w:r>
              <w:rPr>
                <w:rFonts w:ascii="Times New Roman" w:cs="Times New Roman" w:eastAsia="Times New Roman" w:hAnsi="Times New Roman"/>
                <w:sz w:val="13"/>
                <w:szCs w:val="13"/>
                <w:b w:val="1"/>
                <w:bCs w:val="1"/>
                <w:color w:val="auto"/>
              </w:rPr>
              <w:t>Minimum</w:t>
            </w:r>
          </w:p>
        </w:tc>
        <w:tc>
          <w:tcPr>
            <w:tcW w:w="0" w:type="dxa"/>
            <w:vAlign w:val="bottom"/>
          </w:tcPr>
          <w:p>
            <w:pPr>
              <w:spacing w:after="0"/>
              <w:rPr>
                <w:sz w:val="1"/>
                <w:szCs w:val="1"/>
                <w:color w:val="auto"/>
              </w:rPr>
            </w:pPr>
          </w:p>
        </w:tc>
      </w:tr>
      <w:tr>
        <w:trPr>
          <w:trHeight w:val="149"/>
        </w:trPr>
        <w:tc>
          <w:tcPr>
            <w:tcW w:w="6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Years Ending</w:t>
            </w:r>
          </w:p>
        </w:tc>
        <w:tc>
          <w:tcPr>
            <w:tcW w:w="1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Lease</w:t>
            </w:r>
          </w:p>
        </w:tc>
        <w:tc>
          <w:tcPr>
            <w:tcW w:w="100" w:type="dxa"/>
            <w:vAlign w:val="bottom"/>
          </w:tcPr>
          <w:p>
            <w:pPr>
              <w:spacing w:after="0"/>
              <w:rPr>
                <w:sz w:val="12"/>
                <w:szCs w:val="12"/>
                <w:color w:val="auto"/>
              </w:rPr>
            </w:pPr>
          </w:p>
        </w:tc>
        <w:tc>
          <w:tcPr>
            <w:tcW w:w="74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9"/>
              </w:rPr>
              <w:t>Sublease</w:t>
            </w:r>
          </w:p>
        </w:tc>
        <w:tc>
          <w:tcPr>
            <w:tcW w:w="0" w:type="dxa"/>
            <w:vAlign w:val="bottom"/>
          </w:tcPr>
          <w:p>
            <w:pPr>
              <w:spacing w:after="0"/>
              <w:rPr>
                <w:sz w:val="1"/>
                <w:szCs w:val="1"/>
                <w:color w:val="auto"/>
              </w:rPr>
            </w:pPr>
          </w:p>
        </w:tc>
      </w:tr>
      <w:tr>
        <w:trPr>
          <w:trHeight w:val="173"/>
        </w:trPr>
        <w:tc>
          <w:tcPr>
            <w:tcW w:w="60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Pr>
          <w:p>
            <w:pPr>
              <w:spacing w:after="0"/>
              <w:rPr>
                <w:sz w:val="15"/>
                <w:szCs w:val="15"/>
                <w:color w:val="auto"/>
              </w:rPr>
            </w:pPr>
          </w:p>
        </w:tc>
        <w:tc>
          <w:tcPr>
            <w:tcW w:w="74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0" w:type="dxa"/>
            <w:vAlign w:val="bottom"/>
          </w:tcPr>
          <w:p>
            <w:pPr>
              <w:spacing w:after="0"/>
              <w:rPr>
                <w:sz w:val="1"/>
                <w:szCs w:val="1"/>
                <w:color w:val="auto"/>
              </w:rPr>
            </w:pPr>
          </w:p>
        </w:tc>
      </w:tr>
      <w:tr>
        <w:trPr>
          <w:trHeight w:val="210"/>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28, 2022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27, 2023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25, 2024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31, 2025</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0" w:type="dxa"/>
            <w:vAlign w:val="bottom"/>
          </w:tcPr>
          <w:p>
            <w:pPr>
              <w:spacing w:after="0"/>
              <w:rPr>
                <w:sz w:val="1"/>
                <w:szCs w:val="1"/>
                <w:color w:val="auto"/>
              </w:rPr>
            </w:pPr>
          </w:p>
        </w:tc>
      </w:tr>
      <w:tr>
        <w:trPr>
          <w:trHeight w:val="216"/>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30, 2026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0" w:type="dxa"/>
            <w:vAlign w:val="bottom"/>
          </w:tcPr>
          <w:p>
            <w:pPr>
              <w:spacing w:after="0"/>
              <w:rPr>
                <w:sz w:val="1"/>
                <w:szCs w:val="1"/>
                <w:color w:val="auto"/>
              </w:rPr>
            </w:pPr>
          </w:p>
        </w:tc>
      </w:tr>
      <w:tr>
        <w:trPr>
          <w:trHeight w:val="216"/>
        </w:trPr>
        <w:tc>
          <w:tcPr>
            <w:tcW w:w="6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130,202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23,165</w:t>
            </w:r>
          </w:p>
        </w:tc>
        <w:tc>
          <w:tcPr>
            <w:tcW w:w="0" w:type="dxa"/>
            <w:vAlign w:val="bottom"/>
          </w:tcPr>
          <w:p>
            <w:pPr>
              <w:spacing w:after="0"/>
              <w:rPr>
                <w:sz w:val="1"/>
                <w:szCs w:val="1"/>
                <w:color w:val="auto"/>
              </w:rPr>
            </w:pPr>
          </w:p>
        </w:tc>
      </w:tr>
      <w:tr>
        <w:trPr>
          <w:trHeight w:val="209"/>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243,478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38,760</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Less: imputed interest (1.53% - 4.42%)</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tcBorders>
              <w:bottom w:val="single" w:sz="8" w:color="CCEEFF"/>
            </w:tcBorders>
            <w:gridSpan w:val="2"/>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(445)</w:t>
            </w:r>
          </w:p>
        </w:tc>
        <w:tc>
          <w:tcPr>
            <w:tcW w:w="1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(54,025)</w:t>
            </w:r>
          </w:p>
        </w:tc>
        <w:tc>
          <w:tcPr>
            <w:tcW w:w="1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obligations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(20,052)</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Short-Term Leases</w:t>
      </w:r>
    </w:p>
    <w:p>
      <w:pPr>
        <w:spacing w:after="0" w:line="227" w:lineRule="exact"/>
        <w:rPr>
          <w:sz w:val="20"/>
          <w:szCs w:val="20"/>
          <w:color w:val="auto"/>
        </w:rPr>
      </w:pPr>
    </w:p>
    <w:p>
      <w:pPr>
        <w:ind w:left="600" w:right="800"/>
        <w:spacing w:after="0" w:line="261" w:lineRule="auto"/>
        <w:rPr>
          <w:sz w:val="20"/>
          <w:szCs w:val="20"/>
          <w:color w:val="auto"/>
        </w:rPr>
      </w:pPr>
      <w:r>
        <w:rPr>
          <w:rFonts w:ascii="Times New Roman" w:cs="Times New Roman" w:eastAsia="Times New Roman" w:hAnsi="Times New Roman"/>
          <w:sz w:val="18"/>
          <w:szCs w:val="18"/>
          <w:color w:val="auto"/>
        </w:rPr>
        <w:t>The Company has multiple short-term leases, which have terms of less than 12 months, and thus were excluded from the recognition requirements of Topic 842. The Company has recognized these lease payments in its condensed consolidated statements of income on a straight-line basis over the lease term and variable lease payments in the period in which the obligation for those payments was incurred.</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Lessor</w:t>
      </w:r>
    </w:p>
    <w:p>
      <w:pPr>
        <w:spacing w:after="0" w:line="229" w:lineRule="exact"/>
        <w:rPr>
          <w:sz w:val="20"/>
          <w:szCs w:val="20"/>
          <w:color w:val="auto"/>
        </w:rPr>
      </w:pPr>
    </w:p>
    <w:p>
      <w:pPr>
        <w:ind w:left="600" w:right="820"/>
        <w:spacing w:after="0" w:line="261" w:lineRule="auto"/>
        <w:rPr>
          <w:sz w:val="20"/>
          <w:szCs w:val="20"/>
          <w:color w:val="auto"/>
        </w:rPr>
      </w:pPr>
      <w:r>
        <w:rPr>
          <w:rFonts w:ascii="Times New Roman" w:cs="Times New Roman" w:eastAsia="Times New Roman" w:hAnsi="Times New Roman"/>
          <w:sz w:val="18"/>
          <w:szCs w:val="18"/>
          <w:color w:val="auto"/>
        </w:rPr>
        <w:t>The Company is a lessor for certain property, facilities and equipment owned by the Company and leased to others, principally franchisees, under non-cancelable leases with initial terms ranging from three to 20 years. These lease agreements generally provide for a fixed base rent and, in some instances, contingent rent based on a percentage of gross operating profit or net revenues. All leases are considered operating leases.</w:t>
      </w:r>
    </w:p>
    <w:p>
      <w:pPr>
        <w:sectPr>
          <w:pgSz w:w="11900" w:h="16838" w:orient="portrait"/>
          <w:cols w:equalWidth="0" w:num="1">
            <w:col w:w="10100"/>
          </w:cols>
          <w:pgMar w:left="900" w:top="513" w:right="8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10100"/>
          </w:cols>
          <w:pgMar w:left="900" w:top="513" w:right="899"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For the leases in which the Company is the lessor, there are options to extend the lease. However, there are no terms and conditions to terminate the lease, no right to purchase premises and no residual value guarantees. Additionally, there are no related party leases.</w:t>
      </w:r>
    </w:p>
    <w:p>
      <w:pPr>
        <w:spacing w:after="0" w:line="1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The Company received $0.1 million of lease income from company-owned locations for each of the thirteen weeks ended March 30, 2022 and March 31,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that are subject to risks and uncertainties. All statements other than statements of historical fact included in this report are forward-looking statements. Forward-looking statements discuss our current expectations and projections relating to our financial condition, results of operations, plans, objectives, future performance and business. You can identify forward-looking statements because they do not relate strictly to historical or current facts. These statements may include words such as “aim,” “anticipate,” “believe,” “estimate,” “expect,” “forecast,” “outlook,” “potential,” “project,” “projection,” “plan,” “intend,” “seek,” “may,” “could,” “would,” “will,” “should,” “can,” “can have,” “likely,” the negatives thereof and other words and terms of similar meaning in connection with any discussion of the timing or nature of future operating or financial performance or other events.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 All forward-looking statements are subject to risks and uncertainties that could cause actual results to differ materially from those that we expected.</w:t>
      </w:r>
    </w:p>
    <w:p>
      <w:pPr>
        <w:spacing w:after="0" w:line="190"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While we believe that our assumptions are reasonable, 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report in the context of the factors that could cause outcomes to differ materially from our expectations. These factors include, but are not limited to:</w:t>
      </w:r>
    </w:p>
    <w:p>
      <w:pPr>
        <w:spacing w:after="0" w:line="183" w:lineRule="exact"/>
        <w:rPr>
          <w:sz w:val="20"/>
          <w:szCs w:val="20"/>
          <w:color w:val="auto"/>
        </w:rPr>
      </w:pPr>
    </w:p>
    <w:p>
      <w:pPr>
        <w:ind w:left="720" w:right="139" w:hanging="319"/>
        <w:spacing w:after="0" w:line="257"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COVID-19 pandemic on our company, our employees, our customers, our partners, our industry and the economy as a whole, as well as our franchisees’ ability to maintain operations in their individual restaurants;</w:t>
      </w:r>
    </w:p>
    <w:p>
      <w:pPr>
        <w:spacing w:after="0" w:line="1" w:lineRule="exact"/>
        <w:rPr>
          <w:rFonts w:ascii="Times New Roman" w:cs="Times New Roman" w:eastAsia="Times New Roman" w:hAnsi="Times New Roman"/>
          <w:sz w:val="18"/>
          <w:szCs w:val="18"/>
          <w:color w:val="auto"/>
        </w:rPr>
      </w:pPr>
    </w:p>
    <w:p>
      <w:pPr>
        <w:ind w:left="720" w:right="65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open new restaurants in new and existing markets, including difficulty in finding sites and in negotiating acceptable leases;</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successfully with other quick-service and fast casual restaurants;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to changes in consumer preferences and political and economic conditions;</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employees;</w:t>
      </w:r>
    </w:p>
    <w:p>
      <w:pPr>
        <w:spacing w:after="0" w:line="9" w:lineRule="exact"/>
        <w:rPr>
          <w:rFonts w:ascii="Times New Roman" w:cs="Times New Roman" w:eastAsia="Times New Roman" w:hAnsi="Times New Roman"/>
          <w:sz w:val="18"/>
          <w:szCs w:val="18"/>
          <w:color w:val="auto"/>
        </w:rPr>
      </w:pPr>
    </w:p>
    <w:p>
      <w:pPr>
        <w:ind w:left="720" w:right="85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vulnerability to conditions in the greater Los Angeles area and to natural disasters given the geographic concentration and real estate intensive nature of our business;</w:t>
      </w:r>
    </w:p>
    <w:p>
      <w:pPr>
        <w:ind w:left="720" w:right="29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continue to incur significant impairment of certain of our assets, in particular in our new markets;</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food and supply costs, especially for chicken;</w:t>
      </w:r>
    </w:p>
    <w:p>
      <w:pPr>
        <w:spacing w:after="0" w:line="9" w:lineRule="exact"/>
        <w:rPr>
          <w:rFonts w:ascii="Times New Roman" w:cs="Times New Roman" w:eastAsia="Times New Roman" w:hAnsi="Times New Roman"/>
          <w:sz w:val="18"/>
          <w:szCs w:val="18"/>
          <w:color w:val="auto"/>
        </w:rPr>
      </w:pPr>
    </w:p>
    <w:p>
      <w:pPr>
        <w:ind w:left="720" w:right="9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and negative publicity, whether or not valid, and our ability to respond to and effectively manage the accelerated impact of social media;</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expand our digital business, delivery orders and catering;</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about food safety and quality and about food-borne illness, particularly avian flu;</w:t>
      </w:r>
    </w:p>
    <w:p>
      <w:pPr>
        <w:spacing w:after="0" w:line="9" w:lineRule="exact"/>
        <w:rPr>
          <w:rFonts w:ascii="Times New Roman" w:cs="Times New Roman" w:eastAsia="Times New Roman" w:hAnsi="Times New Roman"/>
          <w:sz w:val="18"/>
          <w:szCs w:val="18"/>
          <w:color w:val="auto"/>
        </w:rPr>
      </w:pPr>
    </w:p>
    <w:p>
      <w:pPr>
        <w:ind w:left="720" w:right="39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frequent and timely deliveries of food and supplies and our dependence on a single supplier to distribute substantially all of our products to our restaurants;</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service our level of indebtedness;</w:t>
      </w:r>
    </w:p>
    <w:p>
      <w:pPr>
        <w:spacing w:after="0" w:line="9" w:lineRule="exact"/>
        <w:rPr>
          <w:rFonts w:ascii="Times New Roman" w:cs="Times New Roman" w:eastAsia="Times New Roman" w:hAnsi="Times New Roman"/>
          <w:sz w:val="18"/>
          <w:szCs w:val="18"/>
          <w:color w:val="auto"/>
        </w:rPr>
      </w:pPr>
    </w:p>
    <w:p>
      <w:pPr>
        <w:ind w:left="720" w:right="65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success of our marketing programs, new menu items, advertising campaigns and restaurant designs and remodels;</w:t>
      </w:r>
    </w:p>
    <w:p>
      <w:pPr>
        <w:ind w:left="720" w:right="459" w:hanging="319"/>
        <w:spacing w:after="0" w:line="250" w:lineRule="auto"/>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our franchisees, who may incur financial hardships, lose access to credit, close restaurants, or declare bankruptcy, and our limited control over our franchisees and potential liability for their acts;</w:t>
      </w: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exposure to unexpected costs and losses from our self-insurance programs;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99" w:hanging="319"/>
        <w:spacing w:after="0" w:line="261"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obligations under long-term and non-cancelable leases, and our ability to renew leases at the end of their terms;</w:t>
      </w: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failure of our information technology system or any breach of our network security;</w:t>
      </w:r>
    </w:p>
    <w:p>
      <w:pPr>
        <w:spacing w:after="0" w:line="9" w:lineRule="exact"/>
        <w:rPr>
          <w:rFonts w:ascii="Times New Roman" w:cs="Times New Roman" w:eastAsia="Times New Roman" w:hAnsi="Times New Roman"/>
          <w:sz w:val="18"/>
          <w:szCs w:val="18"/>
          <w:color w:val="auto"/>
        </w:rPr>
      </w:pPr>
    </w:p>
    <w:p>
      <w:pPr>
        <w:ind w:left="720" w:right="199" w:hanging="319"/>
        <w:spacing w:after="0" w:line="250"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security breaches of confidential customer data or personal information in connection with our electronic process of credit and debit card transactions;</w:t>
      </w: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enforce and maintain our trademarks and protect our other proprietary intellectual property;</w:t>
      </w:r>
    </w:p>
    <w:p>
      <w:pPr>
        <w:spacing w:after="0" w:line="9"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government regulation and litigation, including employment and labor laws; and</w:t>
      </w:r>
    </w:p>
    <w:p>
      <w:pPr>
        <w:spacing w:after="0" w:line="9" w:lineRule="exact"/>
        <w:rPr>
          <w:rFonts w:ascii="Times New Roman" w:cs="Times New Roman" w:eastAsia="Times New Roman" w:hAnsi="Times New Roman"/>
          <w:sz w:val="18"/>
          <w:szCs w:val="18"/>
          <w:color w:val="auto"/>
        </w:rPr>
      </w:pPr>
    </w:p>
    <w:p>
      <w:pPr>
        <w:ind w:left="720" w:right="279" w:hanging="319"/>
        <w:spacing w:after="0" w:line="255" w:lineRule="auto"/>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risks set forth in our filings with the SEC from time to time, including under Item 1A, Risk Factors in our annual report on Form 10-K for the year ended December 29, 2021, which filings are available online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ways that we expect. The forward-looking statements included in this report are made only as of the date hereof. We undertake no obligation to publicly update or revise any forward-looking statement as a result of new information, future events or otherwise, except as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60" w:right="179"/>
        <w:spacing w:after="0" w:line="253" w:lineRule="auto"/>
        <w:rPr>
          <w:sz w:val="20"/>
          <w:szCs w:val="20"/>
          <w:color w:val="auto"/>
        </w:rPr>
      </w:pPr>
      <w:r>
        <w:rPr>
          <w:rFonts w:ascii="Times New Roman" w:cs="Times New Roman" w:eastAsia="Times New Roman" w:hAnsi="Times New Roman"/>
          <w:sz w:val="18"/>
          <w:szCs w:val="18"/>
          <w:color w:val="auto"/>
        </w:rPr>
        <w:t>El Pollo Loco is a differentiated and growing restaurant concept that specializes in fire-grilling citrus-marinated chicken and operates in the limited service restaurant (“LSR”) segment. We strive to offer food that integrates the culinary traditions of Mexico with the healthier lifestyle of Los Angeles, a combination that we call “LA-Mex.” Our distinctive menu features our signature product--citrus-marinated fire-grilled chicken--and a variety of Mexican and LA-inspired entrees that we create from our chicken. We serve individual and family-sized chicken meals, a variety of Mexican and LA-inspired entrees, and sides, and, throughout the year, on a limited-time basis, additional proteins like shrimp. Our entrees include favorites such as our Chicken Avocado Burrito, Pollo Fit entrees, chicken tostada salads, and Pollo Bowls. Our famous Creamy Cilantro dressings and salsas are prepared fresh daily, allowing our customers to create their favorite flavor profiles to enhance their culinary experience. Our distinctive menu with better for you and more affordable alternatives appeals to consumers across a wide variety of socio-economic backgrounds and drives our balanced composition of sales throughout the day (our “day-part mix”), including at lunch and dinner.</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COVID-19 Impact</w:t>
      </w:r>
    </w:p>
    <w:p>
      <w:pPr>
        <w:spacing w:after="0" w:line="229" w:lineRule="exact"/>
        <w:rPr>
          <w:sz w:val="20"/>
          <w:szCs w:val="20"/>
          <w:color w:val="auto"/>
        </w:rPr>
      </w:pPr>
    </w:p>
    <w:p>
      <w:pPr>
        <w:ind w:left="60" w:right="99"/>
        <w:spacing w:after="0" w:line="272" w:lineRule="auto"/>
        <w:rPr>
          <w:sz w:val="20"/>
          <w:szCs w:val="20"/>
          <w:color w:val="auto"/>
        </w:rPr>
      </w:pPr>
      <w:r>
        <w:rPr>
          <w:rFonts w:ascii="Times New Roman" w:cs="Times New Roman" w:eastAsia="Times New Roman" w:hAnsi="Times New Roman"/>
          <w:sz w:val="17"/>
          <w:szCs w:val="17"/>
          <w:color w:val="auto"/>
        </w:rPr>
        <w:t>While all of our restaurants had dining rooms open as of March 30, 2022, we continue to experience staffing challenges, which resulted in reduced operating hours and service channels at some of our restaurants during the thirteen weeks ended March 30, 2022 and resulted in higher wage inflation, overtime costs and other labor related costs. Further, we experienced inflationary pressures due to supply chain disruptions that resulted in increased commodity prices and impacted our business and results of operations during the thirteen weeks ended March 30, 2022. We expect these pressures to continue during the rest of fiscal 2022. During the thirteen weeks ended March 30, 2022, we incurred $2.3 million in COVID-19 related expenses, primarily due to leaves of absence and overtime pay. During the thirteen ended March 31, 2021, we incurred $2.8 million in COVID-19 related expenses, primarily due to leaves of absence and overtime pay.</w:t>
      </w:r>
    </w:p>
    <w:p>
      <w:pPr>
        <w:spacing w:after="0" w:line="172" w:lineRule="exact"/>
        <w:rPr>
          <w:sz w:val="20"/>
          <w:szCs w:val="20"/>
          <w:color w:val="auto"/>
        </w:rPr>
      </w:pPr>
    </w:p>
    <w:p>
      <w:pPr>
        <w:ind w:left="60" w:right="319"/>
        <w:spacing w:after="0" w:line="261" w:lineRule="auto"/>
        <w:rPr>
          <w:sz w:val="20"/>
          <w:szCs w:val="20"/>
          <w:color w:val="auto"/>
        </w:rPr>
      </w:pPr>
      <w:r>
        <w:rPr>
          <w:rFonts w:ascii="Times New Roman" w:cs="Times New Roman" w:eastAsia="Times New Roman" w:hAnsi="Times New Roman"/>
          <w:sz w:val="18"/>
          <w:szCs w:val="18"/>
          <w:color w:val="auto"/>
        </w:rPr>
        <w:t>Due to the rapid development and fluidity of this situation, we cannot determine the ultimate impact that the COVID-19 pandemic will have on our condensed consolidated financial condition, liquidity, and future results of operations, and therefore any prediction as to the ultimate materiality of the adverse impact on our condensed consolidated financial condition, liquidity, and future results of operations is uncertain.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Growth Strategies and Outlook</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As of March 30, 2022, we had 481 locations in six states. In fiscal 2021, we opened two new company-operated restaurants, one in Nevada and one in California, and our franchisees opened two new restaurants, one in Texas and one in Louisiana. For the thirteen weeks ended March 30, 2022, one new company-operated restaurant was opened in Nevada, and two new franchised restaurants were opened in California.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82" w:lineRule="auto"/>
        <w:rPr>
          <w:sz w:val="20"/>
          <w:szCs w:val="20"/>
          <w:color w:val="auto"/>
        </w:rPr>
      </w:pPr>
      <w:r>
        <w:rPr>
          <w:rFonts w:ascii="Times New Roman" w:cs="Times New Roman" w:eastAsia="Times New Roman" w:hAnsi="Times New Roman"/>
          <w:sz w:val="18"/>
          <w:szCs w:val="18"/>
          <w:color w:val="auto"/>
        </w:rPr>
        <w:t>We plan to continue to expand our business, drive restaurant sales growth, and enhance our competitive positioning, by executing the following strategies:</w:t>
      </w:r>
    </w:p>
    <w:p>
      <w:pPr>
        <w:spacing w:after="0" w:line="162"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people-first culture;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differentiate the brand;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simplify operations;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new restaurant development.</w:t>
      </w:r>
    </w:p>
    <w:p>
      <w:pPr>
        <w:spacing w:after="0" w:line="225"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To increase comparable restaurant sales, we plan to increase customer frequency, attract new customers, and improve per-person spend. The success of these growth plans is not guaranteed.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Highlights and Trends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For the thirteen weeks ended March 30, 2022, system-wide comparable restaurant sales increased by 7.8% from the comparable period in the prior year. For company-operated restaurants, comparable restaurant sales for the thirteen weeks ended March 30, 2022 increased by 2.3%. For company-operated restaurants, the quarter’s change in comparable restaurant sales consisted of an approximately 6.0% increase in average check size and a decrease in transactions of 3.5%. For franchised restaurants, comparable restaurant sales increased 11.5% for the thirteen weeks ended March 30, 2022. Refer to Comparable Restaurant Sales definition in “Key Performance Indicators” section below.</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Development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restaurant counts at the beginning and end of each of the last three fiscal years and the thirteen weeks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30, 2022, were as follows:</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040" w:type="dxa"/>
            <w:vAlign w:val="bottom"/>
          </w:tcPr>
          <w:p>
            <w:pPr>
              <w:spacing w:after="0"/>
              <w:rPr>
                <w:sz w:val="15"/>
                <w:szCs w:val="15"/>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7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Fiscal Year Ended</w:t>
            </w:r>
          </w:p>
        </w:tc>
        <w:tc>
          <w:tcPr>
            <w:tcW w:w="540" w:type="dxa"/>
            <w:vAlign w:val="bottom"/>
          </w:tcPr>
          <w:p>
            <w:pPr>
              <w:spacing w:after="0"/>
              <w:rPr>
                <w:sz w:val="15"/>
                <w:szCs w:val="15"/>
                <w:color w:val="auto"/>
              </w:rPr>
            </w:pPr>
          </w:p>
        </w:tc>
      </w:tr>
      <w:tr>
        <w:trPr>
          <w:trHeight w:val="142"/>
        </w:trPr>
        <w:tc>
          <w:tcPr>
            <w:tcW w:w="5040" w:type="dxa"/>
            <w:vAlign w:val="bottom"/>
            <w:tcBorders>
              <w:bottom w:val="single" w:sz="8" w:color="CCEEFF"/>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1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r>
      <w:tr>
        <w:trPr>
          <w:trHeight w:val="20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Company-operated restaurant activity:</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Franchised restaurant activity:</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Restaurant sale to franchisee</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Closures</w:t>
            </w:r>
          </w:p>
        </w:tc>
        <w:tc>
          <w:tcPr>
            <w:tcW w:w="1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System-wide restaurant activity:</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Openings</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Closures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Restaurants at end of period</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0"/>
        </w:trPr>
        <w:tc>
          <w:tcPr>
            <w:tcW w:w="50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Remodeling</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 xml:space="preserve">In 2020, we finalized a new restaurant design that we believe will clearly differentiate and communicate our brand, both on the exterior and interior. We believe that our remodels using this new design will result in higher restaurant revenue and a strengthened brand. As of March 30, 2022 we have completed 12 company-operated restaurant remodels and three franchise remodels using the new asset design. In fiscal 2022, we plan to continue our standard practices for remodels, which includes completing a total of 10-15 company and 20-30 franchise remodels using the new design. </w:t>
      </w:r>
      <w:r>
        <w:rPr>
          <w:rFonts w:ascii="Times New Roman" w:cs="Times New Roman" w:eastAsia="Times New Roman" w:hAnsi="Times New Roman"/>
          <w:sz w:val="18"/>
          <w:szCs w:val="18"/>
          <w:color w:val="212529"/>
        </w:rPr>
        <w:t>The cost of our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212529"/>
        </w:rPr>
        <w:t>restaurant remodels varies depending on the scope of the work required, but on average the investment is $0.3 million to $0.4 million per restaurant.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Loco Rewards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Loco Rewards loyalty program offers rewards that incentivize customers to visit our restaurants more often</w:t>
      </w:r>
    </w:p>
    <w:p>
      <w:pPr>
        <w:spacing w:after="0" w:line="27" w:lineRule="exact"/>
        <w:rPr>
          <w:sz w:val="20"/>
          <w:szCs w:val="20"/>
          <w:color w:val="auto"/>
        </w:rPr>
      </w:pPr>
    </w:p>
    <w:p>
      <w:pPr>
        <w:ind w:left="60" w:right="199"/>
        <w:spacing w:after="0" w:line="251" w:lineRule="auto"/>
        <w:rPr>
          <w:sz w:val="20"/>
          <w:szCs w:val="20"/>
          <w:color w:val="auto"/>
        </w:rPr>
      </w:pPr>
      <w:r>
        <w:rPr>
          <w:rFonts w:ascii="Times New Roman" w:cs="Times New Roman" w:eastAsia="Times New Roman" w:hAnsi="Times New Roman"/>
          <w:sz w:val="18"/>
          <w:szCs w:val="18"/>
          <w:color w:val="auto"/>
        </w:rPr>
        <w:t>each month. Customers earn points for each dollar spent and 50 points can be redeemed for a $5 reward to be used for a future purchase. If a customer does not earn or use points within a one-year period, their account is deactivated and all points expire. Additionally, if a reward is not used within six months, it expires.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reward and redeemed, the reward or points have expired, or the likelihood of redemption is remote. A portion of the transaction price is allocated to loyalty points on a pro-rata basis, based on stand-alone selling price, as determined by menu pricing and loyalty point’s terms.</w:t>
      </w:r>
    </w:p>
    <w:p>
      <w:pPr>
        <w:spacing w:after="0" w:line="193"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In addition, customers can earn additional points and free entrées for a variety of engagement activities. As points are available for redemption past the quarter earned, a portion of the revenue associated with the earned points will be deferred until redemption or expiration. As of March 30, 2022 and December 29, 2021, the revenue allocated to loyalty points that had not been redeemed was $0.6 million and $0.7 million, respectively, which is reflected in our accompanying condensed consolidated balance sheets within other accrued expenses and current liabilities. We had over 2.9 million loyalty program members as of March 30, 2022.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accordance with U.S. generally accepted accounting principles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9"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Accounting policies are an integral part of our condensed consolidated financial statements. A thorough understanding of these accounting policies is essential when reviewing our reported results of operations and our financial position. Management believes that our critical accounting policies and estimates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Operations” in our annual report on Form 10-K for the year ended December 29, 2021.</w:t>
      </w:r>
    </w:p>
    <w:p>
      <w:pPr>
        <w:spacing w:after="0" w:line="189" w:lineRule="exact"/>
        <w:rPr>
          <w:sz w:val="20"/>
          <w:szCs w:val="20"/>
          <w:color w:val="auto"/>
        </w:rPr>
      </w:pPr>
    </w:p>
    <w:p>
      <w:pPr>
        <w:ind w:left="60" w:right="45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or uses of estimates since our annual report on Form 10-K for the year ended December 29,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60" w:right="919"/>
        <w:spacing w:after="0" w:line="282" w:lineRule="auto"/>
        <w:rPr>
          <w:sz w:val="20"/>
          <w:szCs w:val="20"/>
          <w:color w:val="auto"/>
        </w:rPr>
      </w:pPr>
      <w:r>
        <w:rPr>
          <w:rFonts w:ascii="Times New Roman" w:cs="Times New Roman" w:eastAsia="Times New Roman" w:hAnsi="Times New Roman"/>
          <w:sz w:val="18"/>
          <w:szCs w:val="18"/>
          <w:color w:val="auto"/>
        </w:rPr>
        <w:t>Recent accounting pronouncements are described in Note 1, “Basis of Presentation and Summary of Significant Accounting Policies” in the Notes to Condensed Consolidated Financial Statements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Our revenue is derived from three primary sources: company-operated restaurant revenue, franchise revenue, which is comprised primarily of franchise royalties and, to a lesser extent, franchise fees and sublease rental income, and franchise advertising fee revenue. See Note 10, “Revenue from Contracts with Customers” in the Notes to Condensed Consolidated Financial Statements above for further details regarding our revenue recognition policy.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229"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229" w:lineRule="exact"/>
        <w:rPr>
          <w:sz w:val="20"/>
          <w:szCs w:val="20"/>
          <w:color w:val="auto"/>
        </w:rPr>
      </w:pPr>
    </w:p>
    <w:p>
      <w:pPr>
        <w:ind w:left="60" w:right="59"/>
        <w:spacing w:after="0" w:line="261" w:lineRule="auto"/>
        <w:rPr>
          <w:sz w:val="20"/>
          <w:szCs w:val="20"/>
          <w:color w:val="auto"/>
        </w:rPr>
      </w:pPr>
      <w:r>
        <w:rPr>
          <w:rFonts w:ascii="Times New Roman" w:cs="Times New Roman" w:eastAsia="Times New Roman" w:hAnsi="Times New Roman"/>
          <w:sz w:val="18"/>
          <w:szCs w:val="18"/>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overtime, the frequency and severity of workers’ compensation claims, health care costs, and the performance of our restaurants.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Occupancy Costs and Other Operating Expenses</w:t>
      </w:r>
    </w:p>
    <w:p>
      <w:pPr>
        <w:spacing w:after="0" w:line="229"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Occupancy costs include rent, common area maintenance (“CAM”), and real estate taxes. Other restaurant operating expenses include the costs of utilities, advertising, credit card processing fees, restaurant supplies, repairs and maintenance, and other restaurant operating costs.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Settlements</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Legal settlements include expenses such as judgments or settlements related to legal matters, legal claims and class action lawsuits.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Expenses</w:t>
      </w:r>
    </w:p>
    <w:p>
      <w:pPr>
        <w:spacing w:after="0" w:line="229" w:lineRule="exact"/>
        <w:rPr>
          <w:sz w:val="20"/>
          <w:szCs w:val="20"/>
          <w:color w:val="auto"/>
        </w:rPr>
      </w:pPr>
    </w:p>
    <w:p>
      <w:pPr>
        <w:ind w:left="60" w:right="399"/>
        <w:spacing w:after="0" w:line="266" w:lineRule="auto"/>
        <w:rPr>
          <w:sz w:val="20"/>
          <w:szCs w:val="20"/>
          <w:color w:val="auto"/>
        </w:rPr>
      </w:pPr>
      <w:r>
        <w:rPr>
          <w:rFonts w:ascii="Times New Roman" w:cs="Times New Roman" w:eastAsia="Times New Roman" w:hAnsi="Times New Roman"/>
          <w:sz w:val="18"/>
          <w:szCs w:val="18"/>
          <w:color w:val="auto"/>
        </w:rPr>
        <w:t>Franchise expenses are primarily comprised of rent expenses incurred on properties leased by us and then sublet to franchisees, expenses incurred in support of franchisee information technology systems, and the franchisee’s portion of advertising expenses.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ind w:left="60" w:right="599"/>
        <w:spacing w:after="0" w:line="282" w:lineRule="auto"/>
        <w:rPr>
          <w:sz w:val="20"/>
          <w:szCs w:val="20"/>
          <w:color w:val="auto"/>
        </w:rPr>
      </w:pPr>
      <w:r>
        <w:rPr>
          <w:rFonts w:ascii="Times New Roman" w:cs="Times New Roman" w:eastAsia="Times New Roman" w:hAnsi="Times New Roman"/>
          <w:sz w:val="18"/>
          <w:szCs w:val="18"/>
          <w:color w:val="auto"/>
        </w:rPr>
        <w:t>Depreciation and amortization primarily consists of the depreciation of property and equipment, including leasehold improvements and equipment.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 on Disposal of Assets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Loss on disposal of assets includes the loss on disposal of assets related to retirements and replacement or write-off of leasehold improvements or equipment.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Closed-Store Reserves</w:t>
      </w:r>
    </w:p>
    <w:p>
      <w:pPr>
        <w:spacing w:after="0" w:line="229"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We review long-lived assets such as property, equipment, and intangibles on a unit-by-unit basis for impairment when events or circumstances indicate the carrying value of the assets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asset’s carrying amount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exceeds its fair value. This process of assessing fair 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w:t>
      </w:r>
    </w:p>
    <w:p>
      <w:pPr>
        <w:spacing w:after="0" w:line="180"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When we close a restaurant, we will evaluate the right of use (“ROU”) asset for impairment, based on anticipated sublease recoveries. The remaining value of the ROU asset is amortized on a straight-line basis, with the expense recognized in closed-store reserve expense, in addition to property tax and CAM charges for closed restaurants.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Interest expense, net, consists primarily of interest on our outstanding debt. Debt issuance costs are amortized at cost over the life of the related debt.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 for income taxes consists of federal and state taxes on our income.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Comparison of Results of Operations</w:t>
      </w:r>
    </w:p>
    <w:p>
      <w:pPr>
        <w:spacing w:after="0" w:line="229"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Our operating results for the thirteen weeks ended March 30, 2022 and March 31, 2021 and expressed as percentages of total revenue, with the exception of cost of operations and company restaurant expenses, which are expressed as percentages of company-operated restaurant revenue, are compared in the tables below.</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4"/>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4"/>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13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Increase / (Decrease)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Income Data</w:t>
            </w: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($,000)</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Company-operated restaurant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(204)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1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110,048</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107,721</w:t>
            </w:r>
          </w:p>
        </w:tc>
        <w:tc>
          <w:tcPr>
            <w:tcW w:w="1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2,327</w:t>
            </w: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operations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Food and paper costs (1)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and related expenses (1)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Occupancy and other operating expenses (1)</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23,845</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23,844</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 restaurant expenses (1)</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84,249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78,967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(520)</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106,728</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101,720</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94.4</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5,008</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6,001</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(2,681)</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receivable agreement income</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(77)</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provision for income taxes</w:t>
            </w: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3,020</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5,561</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(2,541)</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(692)</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(1,849)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right="819" w:hanging="330"/>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for line items relating to cost of operations and company restaurant expenses are calculated with company-operated restaurant revenue as the denominator. All other percentages use total revenue.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Restaurant Revenue</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For the quarter, company-operated restaurant revenue decreased $0.2 million, or 0.2%, from the comparable period in the prior year. The decrease in company-operated restaurant sales was primarily due to a $2.6 million decrease in revenue from the eight company-operated restaurants sold by the Company to an existing franchisee and a $0.5 million decrease in revenue from the closure of three restaurants, in each case, during or subsequent to the first quarter of 2021. In addition, company-operated restaurant revenue was negatively impacted by a $0.3 million decrease in revenue recognized for our loyalty points program.</w:t>
      </w:r>
    </w:p>
    <w:p>
      <w:pPr>
        <w:spacing w:after="0" w:line="187"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This restaurant sales decrease was partially offset by an increase in company-operated comparable restaurant revenue of $2.1 million, or 2.3%. The company-operated comparable restaurant sales increase consisted of an approximately 6.0% increase in average check size, partially offset by a 3.5% decrease in transactions. In addition, company-operated restaurant revenue was favorably impacted by $0.7 million of additional sales from restaurants opened during or after the first quarter of 2021 and a $0.4 million increase in revenue from restaurants that were temporarily closed due to the COVID-19 pandemic during the first quarter of 2021.</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For the quarter, franchise revenue increased $1.6 million, or 21.6%, from the comparable period in the prior year. This increase was primarily due to a franchise comparable restaurant sales increase of 11.5% and the opening of four restaurants and eight company-operated restaurants sold by the Company to an existing franchisee, in each case, during or subsequent to the first quarter of 2021. This franchise revenue increase was partially offset by the closure of two franchise locations during or subsequent to the first quarter of 2021.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Franchise Advertising Fee Revenue</w:t>
      </w:r>
    </w:p>
    <w:p>
      <w:pPr>
        <w:spacing w:after="0" w:line="229" w:lineRule="exact"/>
        <w:rPr>
          <w:sz w:val="20"/>
          <w:szCs w:val="20"/>
          <w:color w:val="auto"/>
        </w:rPr>
      </w:pPr>
    </w:p>
    <w:p>
      <w:pPr>
        <w:jc w:val="both"/>
        <w:ind w:left="60" w:right="499"/>
        <w:spacing w:after="0" w:line="266" w:lineRule="auto"/>
        <w:rPr>
          <w:sz w:val="20"/>
          <w:szCs w:val="20"/>
          <w:color w:val="auto"/>
        </w:rPr>
      </w:pPr>
      <w:r>
        <w:rPr>
          <w:rFonts w:ascii="Times New Roman" w:cs="Times New Roman" w:eastAsia="Times New Roman" w:hAnsi="Times New Roman"/>
          <w:sz w:val="18"/>
          <w:szCs w:val="18"/>
          <w:color w:val="auto"/>
        </w:rPr>
        <w:t>For the quarter, franchise advertising fee revenue increased $0.9 million, or 14.9%, from the comparable period in the prior year. As advertising fee revenue is a percentage of franchisees’ revenue, the quarter fluctuations were due to the increases and decreases noted in franchise revenue above.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Food and Paper Costs</w:t>
      </w:r>
    </w:p>
    <w:p>
      <w:pPr>
        <w:spacing w:after="0" w:line="22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For the quarter, food and paper costs increased $3.3 million, or 13.7%, from the comparable period in the prior year, primarily due to a $2.5 million increase in food costs and a $0.8 million increase in paper costs. The increase in food and paper costs for the quarter resulted primarily from sales mix and commodity inflation, partially offset by lower transactions. For the quarter, food and paper costs as a percentage of company-operated restaurant revenue were 29.5%, up from 25.9% in the comparable period of the prior year primarily due to commodity inflation and an investment in new elevated packaging, partially offset by an increase in pricing.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Labor and Related Expenses</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For the quarter, labor and related expenses increased $1.9 million, or 6.3%, from the comparable period in the prior year. The increase for the quarter was primarily due to a $1.9 million increase primarily related to minimum wage increases in California during fiscal 2022 and other labor wage increases as a result of competitive pressures, a $0.6 million increase in overtime, a $0.6 million increase in medical and workers compensation expense due to higher claims activity and $0.4 million increase in other labor related expenses.</w:t>
      </w:r>
    </w:p>
    <w:p>
      <w:pPr>
        <w:spacing w:after="0" w:line="183" w:lineRule="exact"/>
        <w:rPr>
          <w:sz w:val="20"/>
          <w:szCs w:val="20"/>
          <w:color w:val="auto"/>
        </w:rPr>
      </w:pPr>
    </w:p>
    <w:p>
      <w:pPr>
        <w:ind w:left="60" w:right="379"/>
        <w:spacing w:after="0" w:line="266" w:lineRule="auto"/>
        <w:rPr>
          <w:sz w:val="20"/>
          <w:szCs w:val="20"/>
          <w:color w:val="auto"/>
        </w:rPr>
      </w:pPr>
      <w:r>
        <w:rPr>
          <w:rFonts w:ascii="Times New Roman" w:cs="Times New Roman" w:eastAsia="Times New Roman" w:hAnsi="Times New Roman"/>
          <w:sz w:val="18"/>
          <w:szCs w:val="18"/>
          <w:color w:val="auto"/>
        </w:rPr>
        <w:t>The increase in labor and related expenses was partially offset by a $1.0 million reduction in labor related to the eight locations sold to an existing franchisee during the prior year and a $0.6 million decrease related to the 3.5% decrease in year-over-year sales transactions.</w:t>
      </w:r>
    </w:p>
    <w:p>
      <w:pPr>
        <w:spacing w:after="0" w:line="176"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For the quarter, labor and related expenses as a percentage of company-operated restaurant revenue were 34.8%, up from 32.6% in the comparable period in the prior year due to the cost increases highlighted above, partially offset by the higher prices.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Occupancy and Other Operating Expenses</w:t>
      </w:r>
    </w:p>
    <w:p>
      <w:pPr>
        <w:spacing w:after="0" w:line="229" w:lineRule="exact"/>
        <w:rPr>
          <w:sz w:val="20"/>
          <w:szCs w:val="20"/>
          <w:color w:val="auto"/>
        </w:rPr>
      </w:pPr>
    </w:p>
    <w:p>
      <w:pPr>
        <w:jc w:val="both"/>
        <w:ind w:left="60" w:right="199"/>
        <w:spacing w:after="0" w:line="266" w:lineRule="auto"/>
        <w:rPr>
          <w:sz w:val="20"/>
          <w:szCs w:val="20"/>
          <w:color w:val="auto"/>
        </w:rPr>
      </w:pPr>
      <w:r>
        <w:rPr>
          <w:rFonts w:ascii="Times New Roman" w:cs="Times New Roman" w:eastAsia="Times New Roman" w:hAnsi="Times New Roman"/>
          <w:sz w:val="18"/>
          <w:szCs w:val="18"/>
          <w:color w:val="auto"/>
        </w:rPr>
        <w:t>For the quarter, occupancy and other operating expenses were consistent with the comparable period of the prior year. For the quarter, occupancy and other operating expenses as a percentage of company-operated restaurant revenue were 25.4% which is consistent with the comparable period in the prior 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60" w:right="339"/>
        <w:spacing w:after="0" w:line="258" w:lineRule="auto"/>
        <w:rPr>
          <w:sz w:val="20"/>
          <w:szCs w:val="20"/>
          <w:color w:val="auto"/>
        </w:rPr>
      </w:pPr>
      <w:r>
        <w:rPr>
          <w:rFonts w:ascii="Times New Roman" w:cs="Times New Roman" w:eastAsia="Times New Roman" w:hAnsi="Times New Roman"/>
          <w:sz w:val="18"/>
          <w:szCs w:val="18"/>
          <w:color w:val="auto"/>
        </w:rPr>
        <w:t>For the quarter, general and administrative expenses decreased $0.5 million, or 5.0%, from the comparable period in the prior year. The decrease for the quarter was due to a $0.3 million decrease in legal and professional expenses and a $0.5 million decrease in labor related costs, primarily related to a decrease in estimated management bonus expense. This general and administrative expenses decrease was partially offset by a $0.3 million increase in other general and administrative expenses.</w:t>
      </w:r>
    </w:p>
    <w:p>
      <w:pPr>
        <w:spacing w:after="0" w:line="183"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For the quarter, general and administrative expenses as a percentage of total revenue were 9.0%, down from 9.7% in the comparable period of the prior year. The percentage decrease for the quarterly period resulted from higher revenue and the lower expenses noted above.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Closed-Store Reserves</w:t>
      </w:r>
    </w:p>
    <w:p>
      <w:pPr>
        <w:spacing w:after="0" w:line="229" w:lineRule="exact"/>
        <w:rPr>
          <w:sz w:val="20"/>
          <w:szCs w:val="20"/>
          <w:color w:val="auto"/>
        </w:rPr>
      </w:pPr>
    </w:p>
    <w:p>
      <w:pPr>
        <w:ind w:left="60" w:right="79"/>
        <w:spacing w:after="0" w:line="254" w:lineRule="auto"/>
        <w:rPr>
          <w:sz w:val="20"/>
          <w:szCs w:val="20"/>
          <w:color w:val="auto"/>
        </w:rPr>
      </w:pPr>
      <w:r>
        <w:rPr>
          <w:rFonts w:ascii="Times New Roman" w:cs="Times New Roman" w:eastAsia="Times New Roman" w:hAnsi="Times New Roman"/>
          <w:sz w:val="18"/>
          <w:szCs w:val="18"/>
          <w:color w:val="auto"/>
        </w:rPr>
        <w:t>During the thirteen weeks ended March 30, 2022, we recorded non-cash impairment charges of $0.1 million, primarily related to the long-lived assets of one restaurant in California. During the thirteen weeks ended March 31, 2021, we recorded non-cash impairment charges of $0.3 million, primarily related to the carrying value of the ROU assets of one restaurant in Texas closed in 2019 and the long-lived assets of three restaurants in California. Given the inherent uncertainty in projecting results for newer restaurants in newer markets, as well as the impact of the COVID-19 pandemic, we are monitoring the recoverability of the carrying value of the assets of several restaurants on an ongoing basis. For these restaurants, if expected performance is not realized, an impairment charge may be recognized in future periods, and such charge could be material.</w:t>
      </w:r>
    </w:p>
    <w:p>
      <w:pPr>
        <w:spacing w:after="0" w:line="192"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When a restaurant is closed, we will evaluate the ROU asset for impairment, based on anticipated sublease recoveries. The remaining value of the ROU asset is amortized on a straight-line basis, with the expense recognized in closed-store reserve expense. Additionally, any property tax and CAM payments relating to closed restaurants are included within closed-store expense. During the thirteen weeks ended March 30, 2022, we recognized less than $0.1 million of closed-store reserve expense related to the amortization of ROU assets, property taxes and CAM payments for our closed locations. During the thirteen weeks ended March 31, 2021, we recognized $0.3 million of closed-store reserve expense, primarily related to the amortization of ROU assets, property taxes and CAM payments for our closed locations.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For the quarter, interest expense, net, decreased $0.1 million from the comparable period in the prior year. The decrease is primarily related to lower interest rates and lower outstanding balances on our 2018 Revolver (as defined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Receivable Agreement</w:t>
      </w:r>
    </w:p>
    <w:p>
      <w:pPr>
        <w:spacing w:after="0" w:line="229"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On July 30, 2014, we entered into the income tax receivable agreement (the “TRA”). The TRA calls for us to pay to our pre-IPO stockholders 85% of the savings in cash that we realize in our taxes as a result of utilizing our net operating losses (“NOLs”) and other tax attributes attributable to preceding periods. For the thirteen weeks ended March 30, 2022, we recorded income tax receivable agreement income of $0.1 million, and for the thirteen weeks ended March 31, 2021 we recorded income tax receivable agreement income of less than $0.1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For the quarter ended March 30, 2022, we recorded an income tax provision of $0.9 million, reflecting an estimated effective tax rate of 30.0%. For the quarter ended March 31, 2021, we recorded an income tax provision of $1.6 million, reflecting an estimated effective tax rate of approximately 28.7%. The difference between the 21.0% statutory rate and our effective tax rate of 30.0% for the quarter ended March 30, 2022 is primarily a result of state taxes, the change in</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valuation allowance against certain state credits, a tax shortfall related to stock options exercised during the quarter, and non-deductible executive compensation, partially offset by a Work Opportunity Tax Credit benefit.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29" w:lineRule="exact"/>
        <w:rPr>
          <w:sz w:val="20"/>
          <w:szCs w:val="20"/>
          <w:color w:val="auto"/>
        </w:rPr>
      </w:pPr>
    </w:p>
    <w:p>
      <w:pPr>
        <w:jc w:val="both"/>
        <w:ind w:left="60" w:right="659"/>
        <w:spacing w:after="0" w:line="266" w:lineRule="auto"/>
        <w:rPr>
          <w:sz w:val="20"/>
          <w:szCs w:val="20"/>
          <w:color w:val="auto"/>
        </w:rPr>
      </w:pPr>
      <w:r>
        <w:rPr>
          <w:rFonts w:ascii="Times New Roman" w:cs="Times New Roman" w:eastAsia="Times New Roman" w:hAnsi="Times New Roman"/>
          <w:sz w:val="18"/>
          <w:szCs w:val="18"/>
          <w:color w:val="auto"/>
        </w:rPr>
        <w:t>To evaluate the performance of our business, we utilize a variety of financial and performance measures. These key measures include company-operated restaurant revenue, system-wide sales, comparable restaurant sales, restaurant contribution, restaurant contribution margin, new restaurant openings, EBITDA, and Adjusted EBITDA.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System-Wide Sales</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System-wide sales are neither required by, nor presented in accordance with GAAP. System-wide sales are the sum of company-operated restaurant revenue and sales from franchised restaurants. Our total revenue in our condensed consolidated statements of income is limited to company-operated restaurant revenue and franchise revenue from our franchisees. Accordingly, system-wide sales should not be considered in isolation or as a substitute for our results as reported under GAAP. Management believes that system-wide sales are an important figure for investors, because they are widely used in the restaurant industry, including by our management, to evaluate brand scale and market penetration.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reconciles system-wide sales to company-operated restaurant revenue and total revenue: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200" w:type="dxa"/>
            <w:vAlign w:val="bottom"/>
          </w:tcPr>
          <w:p>
            <w:pPr>
              <w:spacing w:after="0"/>
              <w:rPr>
                <w:sz w:val="15"/>
                <w:szCs w:val="15"/>
                <w:color w:val="auto"/>
              </w:rPr>
            </w:pPr>
          </w:p>
        </w:tc>
        <w:tc>
          <w:tcPr>
            <w:tcW w:w="23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6340" w:type="dxa"/>
            <w:vAlign w:val="bottom"/>
            <w:gridSpan w:val="2"/>
            <w:vMerge w:val="continue"/>
          </w:tcPr>
          <w:p>
            <w:pPr>
              <w:spacing w:after="0"/>
              <w:rPr>
                <w:sz w:val="12"/>
                <w:szCs w:val="12"/>
                <w:color w:val="auto"/>
              </w:rPr>
            </w:pPr>
          </w:p>
        </w:tc>
        <w:tc>
          <w:tcPr>
            <w:tcW w:w="116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10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93,957</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94,161</w:t>
            </w: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110,048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revenue</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(9,255)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(7,612)</w:t>
            </w:r>
          </w:p>
        </w:tc>
        <w:tc>
          <w:tcPr>
            <w:tcW w:w="0" w:type="dxa"/>
            <w:vAlign w:val="bottom"/>
          </w:tcPr>
          <w:p>
            <w:pPr>
              <w:spacing w:after="0"/>
              <w:rPr>
                <w:sz w:val="1"/>
                <w:szCs w:val="1"/>
                <w:color w:val="auto"/>
              </w:rPr>
            </w:pPr>
          </w:p>
        </w:tc>
      </w:tr>
      <w:tr>
        <w:trPr>
          <w:trHeight w:val="216"/>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20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(6,836)</w:t>
            </w:r>
          </w:p>
        </w:tc>
        <w:tc>
          <w:tcPr>
            <w:tcW w:w="2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(5,948)</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from franchised restaurants</w:t>
            </w: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152,577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132,965</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System-wide sales</w:t>
            </w: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246,534</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227,126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Company-Operated Restaurant Revenue</w:t>
      </w:r>
    </w:p>
    <w:p>
      <w:pPr>
        <w:spacing w:after="0" w:line="229" w:lineRule="exact"/>
        <w:rPr>
          <w:sz w:val="20"/>
          <w:szCs w:val="20"/>
          <w:color w:val="auto"/>
        </w:rPr>
      </w:pPr>
    </w:p>
    <w:p>
      <w:pPr>
        <w:jc w:val="both"/>
        <w:ind w:left="60" w:right="499"/>
        <w:spacing w:after="0" w:line="261" w:lineRule="auto"/>
        <w:rPr>
          <w:sz w:val="20"/>
          <w:szCs w:val="20"/>
          <w:color w:val="auto"/>
        </w:rPr>
      </w:pPr>
      <w:r>
        <w:rPr>
          <w:rFonts w:ascii="Times New Roman" w:cs="Times New Roman" w:eastAsia="Times New Roman" w:hAnsi="Times New Roman"/>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0" w:lineRule="exact"/>
        <w:rPr>
          <w:sz w:val="20"/>
          <w:szCs w:val="20"/>
          <w:color w:val="auto"/>
        </w:rPr>
      </w:pPr>
    </w:p>
    <w:p>
      <w:pPr>
        <w:ind w:left="60" w:right="219"/>
        <w:spacing w:after="0" w:line="256" w:lineRule="auto"/>
        <w:rPr>
          <w:sz w:val="20"/>
          <w:szCs w:val="20"/>
          <w:color w:val="auto"/>
        </w:rPr>
      </w:pPr>
      <w:r>
        <w:rPr>
          <w:rFonts w:ascii="Times New Roman" w:cs="Times New Roman" w:eastAsia="Times New Roman" w:hAnsi="Times New Roman"/>
          <w:sz w:val="18"/>
          <w:szCs w:val="18"/>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 In addition, we expect our quarterly company-operated restaurant revenue and comparable restaurant sales to continue to fluctuate significantly due to the current COVID-19 pandemic.</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Comparable Restaurant Sales</w:t>
      </w:r>
    </w:p>
    <w:p>
      <w:pPr>
        <w:spacing w:after="0" w:line="229"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March 30, 2022 and March 31, 2021, there were 464 and 465 comparable restaurants, 182 and 191 company-operated restaurants and 282 and 274 franchised restaurants, respectively. Comparable restaurant sales indicate the performance of existing restaurants, since new restaurants are excluded.</w:t>
      </w:r>
    </w:p>
    <w:p>
      <w:pPr>
        <w:spacing w:after="0" w:line="187" w:lineRule="exact"/>
        <w:rPr>
          <w:sz w:val="20"/>
          <w:szCs w:val="20"/>
          <w:color w:val="auto"/>
        </w:rPr>
      </w:pPr>
    </w:p>
    <w:p>
      <w:pPr>
        <w:ind w:left="60" w:right="119"/>
        <w:spacing w:after="0" w:line="266" w:lineRule="auto"/>
        <w:rPr>
          <w:sz w:val="20"/>
          <w:szCs w:val="20"/>
          <w:color w:val="auto"/>
        </w:rPr>
      </w:pPr>
      <w:r>
        <w:rPr>
          <w:rFonts w:ascii="Times New Roman" w:cs="Times New Roman" w:eastAsia="Times New Roman" w:hAnsi="Times New Roman"/>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Restaurant Contribution and Restaurant Contribution Margin</w:t>
      </w:r>
    </w:p>
    <w:p>
      <w:pPr>
        <w:spacing w:after="0" w:line="229" w:lineRule="exact"/>
        <w:rPr>
          <w:sz w:val="20"/>
          <w:szCs w:val="20"/>
          <w:color w:val="auto"/>
        </w:rPr>
      </w:pPr>
    </w:p>
    <w:p>
      <w:pPr>
        <w:ind w:left="60" w:right="59"/>
        <w:spacing w:after="0" w:line="254" w:lineRule="auto"/>
        <w:rPr>
          <w:sz w:val="20"/>
          <w:szCs w:val="20"/>
          <w:color w:val="auto"/>
        </w:rPr>
      </w:pPr>
      <w:r>
        <w:rPr>
          <w:rFonts w:ascii="Times New Roman" w:cs="Times New Roman" w:eastAsia="Times New Roman" w:hAnsi="Times New Roman"/>
          <w:sz w:val="18"/>
          <w:szCs w:val="18"/>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excludes certain costs, such as general and administrative expenses, depreciation and amortization, impairment and closed-store reserve and other costs that are considered normal operating costs and, accordingly, restaurant contribution is not indicative of overall Company results and does not accrue directly to the benefit of stockholders because of the exclusion of certain corporate-level expenses. Restaurant contribution margin is defined as restaurant contribution as a percentage of net company-operated restaurant revenue.</w:t>
      </w:r>
    </w:p>
    <w:p>
      <w:pPr>
        <w:spacing w:after="0" w:line="19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Restaurant contribution and restaurant contribution margin may also assist investors in evaluating our business and performance relative to industry peers and provide greater transparency with respect to our financial condition and results of operation.</w:t>
      </w:r>
    </w:p>
    <w:p>
      <w:pPr>
        <w:spacing w:after="0" w:line="192" w:lineRule="exact"/>
        <w:rPr>
          <w:sz w:val="20"/>
          <w:szCs w:val="20"/>
          <w:color w:val="auto"/>
        </w:rPr>
      </w:pPr>
    </w:p>
    <w:p>
      <w:pPr>
        <w:ind w:left="60" w:right="299"/>
        <w:spacing w:after="0" w:line="282" w:lineRule="auto"/>
        <w:rPr>
          <w:sz w:val="20"/>
          <w:szCs w:val="20"/>
          <w:color w:val="auto"/>
        </w:rPr>
      </w:pPr>
      <w:r>
        <w:rPr>
          <w:rFonts w:ascii="Times New Roman" w:cs="Times New Roman" w:eastAsia="Times New Roman" w:hAnsi="Times New Roman"/>
          <w:sz w:val="18"/>
          <w:szCs w:val="18"/>
          <w:color w:val="auto"/>
        </w:rPr>
        <w:t>A reconciliation of restaurant contribution and restaurant contribution margin to company-operated restaurant revenue is provided below:</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2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60" w:type="dxa"/>
            <w:vAlign w:val="bottom"/>
            <w:gridSpan w:val="2"/>
            <w:vMerge w:val="continue"/>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24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Restaurant contribution: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240" w:type="dxa"/>
            <w:vAlign w:val="bottom"/>
          </w:tcPr>
          <w:p>
            <w:pPr>
              <w:spacing w:after="0"/>
              <w:rPr>
                <w:sz w:val="18"/>
                <w:szCs w:val="18"/>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 (less):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expenses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Franchise revenue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Impairment and closed-store reserves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Restaurant contribution</w:t>
            </w: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15,194</w:t>
            </w:r>
          </w:p>
        </w:tc>
        <w:tc>
          <w:tcPr>
            <w:tcW w:w="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110,048</w:t>
            </w:r>
          </w:p>
        </w:tc>
        <w:tc>
          <w:tcPr>
            <w:tcW w:w="240" w:type="dxa"/>
            <w:vAlign w:val="bottom"/>
          </w:tcPr>
          <w:p>
            <w:pPr>
              <w:spacing w:after="0"/>
              <w:rPr>
                <w:sz w:val="18"/>
                <w:szCs w:val="18"/>
                <w:color w:val="auto"/>
              </w:rPr>
            </w:pPr>
          </w:p>
        </w:tc>
        <w:tc>
          <w:tcPr>
            <w:tcW w:w="280" w:type="dxa"/>
            <w:vAlign w:val="bottom"/>
          </w:tcPr>
          <w:p>
            <w:pPr>
              <w:jc w:val="right"/>
              <w:ind w:right="11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Franchise revenue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Franchise advertising fee revenue</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2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Company-operated restaurant revenue</w:t>
            </w:r>
          </w:p>
        </w:tc>
        <w:tc>
          <w:tcPr>
            <w:tcW w:w="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93,957</w:t>
            </w:r>
          </w:p>
        </w:tc>
        <w:tc>
          <w:tcPr>
            <w:tcW w:w="2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94,161</w:t>
            </w:r>
          </w:p>
        </w:tc>
        <w:tc>
          <w:tcPr>
            <w:tcW w:w="4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Restaurant contribution margin (%)</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4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New Restaurant Openings</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right="159"/>
        <w:spacing w:after="0" w:line="258" w:lineRule="auto"/>
        <w:rPr>
          <w:sz w:val="20"/>
          <w:szCs w:val="20"/>
          <w:color w:val="auto"/>
        </w:rPr>
      </w:pPr>
      <w:r>
        <w:rPr>
          <w:rFonts w:ascii="Times New Roman" w:cs="Times New Roman" w:eastAsia="Times New Roman" w:hAnsi="Times New Roman"/>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261" w:lineRule="auto"/>
        <w:rPr>
          <w:sz w:val="20"/>
          <w:szCs w:val="20"/>
          <w:color w:val="auto"/>
        </w:rPr>
      </w:pPr>
      <w:r>
        <w:rPr>
          <w:rFonts w:ascii="Times New Roman" w:cs="Times New Roman" w:eastAsia="Times New Roman" w:hAnsi="Times New Roman"/>
          <w:sz w:val="18"/>
          <w:szCs w:val="18"/>
          <w:color w:val="auto"/>
        </w:rPr>
        <w:t>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29"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80" w:lineRule="exact"/>
        <w:rPr>
          <w:sz w:val="20"/>
          <w:szCs w:val="20"/>
          <w:color w:val="auto"/>
        </w:rPr>
      </w:pPr>
    </w:p>
    <w:p>
      <w:pPr>
        <w:ind w:left="60" w:right="179"/>
        <w:spacing w:after="0" w:line="254" w:lineRule="auto"/>
        <w:rPr>
          <w:sz w:val="20"/>
          <w:szCs w:val="20"/>
          <w:color w:val="auto"/>
        </w:rPr>
      </w:pPr>
      <w:r>
        <w:rPr>
          <w:rFonts w:ascii="Times New Roman" w:cs="Times New Roman" w:eastAsia="Times New Roman" w:hAnsi="Times New Roman"/>
          <w:sz w:val="18"/>
          <w:szCs w:val="18"/>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92"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94" w:lineRule="exact"/>
        <w:rPr>
          <w:sz w:val="20"/>
          <w:szCs w:val="20"/>
          <w:color w:val="auto"/>
        </w:rPr>
      </w:pPr>
    </w:p>
    <w:p>
      <w:pPr>
        <w:jc w:val="both"/>
        <w:ind w:left="60" w:right="239"/>
        <w:spacing w:after="0" w:line="266" w:lineRule="auto"/>
        <w:rPr>
          <w:sz w:val="20"/>
          <w:szCs w:val="20"/>
          <w:color w:val="auto"/>
        </w:rPr>
      </w:pPr>
      <w:r>
        <w:rPr>
          <w:rFonts w:ascii="Times New Roman" w:cs="Times New Roman" w:eastAsia="Times New Roman" w:hAnsi="Times New Roman"/>
          <w:sz w:val="18"/>
          <w:szCs w:val="18"/>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76"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NOLs)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sets forth reconciliations of our net income to our EBITDA and Adjusted EBITDA:</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61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2,115</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 of interest income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7,047</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10,016</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(a)</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disposal of assets (b)</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and closed-store reserves (c)</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receivable agreement income (d)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class action legal expense (e)</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Pre-opening costs (f)</w:t>
            </w: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8,484</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11,909</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80" w:hanging="330"/>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non-cash, stock-based compensation.</w:t>
      </w:r>
    </w:p>
    <w:p>
      <w:pPr>
        <w:spacing w:after="0" w:line="27" w:lineRule="exact"/>
        <w:rPr>
          <w:rFonts w:ascii="Times New Roman" w:cs="Times New Roman" w:eastAsia="Times New Roman" w:hAnsi="Times New Roman"/>
          <w:sz w:val="18"/>
          <w:szCs w:val="18"/>
          <w:color w:val="auto"/>
        </w:rPr>
      </w:pPr>
    </w:p>
    <w:p>
      <w:pPr>
        <w:ind w:left="380" w:right="159" w:hanging="330"/>
        <w:spacing w:after="0" w:line="250"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 of assets includes the loss on disposal of assets related to retirements and replacement or write-off of leasehold improvements or equipment.</w:t>
      </w:r>
    </w:p>
    <w:p>
      <w:pPr>
        <w:jc w:val="both"/>
        <w:ind w:left="380" w:right="219" w:hanging="330"/>
        <w:spacing w:after="0" w:line="250"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costs related to impairment of long-lived and ROU assets and closing restaurants. During the thirteen weeks ended March 30, 2022, we recorded non-cash impairment charges of $0.1 million, primarily related to the long-lived assets of one restaurant in California.</w:t>
      </w:r>
    </w:p>
    <w:p>
      <w:pPr>
        <w:spacing w:after="0" w:line="1" w:lineRule="exact"/>
        <w:rPr>
          <w:rFonts w:ascii="Times New Roman" w:cs="Times New Roman" w:eastAsia="Times New Roman" w:hAnsi="Times New Roman"/>
          <w:sz w:val="18"/>
          <w:szCs w:val="18"/>
          <w:color w:val="auto"/>
        </w:rPr>
      </w:pPr>
    </w:p>
    <w:p>
      <w:pPr>
        <w:ind w:left="380" w:right="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thirteen weeks ended March 31, 2021, we recorded non-cash impairment charges of $0.3 million, primarily related to the carrying value of the ROU assets of one restaurant in Texas closed in 2019 and the long-lived assets of three restaurants in California.</w:t>
      </w:r>
    </w:p>
    <w:p>
      <w:pPr>
        <w:spacing w:after="0" w:line="1" w:lineRule="exact"/>
        <w:rPr>
          <w:rFonts w:ascii="Times New Roman" w:cs="Times New Roman" w:eastAsia="Times New Roman" w:hAnsi="Times New Roman"/>
          <w:sz w:val="18"/>
          <w:szCs w:val="18"/>
          <w:color w:val="auto"/>
        </w:rPr>
      </w:pPr>
    </w:p>
    <w:p>
      <w:pPr>
        <w:ind w:left="380" w:right="9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thirteen weeks ended March 30, 2022, we recognized less than $0.1 million of closed-store reserve expense related to the amortization of ROU assets, property taxes and CAM payments for our closed locations. During the thirteen weeks ended March 31, 2021, we recognized $0.3 million of closed-store reserve expense, primarily related to the amortization of ROU assets, property taxes and CAM payments for our closed locations.</w:t>
      </w:r>
    </w:p>
    <w:p>
      <w:pPr>
        <w:spacing w:after="0" w:line="1" w:lineRule="exact"/>
        <w:rPr>
          <w:rFonts w:ascii="Times New Roman" w:cs="Times New Roman" w:eastAsia="Times New Roman" w:hAnsi="Times New Roman"/>
          <w:sz w:val="18"/>
          <w:szCs w:val="18"/>
          <w:color w:val="auto"/>
        </w:rPr>
      </w:pPr>
    </w:p>
    <w:p>
      <w:pPr>
        <w:ind w:left="380" w:right="119" w:hanging="330"/>
        <w:spacing w:after="0" w:line="250"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30, 2014, we entered into the TRA. This agreement calls for us to pay to our pre-IPO stockholders 85% of the savings in cash that we realize in our taxes as a result of utilizing our NOLs and other tax attributes attributable to preceding periods. For the thirteen weeks ended March 30, 2022 and March 31, 2021, income tax receivable agreement income consisted of the amortization of interest expense and changes in estimates for actual tax returns filed, related to our total expected TRA payments.</w:t>
      </w:r>
    </w:p>
    <w:p>
      <w:pPr>
        <w:spacing w:after="0" w:line="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costs related to the defense of securities lawsuits.</w:t>
      </w:r>
    </w:p>
    <w:p>
      <w:pPr>
        <w:spacing w:after="0" w:line="9" w:lineRule="exact"/>
        <w:rPr>
          <w:rFonts w:ascii="Times New Roman" w:cs="Times New Roman" w:eastAsia="Times New Roman" w:hAnsi="Times New Roman"/>
          <w:sz w:val="18"/>
          <w:szCs w:val="18"/>
          <w:color w:val="auto"/>
        </w:rPr>
      </w:pPr>
    </w:p>
    <w:p>
      <w:pPr>
        <w:ind w:left="380" w:right="99" w:hanging="330"/>
        <w:spacing w:after="0" w:line="253"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 xml:space="preserve">Our primary sources of liquidity and capital resources have been cash provided from operations, cash and cash equivalents, and the 2018 Revolver. Our primary requirements for liquidity and capital are new restaurants, existing restaurant capital investments (remodels and maintenance), legal defense costs, lease obligations, interest payments on our debt,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Our restaurants do not require significant inventories or receivables. We believe that these sources of liquidity and capital are sufficient to finance our continued operations, including planned capital expenditures, for at least the next 12 months from the issuance of the condensed consolidated financial statements. However, </w:t>
      </w:r>
      <w:r>
        <w:rPr>
          <w:rFonts w:ascii="Times New Roman" w:cs="Times New Roman" w:eastAsia="Times New Roman" w:hAnsi="Times New Roman"/>
          <w:sz w:val="18"/>
          <w:szCs w:val="18"/>
          <w:color w:val="212529"/>
        </w:rPr>
        <w:t>depending on the severity and longevity of the COVID-19 pandemic, the efforts taken to reduce its spread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the possibility of a subsequent resurgence of the COVID-19 outbreak, our </w:t>
      </w:r>
      <w:r>
        <w:rPr>
          <w:rFonts w:ascii="Times New Roman" w:cs="Times New Roman" w:eastAsia="Times New Roman" w:hAnsi="Times New Roman"/>
          <w:sz w:val="18"/>
          <w:szCs w:val="18"/>
          <w:color w:val="000000"/>
        </w:rPr>
        <w:t>financial performance and liquidity could be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further impacted and could impact our ability to meet certain financial covenants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82" w:lineRule="auto"/>
        <w:rPr>
          <w:sz w:val="20"/>
          <w:szCs w:val="20"/>
          <w:color w:val="auto"/>
        </w:rPr>
      </w:pPr>
      <w:r>
        <w:rPr>
          <w:rFonts w:ascii="Times New Roman" w:cs="Times New Roman" w:eastAsia="Times New Roman" w:hAnsi="Times New Roman"/>
          <w:sz w:val="18"/>
          <w:szCs w:val="18"/>
          <w:color w:val="auto"/>
        </w:rPr>
        <w:t>required in our 2018 Credit Agreement (as defined below), specifically the lease-adjusted coverage ratio and fixed-charge coverage ratio.</w:t>
      </w: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summary cash flow information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00" w:type="dxa"/>
            <w:vAlign w:val="bottom"/>
          </w:tcPr>
          <w:p>
            <w:pPr>
              <w:spacing w:after="0"/>
              <w:rPr>
                <w:sz w:val="15"/>
                <w:szCs w:val="15"/>
                <w:color w:val="auto"/>
              </w:rPr>
            </w:pPr>
          </w:p>
        </w:tc>
        <w:tc>
          <w:tcPr>
            <w:tcW w:w="2300" w:type="dxa"/>
            <w:vAlign w:val="bottom"/>
            <w:gridSpan w:val="5"/>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0" w:type="dxa"/>
            <w:vAlign w:val="bottom"/>
          </w:tcPr>
          <w:p>
            <w:pPr>
              <w:spacing w:after="0"/>
              <w:rPr>
                <w:sz w:val="1"/>
                <w:szCs w:val="1"/>
                <w:color w:val="auto"/>
              </w:rPr>
            </w:pPr>
          </w:p>
        </w:tc>
      </w:tr>
      <w:tr>
        <w:trPr>
          <w:trHeight w:val="142"/>
        </w:trPr>
        <w:tc>
          <w:tcPr>
            <w:tcW w:w="6300" w:type="dxa"/>
            <w:vAlign w:val="bottom"/>
            <w:gridSpan w:val="2"/>
            <w:vMerge w:val="continue"/>
          </w:tcPr>
          <w:p>
            <w:pPr>
              <w:spacing w:after="0"/>
              <w:rPr>
                <w:sz w:val="12"/>
                <w:szCs w:val="12"/>
                <w:color w:val="auto"/>
              </w:rPr>
            </w:pPr>
          </w:p>
        </w:tc>
        <w:tc>
          <w:tcPr>
            <w:tcW w:w="1220" w:type="dxa"/>
            <w:vAlign w:val="bottom"/>
            <w:tcBorders>
              <w:top w:val="single" w:sz="8" w:color="auto"/>
            </w:tcBorders>
            <w:gridSpan w:val="3"/>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March 30, 2022</w:t>
            </w: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(5,257)</w:t>
            </w:r>
          </w:p>
        </w:tc>
        <w:tc>
          <w:tcPr>
            <w:tcW w:w="0" w:type="dxa"/>
            <w:vAlign w:val="bottom"/>
          </w:tcPr>
          <w:p>
            <w:pPr>
              <w:spacing w:after="0"/>
              <w:rPr>
                <w:sz w:val="1"/>
                <w:szCs w:val="1"/>
                <w:color w:val="auto"/>
              </w:rPr>
            </w:pPr>
          </w:p>
        </w:tc>
      </w:tr>
      <w:tr>
        <w:trPr>
          <w:trHeight w:val="216"/>
        </w:trPr>
        <w:tc>
          <w:tcPr>
            <w:tcW w:w="6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(8,691)</w:t>
            </w:r>
          </w:p>
        </w:tc>
        <w:tc>
          <w:tcPr>
            <w:tcW w:w="0" w:type="dxa"/>
            <w:vAlign w:val="bottom"/>
          </w:tcPr>
          <w:p>
            <w:pPr>
              <w:spacing w:after="0"/>
              <w:rPr>
                <w:sz w:val="1"/>
                <w:szCs w:val="1"/>
                <w:color w:val="auto"/>
              </w:rPr>
            </w:pPr>
          </w:p>
        </w:tc>
      </w:tr>
      <w:tr>
        <w:trPr>
          <w:trHeight w:val="209"/>
        </w:trPr>
        <w:tc>
          <w:tcPr>
            <w:tcW w:w="63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w:t>
            </w: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For the thirteen weeks ended March 30, 2022, net cash from operating activities changed by approximately $9.7 million from the comparable period of the prior year. This change was due to unfavorable working capital fluctuations and lower profitability compared to the same period in the prior 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For the thirteen weeks ended March 30, 2022, net cash used in investing activities decreased by $1.5 million from the comparable period of the prior year. This decrease was due primarily to opening one new company-operated restaurant and not remodeling any restaurants in the thirteen weeks ended March 30, 2022 compared to opening two new company-operated restaurants and remodeling three restaurants in the thirteen weeks ended March 31,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For the thirteen weeks ended March 30, 2022, net cash from financing activities changed by $10.2 million from the comparable period of the prior year. This change was due primarily to a $1.5 million cash inflow increase related to option exercises during the thirteen weeks ended March 30, 2022, compared to a $9.0 million cash outflow related to the pay downs on the 2018 Revolver during the thirteen weeks ended March 31,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and Other Obligations</w:t>
      </w:r>
    </w:p>
    <w:p>
      <w:pPr>
        <w:spacing w:after="0" w:line="229"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The Company, as a guarantor, is a party to a credit agreement (the “2018 Credit Agreement”) among EPL, as borrower, Intermediate, as a guarantor, Bank of America, N.A., as administrative agent, swingline lender, and letter of credit issuer, the lenders party thereto, and the other parties thereto, which provides for a $150.0 million five-year senior secured revolving credit facility (the “2018 Revolver”). The 2018 Revolver, which is available pursuant to the 2018 Credit Agreement, includes a sub limit of $15.0 million for letters of credit and a sub limit of $15.0 million for swingline loans. The 2018 Revolver and 2018 Credit Agreement will mature on July 13, 2023. The obligations under the 2018 Credit Agreement and related loan documents are guaranteed by Holdings and Intermediate. The obligations of Holdings, EPL and Intermediate under the 2018 Credit Agreement and related loan documents are secured by a first priority lien on substantially all of their respective assets.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Under the 2018 Revolver, Holdings may not make certain payments such as cash dividends, except that it may, inter alia,</w:t>
      </w:r>
    </w:p>
    <w:p>
      <w:pPr>
        <w:spacing w:after="0" w:line="27" w:lineRule="exact"/>
        <w:rPr>
          <w:sz w:val="20"/>
          <w:szCs w:val="20"/>
          <w:color w:val="auto"/>
        </w:rPr>
      </w:pPr>
    </w:p>
    <w:p>
      <w:pPr>
        <w:ind w:left="60" w:right="79" w:hanging="10"/>
        <w:spacing w:after="0" w:line="265" w:lineRule="auto"/>
        <w:tabs>
          <w:tab w:leader="none" w:pos="27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up to $1.0 million per year to repurchase or redeem qualified equity interests of Holdings held by our past or present officers, directors, or employees (or their estates) upon death, disability, or termination of employment, (ii) pay under its TRA, and (iii) 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w:t>
      </w:r>
    </w:p>
    <w:p>
      <w:pPr>
        <w:spacing w:after="0" w:line="1" w:lineRule="exact"/>
        <w:rPr>
          <w:rFonts w:ascii="Times New Roman" w:cs="Times New Roman" w:eastAsia="Times New Roman" w:hAnsi="Times New Roman"/>
          <w:sz w:val="17"/>
          <w:szCs w:val="17"/>
          <w:color w:val="auto"/>
        </w:rPr>
      </w:pPr>
    </w:p>
    <w:p>
      <w:pPr>
        <w:ind w:left="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per year pursuant to stock option plans, employment agreements, or incentive plans, (d) make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6" w:lineRule="auto"/>
        <w:rPr>
          <w:sz w:val="20"/>
          <w:szCs w:val="20"/>
          <w:color w:val="auto"/>
        </w:rPr>
      </w:pPr>
      <w:r>
        <w:rPr>
          <w:rFonts w:ascii="Times New Roman" w:cs="Times New Roman" w:eastAsia="Times New Roman" w:hAnsi="Times New Roman"/>
          <w:sz w:val="18"/>
          <w:szCs w:val="18"/>
          <w:color w:val="auto"/>
        </w:rPr>
        <w:t>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pacing w:after="0" w:line="176" w:lineRule="exact"/>
        <w:rPr>
          <w:sz w:val="20"/>
          <w:szCs w:val="20"/>
          <w:color w:val="auto"/>
        </w:rPr>
      </w:pPr>
    </w:p>
    <w:p>
      <w:pPr>
        <w:ind w:left="60" w:right="179"/>
        <w:spacing w:after="0" w:line="255" w:lineRule="auto"/>
        <w:rPr>
          <w:sz w:val="20"/>
          <w:szCs w:val="20"/>
          <w:color w:val="auto"/>
        </w:rPr>
      </w:pPr>
      <w:r>
        <w:rPr>
          <w:rFonts w:ascii="Times New Roman" w:cs="Times New Roman" w:eastAsia="Times New Roman" w:hAnsi="Times New Roman"/>
          <w:sz w:val="18"/>
          <w:szCs w:val="18"/>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1.35% to 1.70% for the thirteen weeks ended March 30, 2022, and 1.36% to 1.65% for the thirteen weeks ended March 31, 2021.</w:t>
      </w:r>
    </w:p>
    <w:p>
      <w:pPr>
        <w:spacing w:after="0" w:line="18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2018 Credit Agreement contains certain financial covenants. We were in compliance with the financial covenants as of March 30, 2022.</w:t>
      </w:r>
    </w:p>
    <w:p>
      <w:pPr>
        <w:spacing w:after="0" w:line="162" w:lineRule="exact"/>
        <w:rPr>
          <w:sz w:val="20"/>
          <w:szCs w:val="20"/>
          <w:color w:val="auto"/>
        </w:rPr>
      </w:pPr>
    </w:p>
    <w:p>
      <w:pPr>
        <w:ind w:left="60" w:right="419"/>
        <w:spacing w:after="0" w:line="312" w:lineRule="auto"/>
        <w:rPr>
          <w:sz w:val="20"/>
          <w:szCs w:val="20"/>
          <w:color w:val="auto"/>
        </w:rPr>
      </w:pPr>
      <w:r>
        <w:rPr>
          <w:rFonts w:ascii="Times New Roman" w:cs="Times New Roman" w:eastAsia="Times New Roman" w:hAnsi="Times New Roman"/>
          <w:sz w:val="17"/>
          <w:szCs w:val="17"/>
          <w:color w:val="auto"/>
        </w:rPr>
        <w:t>At March 30, 2022, $10.0 million of letters of credit and $40.0 million of borrowings were outstanding under the 2018 Revolver. There were $100.0 million remaining borrowings available under the 2018 Revolver at March 30, 2022.</w:t>
      </w:r>
    </w:p>
    <w:p>
      <w:pPr>
        <w:spacing w:after="0" w:line="140" w:lineRule="exact"/>
        <w:rPr>
          <w:sz w:val="20"/>
          <w:szCs w:val="20"/>
          <w:color w:val="auto"/>
        </w:rPr>
      </w:pPr>
    </w:p>
    <w:p>
      <w:pPr>
        <w:ind w:left="60" w:right="99"/>
        <w:spacing w:after="0" w:line="281" w:lineRule="auto"/>
        <w:rPr>
          <w:sz w:val="20"/>
          <w:szCs w:val="20"/>
          <w:color w:val="auto"/>
        </w:rPr>
      </w:pPr>
      <w:r>
        <w:rPr>
          <w:rFonts w:ascii="Times New Roman" w:cs="Times New Roman" w:eastAsia="Times New Roman" w:hAnsi="Times New Roman"/>
          <w:sz w:val="17"/>
          <w:szCs w:val="17"/>
          <w:color w:val="auto"/>
        </w:rPr>
        <w:t>During the year ended December 25, 2019, we entered into an interest rate swap with a notional amount of $40.0 million, related to the outstanding borrowings under our 2018 Revolver. The interest rate swap was designated as a cash flow hedge and effectively converted a portion of our outstanding borrowings to a fixed rate of 1.31%, plus the applicable margin spread, which was 1.5% for the thirteen weeks ended March 30, 2022. The interest rate swap matures in June 2023.</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229"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Our material cash requirements outstanding on March 30, 2022 have not changed materially since those disclosed under “Material Cash Requirements” in Part II, Item 7 of our annual report on Form 10-K for the year ended December 29, 2021. Our material cash requirements relate mostly to future (i) debt payments, including expected interest expense, calculated based on current interest rates, (ii) restaurant operating lease payments, (iii) income tax receivable agreement payments, (iv) purchasing commitments for chicken, (v) restaurant finance lease payments, and (vi) capital expenditures.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left="60" w:right="119"/>
        <w:spacing w:after="0" w:line="270" w:lineRule="auto"/>
        <w:rPr>
          <w:sz w:val="20"/>
          <w:szCs w:val="20"/>
          <w:color w:val="auto"/>
        </w:rPr>
      </w:pPr>
      <w:r>
        <w:rPr>
          <w:rFonts w:ascii="Times New Roman" w:cs="Times New Roman" w:eastAsia="Times New Roman" w:hAnsi="Times New Roman"/>
          <w:sz w:val="17"/>
          <w:szCs w:val="17"/>
          <w:color w:val="auto"/>
        </w:rPr>
        <w:t>We are exposed to market risk from changes in interest rates on our debt, which bears interest, at USD LIBOR plus a margin between 1.25% and 2.25%. As of March 30, 2022, we had outstanding borrowings of $40.0 million under our 2018 Revolver, $10.0 million of letters of credit in support of our insurance programs, and the applicable margin on outstanding borrowings under 2018 Revolver was 1.5%. In addition, certain tenors of LIBOR were phased out as of December 31,</w:t>
      </w:r>
    </w:p>
    <w:p>
      <w:pPr>
        <w:spacing w:after="0" w:line="3"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7"/>
          <w:szCs w:val="17"/>
          <w:color w:val="auto"/>
        </w:rPr>
        <w:t>2021 and the remaining tenors of LIBOR will be phased out as of June 30, 2023. Organizations are currently working on industry wide and company specific transition plans as it relates to financial and other derivative contracts exposed to LIBOR. Prior to LIBOR phasing out, we are likely to enter into an amendment to the 2018 Credit Agreement and we cannot predict what alternative index would be negotiated with our lenders. If future rates based upon a successor rate are higher than LIBOR rates as currently determined or if our lenders have increased costs due to changes in LIBOR, we may experience potential increases in interest rates on our variable rate debt, which could adversely impact our interest expense, results of operations and cash flows. After giving effect to the $40.0 million of interest rate swaps described below, we effectively did not have any long-term debt subject to variations in interest rates as of March 30, 2022 and as such, a one percent increase in the variable rate of interest would not result in a material increase in annual interest expense.</w:t>
      </w:r>
    </w:p>
    <w:p>
      <w:pPr>
        <w:spacing w:after="0" w:line="177"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We manage our interest rate risk through normal operating and financing activities and, when determined appropriate, through the use of derivative financial instruments. To balance our portfolio, we entered into an interest rate swap during the year ended December 25, 2019 with a notional amount of $40.0 million, related to the outstanding borrowings under our 2018 Revolver. The interest rate swap was designated as a cash flow hedge and effectively converted a portion of our outstanding borrowings to a fixed rate of 1.31%, plus applicable margin, which was 1.5% for the thirteen weeks ended March 30, 2022. The interest rate swap matures in June 2023.</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229"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left="60" w:right="59"/>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of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Interim Chief Financial Officer, as appropriate to allow timely decisions regarding required disclosure.</w:t>
      </w:r>
    </w:p>
    <w:p>
      <w:pPr>
        <w:spacing w:after="0" w:line="187" w:lineRule="exact"/>
        <w:rPr>
          <w:sz w:val="20"/>
          <w:szCs w:val="20"/>
          <w:color w:val="auto"/>
        </w:rPr>
      </w:pPr>
    </w:p>
    <w:p>
      <w:pPr>
        <w:ind w:left="60" w:right="159"/>
        <w:spacing w:after="0" w:line="281" w:lineRule="auto"/>
        <w:rPr>
          <w:sz w:val="20"/>
          <w:szCs w:val="20"/>
          <w:color w:val="auto"/>
        </w:rPr>
      </w:pPr>
      <w:r>
        <w:rPr>
          <w:rFonts w:ascii="Times New Roman" w:cs="Times New Roman" w:eastAsia="Times New Roman" w:hAnsi="Times New Roman"/>
          <w:sz w:val="17"/>
          <w:szCs w:val="17"/>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64"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Our management has evaluated, with the participation of our Chief Executive Officer and Interim Chief Financial Officer, the effectiveness of our disclosure controls and procedures, as of the end of the period covered by this report. Based on this evaluation, our Chief Executive Officer and Interim Chief Financial Officer concluded that our disclosure controls and procedures were effective, at the reasonable assurance level, as of March 30, 2022.</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No changes in our internal control over financial reporting occurred during the quarter ended March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For information regarding material legal proceedings, see Note 7, “Commitments and Contingencies—Legal Matters” in the “Notes to Condensed Consolidated Financial Statements” above, which information is incorporated by reference into this Item 1.</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60" w:right="47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previously disclosed in our annual report on Form 10-K for the year ended December 29, 2021 filed with the SEC on March 11, 2022.</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5"/>
          </w:tcPr>
          <w:p>
            <w:pPr>
              <w:jc w:val="center"/>
              <w:ind w:right="720"/>
              <w:spacing w:after="0"/>
              <w:rPr>
                <w:sz w:val="20"/>
                <w:szCs w:val="20"/>
                <w:color w:val="auto"/>
              </w:rPr>
            </w:pPr>
            <w:r>
              <w:rPr>
                <w:rFonts w:ascii="Times New Roman" w:cs="Times New Roman" w:eastAsia="Times New Roman" w:hAnsi="Times New Roman"/>
                <w:sz w:val="14"/>
                <w:szCs w:val="14"/>
                <w:color w:val="auto"/>
                <w:w w:val="97"/>
              </w:rPr>
              <w:t>Filed</w:t>
            </w:r>
          </w:p>
        </w:tc>
        <w:tc>
          <w:tcPr>
            <w:tcW w:w="260" w:type="dxa"/>
            <w:vAlign w:val="bottom"/>
          </w:tcPr>
          <w:p>
            <w:pPr>
              <w:spacing w:after="0"/>
              <w:rPr>
                <w:sz w:val="13"/>
                <w:szCs w:val="13"/>
                <w:color w:val="auto"/>
              </w:rPr>
            </w:pPr>
          </w:p>
        </w:tc>
        <w:tc>
          <w:tcPr>
            <w:tcW w:w="6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Period</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SEC File</w:t>
            </w:r>
          </w:p>
        </w:tc>
      </w:tr>
      <w:tr>
        <w:trPr>
          <w:trHeight w:val="128"/>
        </w:trPr>
        <w:tc>
          <w:tcPr>
            <w:tcW w:w="480" w:type="dxa"/>
            <w:vAlign w:val="bottom"/>
          </w:tcPr>
          <w:p>
            <w:pPr>
              <w:spacing w:after="0" w:line="129" w:lineRule="exact"/>
              <w:rPr>
                <w:sz w:val="20"/>
                <w:szCs w:val="20"/>
                <w:color w:val="auto"/>
              </w:rPr>
            </w:pPr>
            <w:r>
              <w:rPr>
                <w:rFonts w:ascii="Times New Roman" w:cs="Times New Roman" w:eastAsia="Times New Roman" w:hAnsi="Times New Roman"/>
                <w:sz w:val="14"/>
                <w:szCs w:val="14"/>
                <w:color w:val="auto"/>
              </w:rPr>
              <w:t>Number</w:t>
            </w:r>
          </w:p>
        </w:tc>
        <w:tc>
          <w:tcPr>
            <w:tcW w:w="340" w:type="dxa"/>
            <w:vAlign w:val="bottom"/>
          </w:tcPr>
          <w:p>
            <w:pPr>
              <w:spacing w:after="0"/>
              <w:rPr>
                <w:sz w:val="11"/>
                <w:szCs w:val="11"/>
                <w:color w:val="auto"/>
              </w:rPr>
            </w:pPr>
          </w:p>
        </w:tc>
        <w:tc>
          <w:tcPr>
            <w:tcW w:w="3540" w:type="dxa"/>
            <w:vAlign w:val="bottom"/>
            <w:gridSpan w:val="11"/>
          </w:tcPr>
          <w:p>
            <w:pPr>
              <w:ind w:left="1400"/>
              <w:spacing w:after="0" w:line="129" w:lineRule="exact"/>
              <w:rPr>
                <w:sz w:val="20"/>
                <w:szCs w:val="20"/>
                <w:color w:val="auto"/>
              </w:rPr>
            </w:pPr>
            <w:r>
              <w:rPr>
                <w:rFonts w:ascii="Times New Roman" w:cs="Times New Roman" w:eastAsia="Times New Roman" w:hAnsi="Times New Roman"/>
                <w:sz w:val="14"/>
                <w:szCs w:val="14"/>
                <w:color w:val="auto"/>
              </w:rPr>
              <w:t>Description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75"/>
              </w:rPr>
              <w:t>Herewith</w:t>
            </w:r>
          </w:p>
        </w:tc>
        <w:tc>
          <w:tcPr>
            <w:tcW w:w="120" w:type="dxa"/>
            <w:vAlign w:val="bottom"/>
          </w:tcPr>
          <w:p>
            <w:pPr>
              <w:spacing w:after="0"/>
              <w:rPr>
                <w:sz w:val="11"/>
                <w:szCs w:val="11"/>
                <w:color w:val="auto"/>
              </w:rPr>
            </w:pPr>
          </w:p>
        </w:tc>
        <w:tc>
          <w:tcPr>
            <w:tcW w:w="600" w:type="dxa"/>
            <w:vAlign w:val="bottom"/>
            <w:gridSpan w:val="3"/>
          </w:tcPr>
          <w:p>
            <w:pPr>
              <w:jc w:val="center"/>
              <w:ind w:left="36"/>
              <w:spacing w:after="0" w:line="129" w:lineRule="exact"/>
              <w:rPr>
                <w:sz w:val="20"/>
                <w:szCs w:val="20"/>
                <w:color w:val="auto"/>
              </w:rPr>
            </w:pPr>
            <w:r>
              <w:rPr>
                <w:rFonts w:ascii="Times New Roman" w:cs="Times New Roman" w:eastAsia="Times New Roman" w:hAnsi="Times New Roman"/>
                <w:sz w:val="14"/>
                <w:szCs w:val="14"/>
                <w:color w:val="auto"/>
              </w:rPr>
              <w:t>Form</w:t>
            </w:r>
          </w:p>
        </w:tc>
        <w:tc>
          <w:tcPr>
            <w:tcW w:w="260" w:type="dxa"/>
            <w:vAlign w:val="bottom"/>
          </w:tcPr>
          <w:p>
            <w:pPr>
              <w:spacing w:after="0"/>
              <w:rPr>
                <w:sz w:val="11"/>
                <w:szCs w:val="11"/>
                <w:color w:val="auto"/>
              </w:rPr>
            </w:pPr>
          </w:p>
        </w:tc>
        <w:tc>
          <w:tcPr>
            <w:tcW w:w="38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color w:val="auto"/>
              </w:rPr>
              <w:t>Ended</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color w:val="auto"/>
              </w:rPr>
              <w:t>Exhibit</w:t>
            </w:r>
          </w:p>
        </w:tc>
        <w:tc>
          <w:tcPr>
            <w:tcW w:w="880" w:type="dxa"/>
            <w:vAlign w:val="bottom"/>
            <w:gridSpan w:val="3"/>
          </w:tcPr>
          <w:p>
            <w:pPr>
              <w:ind w:left="140"/>
              <w:spacing w:after="0" w:line="129" w:lineRule="exact"/>
              <w:rPr>
                <w:sz w:val="20"/>
                <w:szCs w:val="20"/>
                <w:color w:val="auto"/>
              </w:rPr>
            </w:pPr>
            <w:r>
              <w:rPr>
                <w:rFonts w:ascii="Times New Roman" w:cs="Times New Roman" w:eastAsia="Times New Roman" w:hAnsi="Times New Roman"/>
                <w:sz w:val="14"/>
                <w:szCs w:val="14"/>
                <w:color w:val="auto"/>
              </w:rPr>
              <w:t>Filing Date</w:t>
            </w:r>
          </w:p>
        </w:tc>
        <w:tc>
          <w:tcPr>
            <w:tcW w:w="280" w:type="dxa"/>
            <w:vAlign w:val="bottom"/>
          </w:tcPr>
          <w:p>
            <w:pPr>
              <w:spacing w:after="0"/>
              <w:rPr>
                <w:sz w:val="11"/>
                <w:szCs w:val="11"/>
                <w:color w:val="auto"/>
              </w:rPr>
            </w:pPr>
          </w:p>
        </w:tc>
        <w:tc>
          <w:tcPr>
            <w:tcW w:w="520" w:type="dxa"/>
            <w:vAlign w:val="bottom"/>
            <w:tcBorders>
              <w:top w:val="single" w:sz="8" w:color="auto"/>
            </w:tcBorders>
            <w:gridSpan w:val="3"/>
          </w:tcPr>
          <w:p>
            <w:pPr>
              <w:ind w:left="20"/>
              <w:spacing w:after="0" w:line="129" w:lineRule="exact"/>
              <w:rPr>
                <w:sz w:val="20"/>
                <w:szCs w:val="20"/>
                <w:color w:val="auto"/>
              </w:rPr>
            </w:pPr>
            <w:r>
              <w:rPr>
                <w:rFonts w:ascii="Times New Roman" w:cs="Times New Roman" w:eastAsia="Times New Roman" w:hAnsi="Times New Roman"/>
                <w:sz w:val="14"/>
                <w:szCs w:val="14"/>
                <w:color w:val="auto"/>
              </w:rPr>
              <w:t>Number</w:t>
            </w:r>
          </w:p>
        </w:tc>
        <w:tc>
          <w:tcPr>
            <w:tcW w:w="80" w:type="dxa"/>
            <w:vAlign w:val="bottom"/>
          </w:tcPr>
          <w:p>
            <w:pPr>
              <w:spacing w:after="0"/>
              <w:rPr>
                <w:sz w:val="11"/>
                <w:szCs w:val="1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5"/>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24"/>
                <w:szCs w:val="24"/>
                <w:color w:val="auto"/>
              </w:rPr>
            </w:pPr>
          </w:p>
        </w:tc>
        <w:tc>
          <w:tcPr>
            <w:tcW w:w="26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Amended and Restated Certificate of</w:t>
              </w:r>
            </w:hyperlink>
          </w:p>
        </w:tc>
        <w:tc>
          <w:tcPr>
            <w:tcW w:w="8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3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5">
              <w:r>
                <w:rPr>
                  <w:rFonts w:ascii="Times New Roman" w:cs="Times New Roman" w:eastAsia="Times New Roman" w:hAnsi="Times New Roman"/>
                  <w:sz w:val="18"/>
                  <w:szCs w:val="18"/>
                  <w:color w:val="0000EE"/>
                  <w:w w:val="99"/>
                </w:rPr>
                <w:t>Incorporation of El Pollo Loco Holdings, Inc.</w:t>
              </w:r>
            </w:hyperlink>
          </w:p>
        </w:tc>
        <w:tc>
          <w:tcPr>
            <w:tcW w:w="2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jc w:val="center"/>
              <w:ind w:left="16"/>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88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6/25/2014</w:t>
            </w:r>
          </w:p>
        </w:tc>
        <w:tc>
          <w:tcPr>
            <w:tcW w:w="500" w:type="dxa"/>
            <w:vAlign w:val="bottom"/>
            <w:gridSpan w:val="2"/>
          </w:tcPr>
          <w:p>
            <w:pPr>
              <w:jc w:val="right"/>
              <w:ind w:right="148"/>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7"/>
                <w:szCs w:val="17"/>
                <w:color w:val="auto"/>
              </w:rPr>
            </w:pPr>
          </w:p>
        </w:tc>
        <w:tc>
          <w:tcPr>
            <w:tcW w:w="7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9/5/2014</w:t>
            </w:r>
          </w:p>
        </w:tc>
        <w:tc>
          <w:tcPr>
            <w:tcW w:w="100" w:type="dxa"/>
            <w:vAlign w:val="bottom"/>
          </w:tcPr>
          <w:p>
            <w:pPr>
              <w:spacing w:after="0"/>
              <w:rPr>
                <w:sz w:val="17"/>
                <w:szCs w:val="17"/>
                <w:color w:val="auto"/>
              </w:rPr>
            </w:pPr>
          </w:p>
        </w:tc>
        <w:tc>
          <w:tcPr>
            <w:tcW w:w="8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001-36556</w:t>
            </w: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Pr>
          <w:p>
            <w:pPr>
              <w:spacing w:after="0"/>
              <w:rPr>
                <w:sz w:val="24"/>
                <w:szCs w:val="24"/>
                <w:color w:val="auto"/>
              </w:rPr>
            </w:pPr>
          </w:p>
        </w:tc>
        <w:tc>
          <w:tcPr>
            <w:tcW w:w="3540" w:type="dxa"/>
            <w:vAlign w:val="bottom"/>
            <w:gridSpan w:val="11"/>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Amended and Restated By-Laws of El Pollo</w:t>
              </w:r>
            </w:hyperlink>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Loco Holdings, Inc.</w:t>
              </w:r>
            </w:hyperlink>
          </w:p>
        </w:tc>
        <w:tc>
          <w:tcPr>
            <w:tcW w:w="34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3"/>
          </w:tcPr>
          <w:p>
            <w:pPr>
              <w:jc w:val="center"/>
              <w:ind w:left="16"/>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88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6/25/2014</w:t>
            </w:r>
          </w:p>
        </w:tc>
        <w:tc>
          <w:tcPr>
            <w:tcW w:w="500" w:type="dxa"/>
            <w:vAlign w:val="bottom"/>
            <w:gridSpan w:val="2"/>
          </w:tcPr>
          <w:p>
            <w:pPr>
              <w:jc w:val="right"/>
              <w:ind w:right="148"/>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7"/>
                <w:szCs w:val="17"/>
                <w:color w:val="auto"/>
              </w:rPr>
            </w:pPr>
          </w:p>
        </w:tc>
        <w:tc>
          <w:tcPr>
            <w:tcW w:w="78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9/5/2014</w:t>
            </w:r>
          </w:p>
        </w:tc>
        <w:tc>
          <w:tcPr>
            <w:tcW w:w="100" w:type="dxa"/>
            <w:vAlign w:val="bottom"/>
          </w:tcPr>
          <w:p>
            <w:pPr>
              <w:spacing w:after="0"/>
              <w:rPr>
                <w:sz w:val="17"/>
                <w:szCs w:val="17"/>
                <w:color w:val="auto"/>
              </w:rPr>
            </w:pPr>
          </w:p>
        </w:tc>
        <w:tc>
          <w:tcPr>
            <w:tcW w:w="880" w:type="dxa"/>
            <w:vAlign w:val="bottom"/>
            <w:gridSpan w:val="5"/>
          </w:tcPr>
          <w:p>
            <w:pPr>
              <w:jc w:val="right"/>
              <w:spacing w:after="0" w:line="196" w:lineRule="exact"/>
              <w:rPr>
                <w:sz w:val="20"/>
                <w:szCs w:val="20"/>
                <w:color w:val="auto"/>
              </w:rPr>
            </w:pPr>
            <w:r>
              <w:rPr>
                <w:rFonts w:ascii="Times New Roman" w:cs="Times New Roman" w:eastAsia="Times New Roman" w:hAnsi="Times New Roman"/>
                <w:sz w:val="18"/>
                <w:szCs w:val="18"/>
                <w:color w:val="auto"/>
              </w:rPr>
              <w:t>001-36556</w:t>
            </w: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4"/>
                <w:szCs w:val="24"/>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Interim Chief Financial Officer under section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302 of the Sarbanes–Oxley Act of 2002</w:t>
            </w:r>
          </w:p>
        </w:tc>
        <w:tc>
          <w:tcPr>
            <w:tcW w:w="28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5"/>
          </w:tcPr>
          <w:p>
            <w:pPr>
              <w:jc w:val="center"/>
              <w:ind w:right="720"/>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24"/>
                <w:szCs w:val="24"/>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and</w:t>
            </w:r>
          </w:p>
        </w:tc>
        <w:tc>
          <w:tcPr>
            <w:tcW w:w="4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1080" w:type="dxa"/>
            <w:vAlign w:val="bottom"/>
            <w:tcBorders>
              <w:right w:val="single" w:sz="8" w:color="0000EE"/>
            </w:tcBorders>
            <w:gridSpan w:val="3"/>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Interim Chief Financial Officer under 18 U.S.C.</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section 1350, adopted by section 906 of the</w:t>
            </w:r>
          </w:p>
        </w:tc>
        <w:tc>
          <w:tcPr>
            <w:tcW w:w="280" w:type="dxa"/>
            <w:vAlign w:val="bottom"/>
            <w:tcBorders>
              <w:top w:val="single" w:sz="8" w:color="0000EE"/>
            </w:tcBorders>
            <w:gridSpan w:val="4"/>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6"/>
        </w:trPr>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of 2002</w:t>
            </w:r>
          </w:p>
        </w:tc>
        <w:tc>
          <w:tcPr>
            <w:tcW w:w="144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color w:val="auto"/>
                <w:w w:val="91"/>
              </w:rPr>
              <w:t>X</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color w:val="auto"/>
                <w:w w:val="91"/>
              </w:rPr>
              <w:t>X</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color w:val="auto"/>
                <w:w w:val="91"/>
              </w:rPr>
              <w:t>X</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color w:val="auto"/>
                <w:w w:val="91"/>
              </w:rPr>
              <w:t>X</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color w:val="auto"/>
                <w:w w:val="91"/>
              </w:rPr>
              <w:t>X</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color w:val="auto"/>
                <w:w w:val="91"/>
              </w:rPr>
              <w:t>X</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5"/>
          </w:tcPr>
          <w:p>
            <w:pPr>
              <w:jc w:val="center"/>
              <w:ind w:right="720"/>
              <w:spacing w:after="0"/>
              <w:rPr>
                <w:sz w:val="20"/>
                <w:szCs w:val="20"/>
                <w:color w:val="auto"/>
              </w:rPr>
            </w:pPr>
            <w:r>
              <w:rPr>
                <w:rFonts w:ascii="Times New Roman" w:cs="Times New Roman" w:eastAsia="Times New Roman" w:hAnsi="Times New Roman"/>
                <w:sz w:val="18"/>
                <w:szCs w:val="18"/>
                <w:color w:val="auto"/>
                <w:w w:val="91"/>
              </w:rPr>
              <w:t>X</w:t>
            </w: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page interactive data file does not appear in the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Interactive Data File because its XBRL tags are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right="159" w:hanging="330"/>
        <w:spacing w:after="0" w:line="261" w:lineRule="auto"/>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El Pollo Loco Holdings, Inc.</w:t>
      </w:r>
    </w:p>
    <w:p>
      <w:pPr>
        <w:spacing w:after="0" w:line="6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-127635</wp:posOffset>
            </wp:positionV>
            <wp:extent cx="27686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86" w:lineRule="exact"/>
        <w:rPr>
          <w:sz w:val="20"/>
          <w:szCs w:val="20"/>
          <w:color w:val="auto"/>
        </w:rPr>
      </w:pPr>
    </w:p>
    <w:p>
      <w:pPr>
        <w:ind w:left="100"/>
        <w:spacing w:after="0"/>
        <w:tabs>
          <w:tab w:leader="none" w:pos="4620" w:val="left"/>
        </w:tabs>
        <w:rPr>
          <w:sz w:val="20"/>
          <w:szCs w:val="20"/>
          <w:color w:val="auto"/>
        </w:rPr>
      </w:pPr>
      <w:r>
        <w:rPr>
          <w:rFonts w:ascii="Times New Roman" w:cs="Times New Roman" w:eastAsia="Times New Roman" w:hAnsi="Times New Roman"/>
          <w:sz w:val="18"/>
          <w:szCs w:val="18"/>
          <w:color w:val="auto"/>
        </w:rPr>
        <w:t>Date: May 6, 2022</w:t>
      </w:r>
      <w:r>
        <w:rPr>
          <w:sz w:val="20"/>
          <w:szCs w:val="20"/>
          <w:color w:val="auto"/>
        </w:rPr>
        <w:tab/>
      </w:r>
      <w:r>
        <w:rPr>
          <w:rFonts w:ascii="Times New Roman" w:cs="Times New Roman" w:eastAsia="Times New Roman" w:hAnsi="Times New Roman"/>
          <w:sz w:val="18"/>
          <w:szCs w:val="18"/>
          <w:color w:val="auto"/>
        </w:rPr>
        <w:t>/s/ Laurance Roberts</w:t>
      </w:r>
    </w:p>
    <w:p>
      <w:pPr>
        <w:spacing w:after="0" w:line="63"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-127635</wp:posOffset>
            </wp:positionV>
            <wp:extent cx="27686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Chief Executive Officer, President and Interim Chief</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(principal executive officer; principal financial and</w:t>
      </w:r>
    </w:p>
    <w:p>
      <w:pPr>
        <w:spacing w:after="0" w:line="2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accounting officer;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Laurance Roberts, certify that:</w:t>
      </w:r>
    </w:p>
    <w:p>
      <w:pPr>
        <w:spacing w:after="0" w:line="266" w:lineRule="exact"/>
        <w:rPr>
          <w:sz w:val="20"/>
          <w:szCs w:val="20"/>
          <w:color w:val="auto"/>
        </w:rPr>
      </w:pPr>
    </w:p>
    <w:p>
      <w:pPr>
        <w:ind w:left="180" w:hanging="174"/>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El Pollo Loco Holdings, Inc.;</w:t>
      </w:r>
    </w:p>
    <w:p>
      <w:pPr>
        <w:spacing w:after="0" w:line="265" w:lineRule="exact"/>
        <w:rPr>
          <w:rFonts w:ascii="Times New Roman" w:cs="Times New Roman" w:eastAsia="Times New Roman" w:hAnsi="Times New Roman"/>
          <w:sz w:val="18"/>
          <w:szCs w:val="18"/>
          <w:color w:val="auto"/>
        </w:rPr>
      </w:pPr>
    </w:p>
    <w:p>
      <w:pPr>
        <w:jc w:val="both"/>
        <w:ind w:right="340" w:firstLine="6"/>
        <w:spacing w:after="0" w:line="313"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60" w:firstLine="6"/>
        <w:spacing w:after="0" w:line="313"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ind w:right="100" w:firstLine="6"/>
        <w:spacing w:after="0" w:line="313" w:lineRule="auto"/>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sz w:val="20"/>
          <w:szCs w:val="20"/>
          <w:color w:val="auto"/>
        </w:rPr>
      </w:pPr>
    </w:p>
    <w:p>
      <w:pPr>
        <w:jc w:val="both"/>
        <w:ind w:firstLine="6"/>
        <w:spacing w:after="0" w:line="313" w:lineRule="auto"/>
        <w:tabs>
          <w:tab w:leader="none" w:pos="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60" w:firstLine="6"/>
        <w:spacing w:after="0" w:line="313"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right="100" w:firstLine="6"/>
        <w:spacing w:after="0" w:line="313" w:lineRule="auto"/>
        <w:tabs>
          <w:tab w:leader="none" w:pos="24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right="340" w:firstLine="6"/>
        <w:spacing w:after="0" w:line="307"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sz w:val="20"/>
          <w:szCs w:val="20"/>
          <w:color w:val="auto"/>
        </w:rPr>
      </w:pPr>
    </w:p>
    <w:p>
      <w:pPr>
        <w:ind w:right="500" w:firstLine="6"/>
        <w:spacing w:after="0" w:line="313" w:lineRule="auto"/>
        <w:tabs>
          <w:tab w:leader="none" w:pos="1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sz w:val="20"/>
          <w:szCs w:val="20"/>
          <w:color w:val="auto"/>
        </w:rPr>
      </w:pPr>
    </w:p>
    <w:p>
      <w:pPr>
        <w:ind w:right="420" w:firstLine="6"/>
        <w:spacing w:after="0" w:line="321"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Times New Roman" w:cs="Times New Roman" w:eastAsia="Times New Roman" w:hAnsi="Times New Roman"/>
          <w:sz w:val="18"/>
          <w:szCs w:val="18"/>
          <w:color w:val="auto"/>
        </w:rPr>
      </w:pPr>
    </w:p>
    <w:p>
      <w:pPr>
        <w:ind w:right="780" w:firstLine="6"/>
        <w:spacing w:after="0" w:line="329" w:lineRule="auto"/>
        <w:tabs>
          <w:tab w:leader="none" w:pos="2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2022</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43180</wp:posOffset>
            </wp:positionV>
            <wp:extent cx="59664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Laurance Roberts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640080</wp:posOffset>
            </wp:positionV>
            <wp:extent cx="59664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5966460" cy="17145"/>
                    </a:xfrm>
                    <a:prstGeom prst="rect">
                      <a:avLst/>
                    </a:prstGeom>
                    <a:noFill/>
                  </pic:spPr>
                </pic:pic>
              </a:graphicData>
            </a:graphic>
          </wp:anchor>
        </w:drawing>
      </w:r>
    </w:p>
    <w:p>
      <w:pPr>
        <w:sectPr>
          <w:pgSz w:w="11900" w:h="16838" w:orient="portrait"/>
          <w:cols w:equalWidth="0" w:num="1">
            <w:col w:w="9400"/>
          </w:cols>
          <w:pgMar w:left="1240" w:top="401" w:right="12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66" w:lineRule="exact"/>
        <w:rPr>
          <w:sz w:val="20"/>
          <w:szCs w:val="20"/>
          <w:color w:val="auto"/>
        </w:rPr>
      </w:pPr>
    </w:p>
    <w:p>
      <w:pPr>
        <w:ind w:right="240"/>
        <w:spacing w:after="0" w:line="307" w:lineRule="auto"/>
        <w:rPr>
          <w:sz w:val="20"/>
          <w:szCs w:val="20"/>
          <w:color w:val="auto"/>
        </w:rPr>
      </w:pPr>
      <w:r>
        <w:rPr>
          <w:rFonts w:ascii="Times New Roman" w:cs="Times New Roman" w:eastAsia="Times New Roman" w:hAnsi="Times New Roman"/>
          <w:sz w:val="18"/>
          <w:szCs w:val="18"/>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6, 2022</w:t>
      </w:r>
    </w:p>
    <w:p>
      <w:pPr>
        <w:spacing w:after="0" w:line="3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17145</wp:posOffset>
            </wp:positionV>
            <wp:extent cx="59321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5932170" cy="8255"/>
                    </a:xfrm>
                    <a:prstGeom prst="rect">
                      <a:avLst/>
                    </a:prstGeom>
                    <a:noFill/>
                  </pic:spPr>
                </pic:pic>
              </a:graphicData>
            </a:graphic>
          </wp:anchor>
        </w:drawing>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Laurance Roberts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666115</wp:posOffset>
            </wp:positionV>
            <wp:extent cx="596646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5966460" cy="26035"/>
                    </a:xfrm>
                    <a:prstGeom prst="rect">
                      <a:avLst/>
                    </a:prstGeom>
                    <a:noFill/>
                  </pic:spPr>
                </pic:pic>
              </a:graphicData>
            </a:graphic>
          </wp:anchor>
        </w:drawing>
      </w:r>
    </w:p>
    <w:sectPr>
      <w:pgSz w:w="11900" w:h="16838" w:orient="portrait"/>
      <w:cols w:equalWidth="0" w:num="1">
        <w:col w:w="9400"/>
      </w:cols>
      <w:pgMar w:left="1240" w:top="401"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Roman"/>
      <w:start w:val="1"/>
    </w:lvl>
  </w:abstractNum>
  <w:abstractNum w:abstractNumId="6">
    <w:nsid w:val="109CF92E"/>
    <w:multiLevelType w:val="hybridMultilevel"/>
    <w:lvl w:ilvl="0">
      <w:lvlJc w:val="left"/>
      <w:lvlText w:val="%1."/>
      <w:numFmt w:val="decimal"/>
      <w:start w:val="10"/>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Roman"/>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5"/>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55" Type="http://schemas.openxmlformats.org/officeDocument/2006/relationships/hyperlink" Target="https://www.sec.gov/Archives/edgar/data/1606366/000119312514332367/d779664dex31.htm" TargetMode="External"/><Relationship Id="rId56" Type="http://schemas.openxmlformats.org/officeDocument/2006/relationships/hyperlink" Target="https://www.sec.gov/Archives/edgar/data/1606366/000119312514332367/d779664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2022-05-06T13:45:52Z</dcterms:created>
  <dcterms:modified xsi:type="dcterms:W3CDTF">2022-05-06T13:45:52Z</dcterms:modified>
</cp:coreProperties>
</file>