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106005_07062026.xml.htm"/>
      <w:bookmarkStart w:id="1" w:name="ksform408106005_0706202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BIGLARI, SARDAR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BIGLARI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19100 RIDGEWOOD PKWY, SUITE 1200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ANTONIO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78259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El Pollo Loco Holdings, Inc.</w:t>
              </w:r>
            </w:hyperlink>
            <w:r>
              <w:rPr/>
              <w:t xml:space="preserve"> [ </w:t>
            </w:r>
            <w:r>
              <w:rPr>
                <w:rFonts w:ascii="Times;serif" w:hAnsi="Times;serif"/>
                <w:color w:val="0000FF"/>
                <w:sz w:val="24"/>
                <w:shd w:fill="FFFFFF" w:val="clear"/>
              </w:rPr>
              <w:t>LOCO</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15"/>
        <w:gridCol w:w="925"/>
        <w:gridCol w:w="795"/>
        <w:gridCol w:w="614"/>
        <w:gridCol w:w="336"/>
        <w:gridCol w:w="1002"/>
        <w:gridCol w:w="405"/>
        <w:gridCol w:w="795"/>
        <w:gridCol w:w="1234"/>
        <w:gridCol w:w="949"/>
        <w:gridCol w:w="133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0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33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3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3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132,421</w:t>
            </w:r>
          </w:p>
        </w:tc>
        <w:tc>
          <w:tcPr>
            <w:tcW w:w="4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17.27</w:t>
            </w:r>
            <w:r>
              <w:rPr>
                <w:rFonts w:ascii="Times;serif" w:hAnsi="Times;serif"/>
                <w:color w:val="008000"/>
                <w:position w:val="7"/>
                <w:sz w:val="16"/>
                <w:sz w:val="20"/>
                <w:shd w:fill="FFFFFF" w:val="clear"/>
              </w:rPr>
              <w:t>(1)</w:t>
            </w:r>
            <w:r>
              <w:rPr/>
              <w:t xml:space="preserve"> </w:t>
            </w:r>
          </w:p>
        </w:tc>
        <w:tc>
          <w:tcPr>
            <w:tcW w:w="12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3,644,979</w:t>
            </w:r>
          </w:p>
        </w:tc>
        <w:tc>
          <w:tcPr>
            <w:tcW w:w="9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The Lion Fund II, L.P.</w:t>
            </w:r>
            <w:r>
              <w:rPr>
                <w:rFonts w:ascii="Times;serif" w:hAnsi="Times;serif"/>
                <w:color w:val="008000"/>
                <w:position w:val="7"/>
                <w:sz w:val="16"/>
                <w:sz w:val="20"/>
                <w:shd w:fill="FFFFFF" w:val="clear"/>
              </w:rPr>
              <w:t>(3)</w:t>
            </w:r>
            <w:r>
              <w:rPr/>
              <w:t xml:space="preserve"> </w:t>
            </w:r>
          </w:p>
        </w:tc>
      </w:tr>
      <w:tr>
        <w:trPr/>
        <w:tc>
          <w:tcPr>
            <w:tcW w:w="1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07/02/2026</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9,525</w:t>
            </w:r>
          </w:p>
        </w:tc>
        <w:tc>
          <w:tcPr>
            <w:tcW w:w="4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16.92</w:t>
            </w:r>
            <w:r>
              <w:rPr>
                <w:rFonts w:ascii="Times;serif" w:hAnsi="Times;serif"/>
                <w:color w:val="008000"/>
                <w:position w:val="7"/>
                <w:sz w:val="16"/>
                <w:sz w:val="20"/>
                <w:shd w:fill="FFFFFF" w:val="clear"/>
              </w:rPr>
              <w:t>(2)</w:t>
            </w:r>
            <w:r>
              <w:rPr/>
              <w:t xml:space="preserve"> </w:t>
            </w:r>
          </w:p>
        </w:tc>
        <w:tc>
          <w:tcPr>
            <w:tcW w:w="12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3,635,454</w:t>
            </w:r>
          </w:p>
        </w:tc>
        <w:tc>
          <w:tcPr>
            <w:tcW w:w="9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The Lion Fund II, L.P.</w:t>
            </w:r>
            <w:r>
              <w:rPr>
                <w:rFonts w:ascii="Times;serif" w:hAnsi="Times;serif"/>
                <w:color w:val="008000"/>
                <w:position w:val="7"/>
                <w:sz w:val="16"/>
                <w:sz w:val="20"/>
                <w:shd w:fill="FFFFFF" w:val="clear"/>
              </w:rPr>
              <w:t>(3)</w:t>
            </w:r>
            <w:r>
              <w:rPr/>
              <w:t xml:space="preserve"> </w:t>
            </w:r>
          </w:p>
        </w:tc>
      </w:tr>
      <w:tr>
        <w:trPr/>
        <w:tc>
          <w:tcPr>
            <w:tcW w:w="1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369,247</w:t>
            </w:r>
          </w:p>
        </w:tc>
        <w:tc>
          <w:tcPr>
            <w:tcW w:w="9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Biglari Reinsurance Ltd.</w:t>
            </w:r>
            <w:r>
              <w:rPr>
                <w:rFonts w:ascii="Times;serif" w:hAnsi="Times;serif"/>
                <w:color w:val="008000"/>
                <w:position w:val="7"/>
                <w:sz w:val="16"/>
                <w:sz w:val="20"/>
                <w:shd w:fill="FFFFFF" w:val="clear"/>
              </w:rPr>
              <w:t>(4)</w:t>
            </w:r>
            <w:r>
              <w:rPr/>
              <w:t xml:space="preserve"> </w:t>
            </w:r>
          </w:p>
        </w:tc>
      </w:tr>
      <w:tr>
        <w:trPr/>
        <w:tc>
          <w:tcPr>
            <w:tcW w:w="1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120,000</w:t>
            </w:r>
          </w:p>
        </w:tc>
        <w:tc>
          <w:tcPr>
            <w:tcW w:w="9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First Guard Insurance Company</w:t>
            </w:r>
            <w:r>
              <w:rPr>
                <w:rFonts w:ascii="Times;serif" w:hAnsi="Times;serif"/>
                <w:color w:val="008000"/>
                <w:position w:val="7"/>
                <w:sz w:val="16"/>
                <w:sz w:val="20"/>
                <w:shd w:fill="FFFFFF" w:val="clear"/>
              </w:rPr>
              <w:t>(5)</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BIGLARI, SARDAR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BIGLARI HOLDINGS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19100 RIDGEWOOD PKWY, SUITE 1200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ANTONIO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78259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BIGLARI CAPITAL CORP.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BIGLARI HOLDINGS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19100 RIDGEWOOD PKWY, SUITE 1200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ANTONIO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78259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LION FUND II,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BIGLARI HOLDINGS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19100 RIDGEWOOD PKWY, SUITE 1200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ANTONIO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78259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Biglari Holdings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BIGLARI HOLDINGS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19100 RIDGEWOOD PKWY, SUITE 1200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ANTONIO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78259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Biglari Reinsurance Ltd.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BIGLARI HOLDINGS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19100 RIDGEWOOD PKWY, SUITE 1200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ANTONIO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78259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Biglari Insurance Group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BIGLARI HOLDINGS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19100 RIDGEWOOD PKWY, SUITE 1200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ANTONIO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78259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$17.20 to $17.40. The reporting persons undertake to provide to the Issuer, any security holder of the Issuer or the staff of the Securities and Exchange Commision,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$16.90 to $16.96. The reporting persons undertake to provide to the Issuer, any security holder of the Issuer or the staff of the Securities and Exchange Commision,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Shares owned directly by The Lion Fund II, L.P. (the "Lion Fund II"). Biglari Capital Corp. ("BCC") is the general partner of the Lion Fund II. Mr. Biglari is the sole owner, Chairman and Chief Executive Officer of BCC. By virtue of these relationships, BCC and Mr. Biglari may be deemed to beneficially own the shares of Common Stock of the Issuer owned directly by the Lion Fund II.</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Shares owned directly by Biglari Reinsurance Ltd. ("Biglari Reinsurance"). Biglari Insurance Group Inc. ("Biglari Insurance") is the direct parent company of Biglari Reinsurance. Biglari Holdings Inc. ("Biglari Holdings") is the direct parent company of Biglari Insurance. Mr. Biglari is the Chairman and Chief Executive Officer of Biglari Holdings. By virute of these relationships, Biglari Insurance, Biglari Holdings and Mr. Biglari may be deemed to beneficially own the shares of Common Stock of the Issuer owned directly by Biglari Reinsurance.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Shares owned directly by First Guard Insurance Company ("First Guard"). Biglari Reinsurance is the direct parent company of First Guard. Biglari Insurance is the direct parent company of Biglari Reinsurance. Biglari Holdings is the direct parent company of Biglari Insurance. Mr. Biglari is the Chairman and Chief Executive Officer of Biglari Holdings and has investment discretion over the securities owned by First Guard. By virtue of these relationships, Biglari Reinsurance, Biglari Insurance, Biglari Holdings and Mr. Biglari may be deemed to beneficially own the shares of Common Stock of the Issuer owned directly by First Guard.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This Form 4 is filed jointly by Mr. Biglari, Biglari Holdings, BCC, the Lion Fund II, Biglari Reinsurance and Biglari Insurance. Each of the foregoing disclaims beneficial ownership of the shares of Common Stock reported herein except to the extent of his or its pecuniary interest therein.</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Sardar Biglari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Biglari Capital Corp.; By: /s/ Sardar Biglari, Chairman and Chief Executive Officer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The Lion Fund II, L.P.; By: Biglari Capital Corp., its general partner; By: /s/ Sardar Biglari, Chairman and Chief Executive Officer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Biglari Holdings Inc., By: /s/ Sardar Biglari, Chairman and Chief Executive Officer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Biglari Reinsurance Ltd.; By: /s/ Sardar Biglari, Chairman of the Board and Chief Executive Officer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Biglari Insurance Group Inc.; By: /s/ Sardar Biglari, Chairman of the Board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34430" TargetMode="External"/><Relationship Id="rId5" Type="http://schemas.openxmlformats.org/officeDocument/2006/relationships/hyperlink" Target="http://www.sec.gov/cgi-bin/browse-edgar?action=getcompany&amp;CIK=000160636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334430" TargetMode="External"/><Relationship Id="rId9" Type="http://schemas.openxmlformats.org/officeDocument/2006/relationships/hyperlink" Target="http://www.sec.gov/cgi-bin/browse-edgar?action=getcompany&amp;CIK=0001334429" TargetMode="External"/><Relationship Id="rId10" Type="http://schemas.openxmlformats.org/officeDocument/2006/relationships/hyperlink" Target="http://www.sec.gov/cgi-bin/browse-edgar?action=getcompany&amp;CIK=0001580602" TargetMode="External"/><Relationship Id="rId11" Type="http://schemas.openxmlformats.org/officeDocument/2006/relationships/hyperlink" Target="http://www.sec.gov/cgi-bin/browse-edgar?action=getcompany&amp;CIK=0001726173" TargetMode="External"/><Relationship Id="rId12" Type="http://schemas.openxmlformats.org/officeDocument/2006/relationships/hyperlink" Target="http://www.sec.gov/cgi-bin/browse-edgar?action=getcompany&amp;CIK=0002035328" TargetMode="External"/><Relationship Id="rId13" Type="http://schemas.openxmlformats.org/officeDocument/2006/relationships/hyperlink" Target="http://www.sec.gov/cgi-bin/browse-edgar?action=getcompany&amp;CIK=0002034968"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1324</Words>
  <Characters>7123</Characters>
  <CharactersWithSpaces>8280</CharactersWithSpaces>
  <Paragraphs>213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