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507480"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7480" cy="23495"/>
                    </a:xfrm>
                    <a:prstGeom prst="rect">
                      <a:avLst/>
                    </a:prstGeom>
                    <a:noFill/>
                  </pic:spPr>
                </pic:pic>
              </a:graphicData>
            </a:graphic>
          </wp:anchor>
        </w:drawing>
      </w:r>
    </w:p>
    <w:p>
      <w:pPr>
        <w:spacing w:after="0" w:line="288"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0"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53"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30"/>
          <w:szCs w:val="30"/>
          <w:b w:val="1"/>
          <w:bCs w:val="1"/>
          <w:color w:val="auto"/>
        </w:rPr>
        <w:t>SCHEDULE 14A</w:t>
      </w:r>
    </w:p>
    <w:p>
      <w:pPr>
        <w:spacing w:after="0" w:line="2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w:t>
      </w:r>
    </w:p>
    <w:p>
      <w:pPr>
        <w:jc w:val="center"/>
        <w:ind w:right="-620"/>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11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10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04" w:lineRule="exact"/>
        <w:rPr>
          <w:sz w:val="24"/>
          <w:szCs w:val="24"/>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104"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Confidential, for Use of the Commission Only (as permitted by Rule 14a-6(e)(2))</w:t>
      </w:r>
    </w:p>
    <w:p>
      <w:pPr>
        <w:spacing w:after="0" w:line="104" w:lineRule="exact"/>
        <w:rPr>
          <w:sz w:val="24"/>
          <w:szCs w:val="24"/>
          <w:color w:val="auto"/>
        </w:rPr>
      </w:pPr>
    </w:p>
    <w:p>
      <w:pPr>
        <w:ind w:left="200" w:hanging="197"/>
        <w:spacing w:after="0"/>
        <w:tabs>
          <w:tab w:leader="none" w:pos="2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104" w:lineRule="exact"/>
        <w:rPr>
          <w:sz w:val="24"/>
          <w:szCs w:val="24"/>
          <w:color w:val="auto"/>
        </w:rPr>
      </w:pPr>
    </w:p>
    <w:p>
      <w:pPr>
        <w:ind w:left="200" w:hanging="197"/>
        <w:spacing w:after="0"/>
        <w:tabs>
          <w:tab w:leader="none" w:pos="2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104" w:lineRule="exact"/>
        <w:rPr>
          <w:rFonts w:ascii="MS PGothic" w:cs="MS PGothic" w:eastAsia="MS PGothic" w:hAnsi="MS PGothic"/>
          <w:sz w:val="17"/>
          <w:szCs w:val="17"/>
          <w:color w:val="auto"/>
        </w:rPr>
      </w:pPr>
    </w:p>
    <w:p>
      <w:pPr>
        <w:ind w:left="200" w:hanging="197"/>
        <w:spacing w:after="0"/>
        <w:tabs>
          <w:tab w:leader="none" w:pos="2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 240.14a-12</w:t>
      </w:r>
    </w:p>
    <w:p>
      <w:pPr>
        <w:spacing w:after="0" w:line="75"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40"/>
          <w:szCs w:val="40"/>
          <w:b w:val="1"/>
          <w:bCs w:val="1"/>
          <w:color w:val="auto"/>
        </w:rPr>
        <w:t>El Pollo Loco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65074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7480" cy="7620"/>
                    </a:xfrm>
                    <a:prstGeom prst="rect">
                      <a:avLst/>
                    </a:prstGeom>
                    <a:noFill/>
                  </pic:spPr>
                </pic:pic>
              </a:graphicData>
            </a:graphic>
          </wp:anchor>
        </w:drawing>
      </w:r>
    </w:p>
    <w:p>
      <w:pPr>
        <w:spacing w:after="0" w:line="24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5074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07480" cy="7620"/>
                    </a:xfrm>
                    <a:prstGeom prst="rect">
                      <a:avLst/>
                    </a:prstGeom>
                    <a:noFill/>
                  </pic:spPr>
                </pic:pic>
              </a:graphicData>
            </a:graphic>
          </wp:anchor>
        </w:drawing>
      </w:r>
    </w:p>
    <w:p>
      <w:pPr>
        <w:spacing w:after="0" w:line="222"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104" w:lineRule="exact"/>
        <w:rPr>
          <w:sz w:val="24"/>
          <w:szCs w:val="24"/>
          <w:color w:val="auto"/>
        </w:rPr>
      </w:pPr>
    </w:p>
    <w:p>
      <w:pPr>
        <w:ind w:left="200" w:hanging="197"/>
        <w:spacing w:after="0"/>
        <w:tabs>
          <w:tab w:leader="none" w:pos="2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04" w:lineRule="exact"/>
        <w:rPr>
          <w:sz w:val="24"/>
          <w:szCs w:val="24"/>
          <w:color w:val="auto"/>
        </w:rPr>
      </w:pPr>
    </w:p>
    <w:p>
      <w:pPr>
        <w:ind w:left="200" w:hanging="197"/>
        <w:spacing w:after="0"/>
        <w:tabs>
          <w:tab w:leader="none" w:pos="2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04" w:lineRule="exact"/>
        <w:rPr>
          <w:rFonts w:ascii="MS PGothic" w:cs="MS PGothic" w:eastAsia="MS PGothic" w:hAnsi="MS PGothic"/>
          <w:sz w:val="17"/>
          <w:szCs w:val="17"/>
          <w:color w:val="auto"/>
        </w:rPr>
      </w:pPr>
    </w:p>
    <w:p>
      <w:pPr>
        <w:ind w:left="200" w:hanging="197"/>
        <w:spacing w:after="0"/>
        <w:tabs>
          <w:tab w:leader="none" w:pos="2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680085</wp:posOffset>
            </wp:positionV>
            <wp:extent cx="650748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748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330835</wp:posOffset>
            </wp:positionV>
            <wp:extent cx="6507480" cy="23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7480" cy="23495"/>
                    </a:xfrm>
                    <a:prstGeom prst="rect">
                      <a:avLst/>
                    </a:prstGeom>
                    <a:noFill/>
                  </pic:spPr>
                </pic:pic>
              </a:graphicData>
            </a:graphic>
          </wp:anchor>
        </w:drawing>
      </w:r>
    </w:p>
    <w:p>
      <w:pPr>
        <w:sectPr>
          <w:pgSz w:w="11900" w:h="16838" w:orient="portrait"/>
          <w:cols w:equalWidth="0" w:num="1">
            <w:col w:w="9639"/>
          </w:cols>
          <w:pgMar w:left="820" w:top="623" w:right="1440"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695960</wp:posOffset>
            </wp:positionV>
            <wp:extent cx="777875" cy="785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7875" cy="785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EL POLLO LOCO HOLDINGS, INC.</w:t>
      </w:r>
    </w:p>
    <w:p>
      <w:pPr>
        <w:spacing w:after="0" w:line="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color w:val="auto"/>
        </w:rPr>
        <w:t>3535 Harbor Boulevard, Suite 100</w:t>
      </w:r>
    </w:p>
    <w:p>
      <w:pPr>
        <w:ind w:left="3580"/>
        <w:spacing w:after="0"/>
        <w:rPr>
          <w:sz w:val="20"/>
          <w:szCs w:val="20"/>
          <w:color w:val="auto"/>
        </w:rPr>
      </w:pPr>
      <w:r>
        <w:rPr>
          <w:rFonts w:ascii="Times New Roman" w:cs="Times New Roman" w:eastAsia="Times New Roman" w:hAnsi="Times New Roman"/>
          <w:sz w:val="20"/>
          <w:szCs w:val="20"/>
          <w:color w:val="auto"/>
        </w:rPr>
        <w:t>Costa Mesa, CA 92626</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NOTICE OF ANNUAL MEETING OF STOCKHOLDERS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TO BE HELD ON May 28, 2024</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Dear Stockholders of El Pollo Loco Holdings, Inc.:</w:t>
      </w:r>
    </w:p>
    <w:p>
      <w:pPr>
        <w:spacing w:after="0" w:line="204"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 xml:space="preserve">The 2024 annual meeting of stockholders of El Pollo Loco Holdings, Inc. (“we,” “us,” “our,” and the “Company”), will be held virtually via audio webcast at </w:t>
      </w:r>
      <w:r>
        <w:rPr>
          <w:rFonts w:ascii="Times New Roman" w:cs="Times New Roman" w:eastAsia="Times New Roman" w:hAnsi="Times New Roman"/>
          <w:sz w:val="17"/>
          <w:szCs w:val="17"/>
          <w:i w:val="1"/>
          <w:iCs w:val="1"/>
          <w:u w:val="single" w:color="auto"/>
          <w:color w:val="auto"/>
        </w:rPr>
        <w:t>www.virtualshareholdermeeting.com/LOCO202</w:t>
      </w:r>
      <w:r>
        <w:rPr>
          <w:rFonts w:ascii="Times New Roman" w:cs="Times New Roman" w:eastAsia="Times New Roman" w:hAnsi="Times New Roman"/>
          <w:sz w:val="17"/>
          <w:szCs w:val="17"/>
          <w:i w:val="1"/>
          <w:iCs w:val="1"/>
          <w:color w:val="auto"/>
        </w:rPr>
        <w:t>4</w:t>
      </w:r>
      <w:r>
        <w:rPr>
          <w:rFonts w:ascii="Times New Roman" w:cs="Times New Roman" w:eastAsia="Times New Roman" w:hAnsi="Times New Roman"/>
          <w:sz w:val="17"/>
          <w:szCs w:val="17"/>
          <w:color w:val="auto"/>
        </w:rPr>
        <w:t xml:space="preserve"> on Tuesday, May 28, 2024, at 1:00 p.m. Pacific Time to consider and vote on the following proposals:</w:t>
      </w:r>
    </w:p>
    <w:p>
      <w:pPr>
        <w:spacing w:after="0" w:line="169" w:lineRule="exact"/>
        <w:rPr>
          <w:sz w:val="20"/>
          <w:szCs w:val="20"/>
          <w:color w:val="auto"/>
        </w:rPr>
      </w:pPr>
    </w:p>
    <w:p>
      <w:pPr>
        <w:ind w:left="340" w:right="59" w:hanging="296"/>
        <w:spacing w:after="0" w:line="271" w:lineRule="auto"/>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 of the two director nominees named in the accompanying proxy statement as Class I directors to serve until the 2027 annual meeting of stockholders and until their respective successors are duly elected and qualified;</w:t>
      </w:r>
    </w:p>
    <w:p>
      <w:pPr>
        <w:spacing w:after="0" w:line="158" w:lineRule="exact"/>
        <w:rPr>
          <w:rFonts w:ascii="Times New Roman" w:cs="Times New Roman" w:eastAsia="Times New Roman" w:hAnsi="Times New Roman"/>
          <w:sz w:val="17"/>
          <w:szCs w:val="17"/>
          <w:color w:val="auto"/>
        </w:rPr>
      </w:pPr>
    </w:p>
    <w:p>
      <w:pPr>
        <w:ind w:left="340" w:hanging="29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Ratification of the appointment of BDO USA, P.C., as our independent registered public accounting firm for 2024;</w:t>
      </w:r>
    </w:p>
    <w:p>
      <w:pPr>
        <w:spacing w:after="0" w:line="204" w:lineRule="exact"/>
        <w:rPr>
          <w:rFonts w:ascii="Times New Roman" w:cs="Times New Roman" w:eastAsia="Times New Roman" w:hAnsi="Times New Roman"/>
          <w:sz w:val="17"/>
          <w:szCs w:val="17"/>
          <w:color w:val="auto"/>
        </w:rPr>
      </w:pPr>
    </w:p>
    <w:p>
      <w:pPr>
        <w:ind w:left="340" w:hanging="29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an amendment of our Certificate of Incorporation to provide for exculpation of certain officers;</w:t>
      </w:r>
    </w:p>
    <w:p>
      <w:pPr>
        <w:spacing w:after="0" w:line="204" w:lineRule="exact"/>
        <w:rPr>
          <w:rFonts w:ascii="Times New Roman" w:cs="Times New Roman" w:eastAsia="Times New Roman" w:hAnsi="Times New Roman"/>
          <w:sz w:val="17"/>
          <w:szCs w:val="17"/>
          <w:color w:val="auto"/>
        </w:rPr>
      </w:pPr>
    </w:p>
    <w:p>
      <w:pPr>
        <w:ind w:left="340" w:hanging="29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on an advisory (non-binding) basis, of the compensation of our named executive officers;</w:t>
      </w:r>
    </w:p>
    <w:p>
      <w:pPr>
        <w:spacing w:after="0" w:line="204" w:lineRule="exact"/>
        <w:rPr>
          <w:rFonts w:ascii="Times New Roman" w:cs="Times New Roman" w:eastAsia="Times New Roman" w:hAnsi="Times New Roman"/>
          <w:sz w:val="17"/>
          <w:szCs w:val="17"/>
          <w:color w:val="auto"/>
        </w:rPr>
      </w:pPr>
    </w:p>
    <w:p>
      <w:pPr>
        <w:ind w:left="340" w:right="59" w:hanging="296"/>
        <w:spacing w:after="0" w:line="271" w:lineRule="auto"/>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an amendment to our Equity Incentive Plan, including an increase the number of shares of Common Stock reserved for issuance thereunder; and</w:t>
      </w:r>
    </w:p>
    <w:p>
      <w:pPr>
        <w:spacing w:after="0" w:line="158" w:lineRule="exact"/>
        <w:rPr>
          <w:rFonts w:ascii="Times New Roman" w:cs="Times New Roman" w:eastAsia="Times New Roman" w:hAnsi="Times New Roman"/>
          <w:sz w:val="17"/>
          <w:szCs w:val="17"/>
          <w:color w:val="auto"/>
        </w:rPr>
      </w:pPr>
    </w:p>
    <w:p>
      <w:pPr>
        <w:ind w:left="340" w:hanging="29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 of such other business as may properly come before the meeting or any adjournments or postponements thereof.</w:t>
      </w:r>
    </w:p>
    <w:p>
      <w:pPr>
        <w:spacing w:after="0" w:line="204"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7"/>
          <w:szCs w:val="17"/>
          <w:color w:val="auto"/>
        </w:rPr>
        <w:t xml:space="preserve">You will be able to participate online and submit your questions during the meeting by visiting </w:t>
      </w:r>
      <w:r>
        <w:rPr>
          <w:rFonts w:ascii="Times New Roman" w:cs="Times New Roman" w:eastAsia="Times New Roman" w:hAnsi="Times New Roman"/>
          <w:sz w:val="17"/>
          <w:szCs w:val="17"/>
          <w:i w:val="1"/>
          <w:iCs w:val="1"/>
          <w:u w:val="single" w:color="auto"/>
          <w:color w:val="auto"/>
        </w:rPr>
        <w:t>www.virtualshareholdermeeting.com/LOCO2024</w:t>
      </w:r>
      <w:r>
        <w:rPr>
          <w:rFonts w:ascii="Times New Roman" w:cs="Times New Roman" w:eastAsia="Times New Roman" w:hAnsi="Times New Roman"/>
          <w:sz w:val="17"/>
          <w:szCs w:val="17"/>
          <w:color w:val="auto"/>
        </w:rPr>
        <w:t>. You will also be able to vote electronically at the annual meeting. Details regarding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how to participate in the meeting online and the business to be conducted at the annual meeting are more fully described in the accompanying proxy statement.</w:t>
      </w:r>
    </w:p>
    <w:p>
      <w:pPr>
        <w:spacing w:after="0" w:line="17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 xml:space="preserve">Important Notice Regarding the Availability of Proxy Materials for the Annual Meeting of Stockholders to Be Held on May 28, 2024: This Notice, the proxy statement, and the 2023 Annual Report on Form 10-K are available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xml:space="preserve">. These materials are also available on our website at </w:t>
      </w:r>
      <w:r>
        <w:rPr>
          <w:rFonts w:ascii="Times New Roman" w:cs="Times New Roman" w:eastAsia="Times New Roman" w:hAnsi="Times New Roman"/>
          <w:sz w:val="17"/>
          <w:szCs w:val="17"/>
          <w:i w:val="1"/>
          <w:iCs w:val="1"/>
          <w:color w:val="auto"/>
        </w:rPr>
        <w:t>http://investor.elpolloloco.com</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7"/>
          <w:szCs w:val="17"/>
          <w:color w:val="auto"/>
        </w:rPr>
        <w:t xml:space="preserve">Our board of directors has fixed the close of business on April 1, 2024, as the record date for the determination of stockholders entitled to notice of and to vote at the annual meeting. Only stockholders of record will be entitled to notice of and to vote at the meeting or any adjournments or postponements thereof, with each share entitling its owner to one vote on each matter properly presented. A list of stockholders as of the record date may be accessed during the virtual annual meeting at </w:t>
      </w:r>
      <w:r>
        <w:rPr>
          <w:rFonts w:ascii="Times New Roman" w:cs="Times New Roman" w:eastAsia="Times New Roman" w:hAnsi="Times New Roman"/>
          <w:sz w:val="17"/>
          <w:szCs w:val="17"/>
          <w:i w:val="1"/>
          <w:iCs w:val="1"/>
          <w:u w:val="single" w:color="auto"/>
          <w:color w:val="auto"/>
        </w:rPr>
        <w:t>www.virtualshareholdermeeting.com/LOCO2024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using the control number included with the proxy materials you received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313690</wp:posOffset>
            </wp:positionV>
            <wp:extent cx="5666105"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right="59"/>
        <w:spacing w:after="0" w:line="276" w:lineRule="auto"/>
        <w:rPr>
          <w:sz w:val="20"/>
          <w:szCs w:val="20"/>
          <w:color w:val="auto"/>
        </w:rPr>
      </w:pPr>
      <w:r>
        <w:rPr>
          <w:rFonts w:ascii="Times New Roman" w:cs="Times New Roman" w:eastAsia="Times New Roman" w:hAnsi="Times New Roman"/>
          <w:sz w:val="17"/>
          <w:szCs w:val="17"/>
          <w:b w:val="1"/>
          <w:bCs w:val="1"/>
          <w:color w:val="auto"/>
        </w:rPr>
        <w:t>YOUR VOTE IS IMPORTANT. We hope that you will attend the annual meeting. Whether or not you do, please vote in advance online, by telephone, or by mail.</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William R. Floyd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13335</wp:posOffset>
            </wp:positionV>
            <wp:extent cx="24206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20620" cy="7620"/>
                    </a:xfrm>
                    <a:prstGeom prst="rect">
                      <a:avLst/>
                    </a:prstGeom>
                    <a:noFill/>
                  </pic:spPr>
                </pic:pic>
              </a:graphicData>
            </a:graphic>
          </wp:anchor>
        </w:drawing>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William R. Floyd</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Chairperson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Costa Mesa, California</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April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709295</wp:posOffset>
            </wp:positionV>
            <wp:extent cx="5666105" cy="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2349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3" w:name="page4"/>
    <w:bookmarkEnd w:id="3"/>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EL POLLO LOCO HOLDINGS, INC.</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PROXY STATEMENT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04"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8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w w:val="99"/>
              </w:rPr>
              <w:t>Introduction</w:t>
            </w:r>
          </w:p>
        </w:tc>
        <w:tc>
          <w:tcPr>
            <w:tcW w:w="6380" w:type="dxa"/>
            <w:vAlign w:val="bottom"/>
            <w:gridSpan w:val="34"/>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7"/>
        </w:trPr>
        <w:tc>
          <w:tcPr>
            <w:tcW w:w="5060" w:type="dxa"/>
            <w:vAlign w:val="bottom"/>
            <w:tcBorders>
              <w:bottom w:val="single" w:sz="8" w:color="0000EE"/>
            </w:tcBorders>
            <w:gridSpan w:val="37"/>
          </w:tcPr>
          <w:p>
            <w:pPr>
              <w:spacing w:after="0"/>
              <w:rPr>
                <w:sz w:val="20"/>
                <w:szCs w:val="20"/>
                <w:color w:val="auto"/>
              </w:rPr>
            </w:pPr>
            <w:r>
              <w:rPr>
                <w:rFonts w:ascii="Times New Roman" w:cs="Times New Roman" w:eastAsia="Times New Roman" w:hAnsi="Times New Roman"/>
                <w:sz w:val="17"/>
                <w:szCs w:val="17"/>
                <w:color w:val="0000EE"/>
                <w:w w:val="97"/>
              </w:rPr>
              <w:t>Questions and Answers About the Proxy Materials and the Annual Meeting</w:t>
            </w:r>
          </w:p>
        </w:tc>
        <w:tc>
          <w:tcPr>
            <w:tcW w:w="2180" w:type="dxa"/>
            <w:vAlign w:val="bottom"/>
            <w:gridSpan w:val="2"/>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7"/>
        </w:trPr>
        <w:tc>
          <w:tcPr>
            <w:tcW w:w="22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7"/>
                <w:szCs w:val="17"/>
                <w:color w:val="0000EE"/>
                <w:w w:val="97"/>
              </w:rPr>
              <w:t>Proposal 1: Election of Directors</w:t>
            </w:r>
          </w:p>
        </w:tc>
        <w:tc>
          <w:tcPr>
            <w:tcW w:w="5040" w:type="dxa"/>
            <w:vAlign w:val="bottom"/>
            <w:gridSpan w:val="19"/>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7"/>
        </w:trPr>
        <w:tc>
          <w:tcPr>
            <w:tcW w:w="724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Information Regarding the Board of Directors</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
        </w:trPr>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5040" w:type="dxa"/>
            <w:vAlign w:val="bottom"/>
            <w:tcBorders>
              <w:bottom w:val="single" w:sz="8" w:color="0000EE"/>
            </w:tcBorders>
            <w:gridSpan w:val="36"/>
          </w:tcPr>
          <w:p>
            <w:pPr>
              <w:spacing w:after="0"/>
              <w:rPr>
                <w:sz w:val="20"/>
                <w:szCs w:val="20"/>
                <w:color w:val="auto"/>
              </w:rPr>
            </w:pPr>
            <w:r>
              <w:rPr>
                <w:rFonts w:ascii="Times New Roman" w:cs="Times New Roman" w:eastAsia="Times New Roman" w:hAnsi="Times New Roman"/>
                <w:sz w:val="17"/>
                <w:szCs w:val="17"/>
                <w:color w:val="0000EE"/>
                <w:w w:val="97"/>
              </w:rPr>
              <w:t>Proposal 2: Ratification of Independent Registered Public Accounting Firm</w:t>
            </w:r>
          </w:p>
        </w:tc>
        <w:tc>
          <w:tcPr>
            <w:tcW w:w="2200" w:type="dxa"/>
            <w:vAlign w:val="bottom"/>
            <w:gridSpan w:val="3"/>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7"/>
        </w:trPr>
        <w:tc>
          <w:tcPr>
            <w:tcW w:w="16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w w:val="98"/>
              </w:rPr>
              <w:t>Audit Committee Report</w:t>
            </w:r>
          </w:p>
        </w:tc>
        <w:tc>
          <w:tcPr>
            <w:tcW w:w="5560" w:type="dxa"/>
            <w:vAlign w:val="bottom"/>
            <w:gridSpan w:val="26"/>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30"/>
        </w:trPr>
        <w:tc>
          <w:tcPr>
            <w:tcW w:w="7240" w:type="dxa"/>
            <w:vAlign w:val="bottom"/>
            <w:tcBorders>
              <w:bottom w:val="single" w:sz="8" w:color="0000EE"/>
            </w:tcBorders>
            <w:gridSpan w:val="39"/>
          </w:tcPr>
          <w:p>
            <w:pPr>
              <w:spacing w:after="0"/>
              <w:rPr>
                <w:sz w:val="20"/>
                <w:szCs w:val="20"/>
                <w:color w:val="auto"/>
              </w:rPr>
            </w:pPr>
            <w:r>
              <w:rPr>
                <w:rFonts w:ascii="Times New Roman" w:cs="Times New Roman" w:eastAsia="Times New Roman" w:hAnsi="Times New Roman"/>
                <w:sz w:val="17"/>
                <w:szCs w:val="17"/>
                <w:color w:val="0000EE"/>
                <w:w w:val="97"/>
              </w:rPr>
              <w:t>Proposal 3 Amendment Of The Certificate Of Incorporation To Provide For Exculpation Of Certain Officers</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05"/>
        </w:trPr>
        <w:tc>
          <w:tcPr>
            <w:tcW w:w="724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Proposal 4: Advisory Vote to Approve the Compensation of Named Executive Officers</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7"/>
        </w:trPr>
        <w:tc>
          <w:tcPr>
            <w:tcW w:w="4320" w:type="dxa"/>
            <w:vAlign w:val="bottom"/>
            <w:tcBorders>
              <w:top w:val="single" w:sz="8" w:color="0000EE"/>
              <w:bottom w:val="single" w:sz="8" w:color="0000EE"/>
            </w:tcBorders>
            <w:gridSpan w:val="34"/>
          </w:tcPr>
          <w:p>
            <w:pPr>
              <w:spacing w:after="0"/>
              <w:rPr>
                <w:sz w:val="20"/>
                <w:szCs w:val="20"/>
                <w:color w:val="auto"/>
              </w:rPr>
            </w:pPr>
            <w:r>
              <w:rPr>
                <w:rFonts w:ascii="Times New Roman" w:cs="Times New Roman" w:eastAsia="Times New Roman" w:hAnsi="Times New Roman"/>
                <w:sz w:val="17"/>
                <w:szCs w:val="17"/>
                <w:color w:val="0000EE"/>
                <w:w w:val="97"/>
              </w:rPr>
              <w:t>Proposal 5: Approval of our Equity Incentive Plan, As Amended</w:t>
            </w:r>
          </w:p>
        </w:tc>
        <w:tc>
          <w:tcPr>
            <w:tcW w:w="1480" w:type="dxa"/>
            <w:vAlign w:val="bottom"/>
            <w:tcBorders>
              <w:top w:val="single" w:sz="8" w:color="0000EE"/>
            </w:tcBorders>
            <w:gridSpan w:val="4"/>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7"/>
        </w:trPr>
        <w:tc>
          <w:tcPr>
            <w:tcW w:w="15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w w:val="98"/>
              </w:rPr>
              <w:t>Director Compensation</w:t>
            </w:r>
          </w:p>
        </w:tc>
        <w:tc>
          <w:tcPr>
            <w:tcW w:w="5660" w:type="dxa"/>
            <w:vAlign w:val="bottom"/>
            <w:gridSpan w:val="29"/>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7"/>
        </w:trPr>
        <w:tc>
          <w:tcPr>
            <w:tcW w:w="724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Governance of the Company</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7"/>
        </w:trPr>
        <w:tc>
          <w:tcPr>
            <w:tcW w:w="300" w:type="dxa"/>
            <w:vAlign w:val="bottom"/>
            <w:tcBorders>
              <w:top w:val="single" w:sz="8" w:color="0000EE"/>
            </w:tcBorders>
          </w:tcPr>
          <w:p>
            <w:pPr>
              <w:spacing w:after="0"/>
              <w:rPr>
                <w:sz w:val="18"/>
                <w:szCs w:val="18"/>
                <w:color w:val="auto"/>
              </w:rPr>
            </w:pPr>
          </w:p>
        </w:tc>
        <w:tc>
          <w:tcPr>
            <w:tcW w:w="13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w w:val="97"/>
              </w:rPr>
              <w:t>Board Composition</w:t>
            </w:r>
          </w:p>
        </w:tc>
        <w:tc>
          <w:tcPr>
            <w:tcW w:w="300" w:type="dxa"/>
            <w:vAlign w:val="bottom"/>
            <w:tcBorders>
              <w:top w:val="single" w:sz="8" w:color="0000EE"/>
            </w:tcBorders>
            <w:gridSpan w:val="6"/>
          </w:tcPr>
          <w:p>
            <w:pPr>
              <w:spacing w:after="0"/>
              <w:rPr>
                <w:sz w:val="18"/>
                <w:szCs w:val="18"/>
                <w:color w:val="auto"/>
              </w:rPr>
            </w:pPr>
          </w:p>
        </w:tc>
        <w:tc>
          <w:tcPr>
            <w:tcW w:w="5320" w:type="dxa"/>
            <w:vAlign w:val="bottom"/>
            <w:gridSpan w:val="22"/>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7"/>
        </w:trPr>
        <w:tc>
          <w:tcPr>
            <w:tcW w:w="300" w:type="dxa"/>
            <w:vAlign w:val="bottom"/>
          </w:tcPr>
          <w:p>
            <w:pPr>
              <w:spacing w:after="0"/>
              <w:rPr>
                <w:sz w:val="18"/>
                <w:szCs w:val="18"/>
                <w:color w:val="auto"/>
              </w:rPr>
            </w:pPr>
          </w:p>
        </w:tc>
        <w:tc>
          <w:tcPr>
            <w:tcW w:w="6940" w:type="dxa"/>
            <w:vAlign w:val="bottom"/>
            <w:gridSpan w:val="38"/>
          </w:tcPr>
          <w:p>
            <w:pPr>
              <w:spacing w:after="0"/>
              <w:rPr>
                <w:sz w:val="20"/>
                <w:szCs w:val="20"/>
                <w:color w:val="auto"/>
              </w:rPr>
            </w:pPr>
            <w:r>
              <w:rPr>
                <w:rFonts w:ascii="Times New Roman" w:cs="Times New Roman" w:eastAsia="Times New Roman" w:hAnsi="Times New Roman"/>
                <w:sz w:val="17"/>
                <w:szCs w:val="17"/>
                <w:color w:val="0000EE"/>
              </w:rPr>
              <w:t>Board Leadership Structure</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0"/>
        </w:trPr>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300" w:type="dxa"/>
            <w:vAlign w:val="bottom"/>
          </w:tcPr>
          <w:p>
            <w:pPr>
              <w:spacing w:after="0"/>
              <w:rPr>
                <w:sz w:val="18"/>
                <w:szCs w:val="18"/>
                <w:color w:val="auto"/>
              </w:rPr>
            </w:pPr>
          </w:p>
        </w:tc>
        <w:tc>
          <w:tcPr>
            <w:tcW w:w="254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7"/>
                <w:szCs w:val="17"/>
                <w:color w:val="0000EE"/>
                <w:w w:val="98"/>
              </w:rPr>
              <w:t>Code of Business Conduct and Ethics</w:t>
            </w:r>
          </w:p>
        </w:tc>
        <w:tc>
          <w:tcPr>
            <w:tcW w:w="4400" w:type="dxa"/>
            <w:vAlign w:val="bottom"/>
            <w:gridSpan w:val="10"/>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7"/>
        </w:trPr>
        <w:tc>
          <w:tcPr>
            <w:tcW w:w="300" w:type="dxa"/>
            <w:vAlign w:val="bottom"/>
          </w:tcPr>
          <w:p>
            <w:pPr>
              <w:spacing w:after="0"/>
              <w:rPr>
                <w:sz w:val="18"/>
                <w:szCs w:val="18"/>
                <w:color w:val="auto"/>
              </w:rPr>
            </w:pPr>
          </w:p>
        </w:tc>
        <w:tc>
          <w:tcPr>
            <w:tcW w:w="22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7"/>
                <w:szCs w:val="17"/>
                <w:color w:val="0000EE"/>
                <w:w w:val="97"/>
              </w:rPr>
              <w:t>Corporate Governance Guidelines</w:t>
            </w:r>
          </w:p>
        </w:tc>
        <w:tc>
          <w:tcPr>
            <w:tcW w:w="4660" w:type="dxa"/>
            <w:vAlign w:val="bottom"/>
            <w:gridSpan w:val="15"/>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7"/>
        </w:trPr>
        <w:tc>
          <w:tcPr>
            <w:tcW w:w="300" w:type="dxa"/>
            <w:vAlign w:val="bottom"/>
          </w:tcPr>
          <w:p>
            <w:pPr>
              <w:spacing w:after="0"/>
              <w:rPr>
                <w:sz w:val="18"/>
                <w:szCs w:val="18"/>
                <w:color w:val="auto"/>
              </w:rPr>
            </w:pPr>
          </w:p>
        </w:tc>
        <w:tc>
          <w:tcPr>
            <w:tcW w:w="15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w w:val="97"/>
              </w:rPr>
              <w:t>Role in Risk Oversight</w:t>
            </w:r>
          </w:p>
        </w:tc>
        <w:tc>
          <w:tcPr>
            <w:tcW w:w="5400" w:type="dxa"/>
            <w:vAlign w:val="bottom"/>
            <w:gridSpan w:val="23"/>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7"/>
        </w:trPr>
        <w:tc>
          <w:tcPr>
            <w:tcW w:w="300" w:type="dxa"/>
            <w:vAlign w:val="bottom"/>
          </w:tcPr>
          <w:p>
            <w:pPr>
              <w:spacing w:after="0"/>
              <w:rPr>
                <w:sz w:val="18"/>
                <w:szCs w:val="18"/>
                <w:color w:val="auto"/>
              </w:rPr>
            </w:pPr>
          </w:p>
        </w:tc>
        <w:tc>
          <w:tcPr>
            <w:tcW w:w="6940" w:type="dxa"/>
            <w:vAlign w:val="bottom"/>
            <w:gridSpan w:val="38"/>
          </w:tcPr>
          <w:p>
            <w:pPr>
              <w:spacing w:after="0"/>
              <w:rPr>
                <w:sz w:val="20"/>
                <w:szCs w:val="20"/>
                <w:color w:val="auto"/>
              </w:rPr>
            </w:pPr>
            <w:r>
              <w:rPr>
                <w:rFonts w:ascii="Times New Roman" w:cs="Times New Roman" w:eastAsia="Times New Roman" w:hAnsi="Times New Roman"/>
                <w:sz w:val="17"/>
                <w:szCs w:val="17"/>
                <w:color w:val="0000EE"/>
              </w:rPr>
              <w:t>Director Independence</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7"/>
        </w:trPr>
        <w:tc>
          <w:tcPr>
            <w:tcW w:w="300" w:type="dxa"/>
            <w:vAlign w:val="bottom"/>
          </w:tcPr>
          <w:p>
            <w:pPr>
              <w:spacing w:after="0"/>
              <w:rPr>
                <w:sz w:val="18"/>
                <w:szCs w:val="18"/>
                <w:color w:val="auto"/>
              </w:rPr>
            </w:pPr>
          </w:p>
        </w:tc>
        <w:tc>
          <w:tcPr>
            <w:tcW w:w="126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w w:val="96"/>
              </w:rPr>
              <w:t>Board Committees</w:t>
            </w:r>
          </w:p>
        </w:tc>
        <w:tc>
          <w:tcPr>
            <w:tcW w:w="260" w:type="dxa"/>
            <w:vAlign w:val="bottom"/>
            <w:tcBorders>
              <w:top w:val="single" w:sz="8" w:color="0000EE"/>
            </w:tcBorders>
            <w:gridSpan w:val="6"/>
          </w:tcPr>
          <w:p>
            <w:pPr>
              <w:spacing w:after="0"/>
              <w:rPr>
                <w:sz w:val="18"/>
                <w:szCs w:val="18"/>
                <w:color w:val="auto"/>
              </w:rPr>
            </w:pPr>
          </w:p>
        </w:tc>
        <w:tc>
          <w:tcPr>
            <w:tcW w:w="5420" w:type="dxa"/>
            <w:vAlign w:val="bottom"/>
            <w:gridSpan w:val="24"/>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7"/>
        </w:trPr>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40" w:type="dxa"/>
            <w:vAlign w:val="bottom"/>
            <w:gridSpan w:val="37"/>
          </w:tcPr>
          <w:p>
            <w:pPr>
              <w:spacing w:after="0"/>
              <w:rPr>
                <w:sz w:val="20"/>
                <w:szCs w:val="20"/>
                <w:color w:val="auto"/>
              </w:rPr>
            </w:pPr>
            <w:r>
              <w:rPr>
                <w:rFonts w:ascii="Times New Roman" w:cs="Times New Roman" w:eastAsia="Times New Roman" w:hAnsi="Times New Roman"/>
                <w:sz w:val="17"/>
                <w:szCs w:val="17"/>
                <w:color w:val="0000EE"/>
              </w:rPr>
              <w:t>Audit Committee</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40" w:type="dxa"/>
            <w:vAlign w:val="bottom"/>
            <w:gridSpan w:val="37"/>
          </w:tcPr>
          <w:p>
            <w:pPr>
              <w:spacing w:after="0"/>
              <w:rPr>
                <w:sz w:val="20"/>
                <w:szCs w:val="20"/>
                <w:color w:val="auto"/>
              </w:rPr>
            </w:pPr>
            <w:r>
              <w:rPr>
                <w:rFonts w:ascii="Times New Roman" w:cs="Times New Roman" w:eastAsia="Times New Roman" w:hAnsi="Times New Roman"/>
                <w:sz w:val="17"/>
                <w:szCs w:val="17"/>
                <w:color w:val="0000EE"/>
              </w:rPr>
              <w:t>Compensation Committee</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2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7"/>
                <w:szCs w:val="17"/>
                <w:color w:val="0000EE"/>
                <w:w w:val="97"/>
              </w:rPr>
              <w:t>Nominating and Corporate Governance Committee</w:t>
            </w:r>
          </w:p>
        </w:tc>
        <w:tc>
          <w:tcPr>
            <w:tcW w:w="3220" w:type="dxa"/>
            <w:vAlign w:val="bottom"/>
            <w:gridSpan w:val="6"/>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7"/>
        </w:trPr>
        <w:tc>
          <w:tcPr>
            <w:tcW w:w="300" w:type="dxa"/>
            <w:vAlign w:val="bottom"/>
          </w:tcPr>
          <w:p>
            <w:pPr>
              <w:spacing w:after="0"/>
              <w:rPr>
                <w:sz w:val="18"/>
                <w:szCs w:val="18"/>
                <w:color w:val="auto"/>
              </w:rPr>
            </w:pPr>
          </w:p>
        </w:tc>
        <w:tc>
          <w:tcPr>
            <w:tcW w:w="414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7"/>
                <w:szCs w:val="17"/>
                <w:color w:val="0000EE"/>
                <w:w w:val="97"/>
              </w:rPr>
              <w:t>Compensation Committee Interlocks and Insider Participation</w:t>
            </w:r>
          </w:p>
        </w:tc>
        <w:tc>
          <w:tcPr>
            <w:tcW w:w="2800" w:type="dxa"/>
            <w:vAlign w:val="bottom"/>
            <w:gridSpan w:val="4"/>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7"/>
        </w:trPr>
        <w:tc>
          <w:tcPr>
            <w:tcW w:w="300" w:type="dxa"/>
            <w:vAlign w:val="bottom"/>
          </w:tcPr>
          <w:p>
            <w:pPr>
              <w:spacing w:after="0"/>
              <w:rPr>
                <w:sz w:val="18"/>
                <w:szCs w:val="18"/>
                <w:color w:val="auto"/>
              </w:rPr>
            </w:pPr>
          </w:p>
        </w:tc>
        <w:tc>
          <w:tcPr>
            <w:tcW w:w="10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w w:val="97"/>
              </w:rPr>
              <w:t>Board Meetings</w:t>
            </w:r>
          </w:p>
        </w:tc>
        <w:tc>
          <w:tcPr>
            <w:tcW w:w="5860" w:type="dxa"/>
            <w:vAlign w:val="bottom"/>
            <w:gridSpan w:val="31"/>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7"/>
        </w:trPr>
        <w:tc>
          <w:tcPr>
            <w:tcW w:w="300" w:type="dxa"/>
            <w:vAlign w:val="bottom"/>
          </w:tcPr>
          <w:p>
            <w:pPr>
              <w:spacing w:after="0"/>
              <w:rPr>
                <w:sz w:val="18"/>
                <w:szCs w:val="18"/>
                <w:color w:val="auto"/>
              </w:rPr>
            </w:pPr>
          </w:p>
        </w:tc>
        <w:tc>
          <w:tcPr>
            <w:tcW w:w="6940" w:type="dxa"/>
            <w:vAlign w:val="bottom"/>
            <w:gridSpan w:val="38"/>
          </w:tcPr>
          <w:p>
            <w:pPr>
              <w:spacing w:after="0"/>
              <w:rPr>
                <w:sz w:val="20"/>
                <w:szCs w:val="20"/>
                <w:color w:val="auto"/>
              </w:rPr>
            </w:pPr>
            <w:r>
              <w:rPr>
                <w:rFonts w:ascii="Times New Roman" w:cs="Times New Roman" w:eastAsia="Times New Roman" w:hAnsi="Times New Roman"/>
                <w:sz w:val="17"/>
                <w:szCs w:val="17"/>
                <w:color w:val="0000EE"/>
              </w:rPr>
              <w:t>Annual Meeting Attendance</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7"/>
        </w:trPr>
        <w:tc>
          <w:tcPr>
            <w:tcW w:w="300" w:type="dxa"/>
            <w:vAlign w:val="bottom"/>
          </w:tcPr>
          <w:p>
            <w:pPr>
              <w:spacing w:after="0"/>
              <w:rPr>
                <w:sz w:val="18"/>
                <w:szCs w:val="18"/>
                <w:color w:val="auto"/>
              </w:rPr>
            </w:pPr>
          </w:p>
        </w:tc>
        <w:tc>
          <w:tcPr>
            <w:tcW w:w="138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w w:val="96"/>
              </w:rPr>
              <w:t>Succession Planning</w:t>
            </w:r>
          </w:p>
        </w:tc>
        <w:tc>
          <w:tcPr>
            <w:tcW w:w="500" w:type="dxa"/>
            <w:vAlign w:val="bottom"/>
            <w:tcBorders>
              <w:top w:val="single" w:sz="8" w:color="0000EE"/>
            </w:tcBorders>
            <w:gridSpan w:val="6"/>
          </w:tcPr>
          <w:p>
            <w:pPr>
              <w:spacing w:after="0"/>
              <w:rPr>
                <w:sz w:val="18"/>
                <w:szCs w:val="18"/>
                <w:color w:val="auto"/>
              </w:rPr>
            </w:pPr>
          </w:p>
        </w:tc>
        <w:tc>
          <w:tcPr>
            <w:tcW w:w="5060" w:type="dxa"/>
            <w:vAlign w:val="bottom"/>
            <w:gridSpan w:val="20"/>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7"/>
        </w:trPr>
        <w:tc>
          <w:tcPr>
            <w:tcW w:w="12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w w:val="96"/>
              </w:rPr>
              <w:t>Executive Officers</w:t>
            </w:r>
          </w:p>
        </w:tc>
        <w:tc>
          <w:tcPr>
            <w:tcW w:w="5980" w:type="dxa"/>
            <w:vAlign w:val="bottom"/>
            <w:gridSpan w:val="32"/>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7"/>
        </w:trPr>
        <w:tc>
          <w:tcPr>
            <w:tcW w:w="724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Compensation Discussion and Analysis</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17"/>
        </w:trPr>
        <w:tc>
          <w:tcPr>
            <w:tcW w:w="300" w:type="dxa"/>
            <w:vAlign w:val="bottom"/>
            <w:tcBorders>
              <w:top w:val="single" w:sz="8" w:color="0000EE"/>
            </w:tcBorders>
          </w:tcPr>
          <w:p>
            <w:pPr>
              <w:spacing w:after="0"/>
              <w:rPr>
                <w:sz w:val="18"/>
                <w:szCs w:val="18"/>
                <w:color w:val="auto"/>
              </w:rPr>
            </w:pPr>
          </w:p>
        </w:tc>
        <w:tc>
          <w:tcPr>
            <w:tcW w:w="136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7"/>
                <w:szCs w:val="17"/>
                <w:color w:val="0000EE"/>
                <w:w w:val="96"/>
              </w:rPr>
              <w:t>Executive Summary</w:t>
            </w:r>
          </w:p>
        </w:tc>
        <w:tc>
          <w:tcPr>
            <w:tcW w:w="980" w:type="dxa"/>
            <w:vAlign w:val="bottom"/>
            <w:tcBorders>
              <w:top w:val="single" w:sz="8" w:color="0000EE"/>
            </w:tcBorders>
            <w:gridSpan w:val="15"/>
          </w:tcPr>
          <w:p>
            <w:pPr>
              <w:spacing w:after="0"/>
              <w:rPr>
                <w:sz w:val="18"/>
                <w:szCs w:val="18"/>
                <w:color w:val="auto"/>
              </w:rPr>
            </w:pPr>
          </w:p>
        </w:tc>
        <w:tc>
          <w:tcPr>
            <w:tcW w:w="4600" w:type="dxa"/>
            <w:vAlign w:val="bottom"/>
            <w:gridSpan w:val="12"/>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17"/>
        </w:trPr>
        <w:tc>
          <w:tcPr>
            <w:tcW w:w="300" w:type="dxa"/>
            <w:vAlign w:val="bottom"/>
          </w:tcPr>
          <w:p>
            <w:pPr>
              <w:spacing w:after="0"/>
              <w:rPr>
                <w:sz w:val="18"/>
                <w:szCs w:val="18"/>
                <w:color w:val="auto"/>
              </w:rPr>
            </w:pPr>
          </w:p>
        </w:tc>
        <w:tc>
          <w:tcPr>
            <w:tcW w:w="23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7"/>
                <w:szCs w:val="17"/>
                <w:color w:val="0000EE"/>
                <w:w w:val="97"/>
              </w:rPr>
              <w:t>Overall Compensation Philosophy</w:t>
            </w:r>
          </w:p>
        </w:tc>
        <w:tc>
          <w:tcPr>
            <w:tcW w:w="4640" w:type="dxa"/>
            <w:vAlign w:val="bottom"/>
            <w:gridSpan w:val="14"/>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7"/>
        </w:trPr>
        <w:tc>
          <w:tcPr>
            <w:tcW w:w="300" w:type="dxa"/>
            <w:vAlign w:val="bottom"/>
          </w:tcPr>
          <w:p>
            <w:pPr>
              <w:spacing w:after="0"/>
              <w:rPr>
                <w:sz w:val="18"/>
                <w:szCs w:val="18"/>
                <w:color w:val="auto"/>
              </w:rPr>
            </w:pPr>
          </w:p>
        </w:tc>
        <w:tc>
          <w:tcPr>
            <w:tcW w:w="252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7"/>
                <w:szCs w:val="17"/>
                <w:color w:val="0000EE"/>
                <w:w w:val="97"/>
              </w:rPr>
              <w:t>Elements of Executive Compensation</w:t>
            </w:r>
          </w:p>
        </w:tc>
        <w:tc>
          <w:tcPr>
            <w:tcW w:w="4420" w:type="dxa"/>
            <w:vAlign w:val="bottom"/>
            <w:gridSpan w:val="11"/>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7"/>
        </w:trPr>
        <w:tc>
          <w:tcPr>
            <w:tcW w:w="300" w:type="dxa"/>
            <w:vAlign w:val="bottom"/>
          </w:tcPr>
          <w:p>
            <w:pPr>
              <w:spacing w:after="0"/>
              <w:rPr>
                <w:sz w:val="18"/>
                <w:szCs w:val="18"/>
                <w:color w:val="auto"/>
              </w:rPr>
            </w:pPr>
          </w:p>
        </w:tc>
        <w:tc>
          <w:tcPr>
            <w:tcW w:w="6940" w:type="dxa"/>
            <w:vAlign w:val="bottom"/>
            <w:gridSpan w:val="38"/>
          </w:tcPr>
          <w:p>
            <w:pPr>
              <w:spacing w:after="0"/>
              <w:rPr>
                <w:sz w:val="20"/>
                <w:szCs w:val="20"/>
                <w:color w:val="auto"/>
              </w:rPr>
            </w:pPr>
            <w:r>
              <w:rPr>
                <w:rFonts w:ascii="Times New Roman" w:cs="Times New Roman" w:eastAsia="Times New Roman" w:hAnsi="Times New Roman"/>
                <w:sz w:val="17"/>
                <w:szCs w:val="17"/>
                <w:color w:val="0000EE"/>
              </w:rPr>
              <w:t>Stockholder Advisory (Non-Binding) Vote on Executive Compensation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7"/>
        </w:trPr>
        <w:tc>
          <w:tcPr>
            <w:tcW w:w="300" w:type="dxa"/>
            <w:vAlign w:val="bottom"/>
          </w:tcPr>
          <w:p>
            <w:pPr>
              <w:spacing w:after="0"/>
              <w:rPr>
                <w:sz w:val="18"/>
                <w:szCs w:val="18"/>
                <w:color w:val="auto"/>
              </w:rPr>
            </w:pPr>
          </w:p>
        </w:tc>
        <w:tc>
          <w:tcPr>
            <w:tcW w:w="2760" w:type="dxa"/>
            <w:vAlign w:val="bottom"/>
            <w:tcBorders>
              <w:top w:val="single" w:sz="8" w:color="0000EE"/>
              <w:bottom w:val="single" w:sz="8" w:color="0000EE"/>
            </w:tcBorders>
            <w:gridSpan w:val="29"/>
          </w:tcPr>
          <w:p>
            <w:pPr>
              <w:spacing w:after="0"/>
              <w:rPr>
                <w:sz w:val="20"/>
                <w:szCs w:val="20"/>
                <w:color w:val="auto"/>
              </w:rPr>
            </w:pPr>
            <w:r>
              <w:rPr>
                <w:rFonts w:ascii="Times New Roman" w:cs="Times New Roman" w:eastAsia="Times New Roman" w:hAnsi="Times New Roman"/>
                <w:sz w:val="17"/>
                <w:szCs w:val="17"/>
                <w:color w:val="0000EE"/>
                <w:w w:val="98"/>
              </w:rPr>
              <w:t>Named Executive Officer Compensation</w:t>
            </w:r>
          </w:p>
        </w:tc>
        <w:tc>
          <w:tcPr>
            <w:tcW w:w="2000" w:type="dxa"/>
            <w:vAlign w:val="bottom"/>
            <w:tcBorders>
              <w:top w:val="single" w:sz="8" w:color="0000EE"/>
            </w:tcBorders>
            <w:gridSpan w:val="7"/>
          </w:tcPr>
          <w:p>
            <w:pPr>
              <w:spacing w:after="0"/>
              <w:rPr>
                <w:sz w:val="18"/>
                <w:szCs w:val="18"/>
                <w:color w:val="auto"/>
              </w:rPr>
            </w:pPr>
          </w:p>
        </w:tc>
        <w:tc>
          <w:tcPr>
            <w:tcW w:w="2180" w:type="dxa"/>
            <w:vAlign w:val="bottom"/>
            <w:gridSpan w:val="2"/>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7"/>
        </w:trPr>
        <w:tc>
          <w:tcPr>
            <w:tcW w:w="300" w:type="dxa"/>
            <w:vAlign w:val="bottom"/>
          </w:tcPr>
          <w:p>
            <w:pPr>
              <w:spacing w:after="0"/>
              <w:rPr>
                <w:sz w:val="18"/>
                <w:szCs w:val="18"/>
                <w:color w:val="auto"/>
              </w:rPr>
            </w:pPr>
          </w:p>
        </w:tc>
        <w:tc>
          <w:tcPr>
            <w:tcW w:w="19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7"/>
                <w:szCs w:val="17"/>
                <w:color w:val="0000EE"/>
                <w:w w:val="97"/>
              </w:rPr>
              <w:t>Other Compensation Policies</w:t>
            </w:r>
          </w:p>
        </w:tc>
        <w:tc>
          <w:tcPr>
            <w:tcW w:w="4980" w:type="dxa"/>
            <w:vAlign w:val="bottom"/>
            <w:gridSpan w:val="17"/>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7"/>
        </w:trPr>
        <w:tc>
          <w:tcPr>
            <w:tcW w:w="724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Compensation Committee Report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7"/>
        </w:trPr>
        <w:tc>
          <w:tcPr>
            <w:tcW w:w="224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7"/>
                <w:szCs w:val="17"/>
                <w:color w:val="0000EE"/>
              </w:rPr>
              <w:t>Executive Compensation Tables</w:t>
            </w:r>
          </w:p>
        </w:tc>
        <w:tc>
          <w:tcPr>
            <w:tcW w:w="5000" w:type="dxa"/>
            <w:vAlign w:val="bottom"/>
            <w:gridSpan w:val="18"/>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0"/>
        </w:trPr>
        <w:tc>
          <w:tcPr>
            <w:tcW w:w="8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0" w:type="dxa"/>
            <w:vAlign w:val="bottom"/>
            <w:gridSpan w:val="12"/>
            <w:shd w:val="clear" w:color="auto" w:fill="0000EE"/>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724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Security Ownership of Certain Beneficial Owners</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17"/>
        </w:trPr>
        <w:tc>
          <w:tcPr>
            <w:tcW w:w="3320" w:type="dxa"/>
            <w:vAlign w:val="bottom"/>
            <w:tcBorders>
              <w:top w:val="single" w:sz="8" w:color="0000EE"/>
            </w:tcBorders>
            <w:gridSpan w:val="31"/>
          </w:tcPr>
          <w:p>
            <w:pPr>
              <w:spacing w:after="0"/>
              <w:rPr>
                <w:sz w:val="20"/>
                <w:szCs w:val="20"/>
                <w:color w:val="auto"/>
              </w:rPr>
            </w:pPr>
            <w:r>
              <w:rPr>
                <w:rFonts w:ascii="Times New Roman" w:cs="Times New Roman" w:eastAsia="Times New Roman" w:hAnsi="Times New Roman"/>
                <w:sz w:val="17"/>
                <w:szCs w:val="17"/>
                <w:color w:val="0000EE"/>
              </w:rPr>
              <w:t>Equity Compensation Plan Information</w:t>
            </w:r>
          </w:p>
        </w:tc>
        <w:tc>
          <w:tcPr>
            <w:tcW w:w="3920" w:type="dxa"/>
            <w:vAlign w:val="bottom"/>
            <w:gridSpan w:val="8"/>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0"/>
        </w:trPr>
        <w:tc>
          <w:tcPr>
            <w:tcW w:w="8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80" w:type="dxa"/>
            <w:vAlign w:val="bottom"/>
            <w:gridSpan w:val="20"/>
            <w:shd w:val="clear" w:color="auto" w:fill="0000EE"/>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356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7"/>
                <w:szCs w:val="17"/>
                <w:color w:val="0000EE"/>
                <w:w w:val="97"/>
              </w:rPr>
              <w:t>Certain Relationships and Related Party Transactions</w:t>
            </w:r>
          </w:p>
        </w:tc>
        <w:tc>
          <w:tcPr>
            <w:tcW w:w="3680" w:type="dxa"/>
            <w:vAlign w:val="bottom"/>
            <w:gridSpan w:val="7"/>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17"/>
        </w:trPr>
        <w:tc>
          <w:tcPr>
            <w:tcW w:w="9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w w:val="96"/>
              </w:rPr>
              <w:t>Other Matters</w:t>
            </w:r>
          </w:p>
        </w:tc>
        <w:tc>
          <w:tcPr>
            <w:tcW w:w="6300" w:type="dxa"/>
            <w:vAlign w:val="bottom"/>
            <w:gridSpan w:val="33"/>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7"/>
        </w:trPr>
        <w:tc>
          <w:tcPr>
            <w:tcW w:w="8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w w:val="98"/>
              </w:rPr>
              <w:t>Appendix A</w:t>
            </w:r>
          </w:p>
        </w:tc>
        <w:tc>
          <w:tcPr>
            <w:tcW w:w="6400" w:type="dxa"/>
            <w:vAlign w:val="bottom"/>
            <w:gridSpan w:val="35"/>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A-1</w:t>
            </w:r>
          </w:p>
        </w:tc>
      </w:tr>
      <w:tr>
        <w:trPr>
          <w:trHeight w:val="217"/>
        </w:trPr>
        <w:tc>
          <w:tcPr>
            <w:tcW w:w="8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6"/>
              </w:rPr>
              <w:t>Appendix B</w:t>
            </w:r>
          </w:p>
        </w:tc>
        <w:tc>
          <w:tcPr>
            <w:tcW w:w="6420" w:type="dxa"/>
            <w:vAlign w:val="bottom"/>
            <w:gridSpan w:val="36"/>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B-1</w:t>
            </w:r>
          </w:p>
        </w:tc>
      </w:tr>
      <w:tr>
        <w:trPr>
          <w:trHeight w:val="217"/>
        </w:trPr>
        <w:tc>
          <w:tcPr>
            <w:tcW w:w="724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Appendix C</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C-1</w:t>
            </w:r>
          </w:p>
        </w:tc>
      </w:tr>
      <w:tr>
        <w:trPr>
          <w:trHeight w:val="610"/>
        </w:trPr>
        <w:tc>
          <w:tcPr>
            <w:tcW w:w="30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23" w:right="1440" w:bottom="1440" w:gutter="0" w:footer="0" w:header="0"/>
        </w:sectPr>
      </w:pPr>
    </w:p>
    <w:bookmarkStart w:id="4" w:name="page5"/>
    <w:bookmarkEnd w:id="4"/>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INTRODUCTION</w:t>
      </w:r>
    </w:p>
    <w:p>
      <w:pPr>
        <w:spacing w:after="0" w:line="221"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color w:val="auto"/>
        </w:rPr>
        <w:t>This proxy statement provides information for stockholders of El Pollo Loco Holdings, Inc. (“we,” “us,” “our,” and the “Company”), in connection with the solicitation of proxies on behalf of the Company and its board of directors (the “Board”) from holders of the outstanding shares of the Company’s common stock, par value $0.01 per share, for use at the Company’s annual meeting of stockholders to be held at 1:00 p.m. Pacific Time, on Tuesday, May 28, 2024, and at any adjournments or postponements thereof.</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At the annual meeting, stockholders will be asked to vote either directly or by proxy on the following matters discussed herein:</w:t>
      </w:r>
    </w:p>
    <w:p>
      <w:pPr>
        <w:spacing w:after="0" w:line="216" w:lineRule="exact"/>
        <w:rPr>
          <w:sz w:val="20"/>
          <w:szCs w:val="20"/>
          <w:color w:val="auto"/>
        </w:rPr>
      </w:pPr>
    </w:p>
    <w:p>
      <w:pPr>
        <w:ind w:left="820" w:right="219" w:hanging="292"/>
        <w:spacing w:after="0" w:line="271" w:lineRule="auto"/>
        <w:tabs>
          <w:tab w:leader="none" w:pos="8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 of the two director nominees named in the accompanying proxy statement as Class I directors to serve until the 2027 annual meeting of stockholders and until their respective successors are duly elected and qualified;</w:t>
      </w:r>
    </w:p>
    <w:p>
      <w:pPr>
        <w:spacing w:after="0" w:line="158"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Ratification of the appointment of BDO USA, P.C., as our independent registered public accounting firm for 2024;</w:t>
      </w:r>
    </w:p>
    <w:p>
      <w:pPr>
        <w:spacing w:after="0" w:line="204"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an amendment to our Certificate of Incorporation to provide for exculpation of officers;</w:t>
      </w:r>
    </w:p>
    <w:p>
      <w:pPr>
        <w:spacing w:after="0" w:line="204"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on an advisory (non-binding) basis, of the compensation of our named executive officers;</w:t>
      </w:r>
    </w:p>
    <w:p>
      <w:pPr>
        <w:spacing w:after="0" w:line="204" w:lineRule="exact"/>
        <w:rPr>
          <w:rFonts w:ascii="Times New Roman" w:cs="Times New Roman" w:eastAsia="Times New Roman" w:hAnsi="Times New Roman"/>
          <w:sz w:val="17"/>
          <w:szCs w:val="17"/>
          <w:color w:val="auto"/>
        </w:rPr>
      </w:pPr>
    </w:p>
    <w:p>
      <w:pPr>
        <w:ind w:left="820" w:right="219" w:hanging="292"/>
        <w:spacing w:after="0" w:line="271" w:lineRule="auto"/>
        <w:tabs>
          <w:tab w:leader="none" w:pos="8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an amendment to our Equity Incentive Plan, including an increase to the number of shares of Common Stock reserved for issuance thereunder; and</w:t>
      </w:r>
    </w:p>
    <w:p>
      <w:pPr>
        <w:spacing w:after="0" w:line="158" w:lineRule="exact"/>
        <w:rPr>
          <w:rFonts w:ascii="Times New Roman" w:cs="Times New Roman" w:eastAsia="Times New Roman" w:hAnsi="Times New Roman"/>
          <w:sz w:val="17"/>
          <w:szCs w:val="17"/>
          <w:color w:val="auto"/>
        </w:rPr>
      </w:pPr>
    </w:p>
    <w:p>
      <w:pPr>
        <w:ind w:left="820" w:right="219" w:hanging="292"/>
        <w:spacing w:after="0" w:line="271" w:lineRule="auto"/>
        <w:tabs>
          <w:tab w:leader="none" w:pos="8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 of such other business as may properly come before the meeting or any 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1826260</wp:posOffset>
            </wp:positionH>
            <wp:positionV relativeFrom="paragraph">
              <wp:posOffset>-546735</wp:posOffset>
            </wp:positionV>
            <wp:extent cx="3429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7620"/>
                    </a:xfrm>
                    <a:prstGeom prst="rect">
                      <a:avLst/>
                    </a:prstGeom>
                    <a:noFill/>
                  </pic:spPr>
                </pic:pic>
              </a:graphicData>
            </a:graphic>
          </wp:anchor>
        </w:drawing>
        <w:drawing>
          <wp:anchor simplePos="0" relativeHeight="251657728" behindDoc="1" locked="0" layoutInCell="0" allowOverlap="1">
            <wp:simplePos x="0" y="0"/>
            <wp:positionH relativeFrom="column">
              <wp:posOffset>1826260</wp:posOffset>
            </wp:positionH>
            <wp:positionV relativeFrom="paragraph">
              <wp:posOffset>-530860</wp:posOffset>
            </wp:positionV>
            <wp:extent cx="342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7620"/>
                    </a:xfrm>
                    <a:prstGeom prst="rect">
                      <a:avLst/>
                    </a:prstGeom>
                    <a:noFill/>
                  </pic:spPr>
                </pic:pic>
              </a:graphicData>
            </a:graphic>
          </wp:anchor>
        </w:drawing>
      </w:r>
    </w:p>
    <w:p>
      <w:pPr>
        <w:spacing w:after="0" w:line="138"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 xml:space="preserve">The Notice of Annual Meeting, this proxy statement, form of proxy, and our 2023 Annual Report on Form 10-K (“Annual Report”) are being distributed to stockholders on or about April 16, 2024. These materials are also available on our website at </w:t>
      </w:r>
      <w:r>
        <w:rPr>
          <w:rFonts w:ascii="Times New Roman" w:cs="Times New Roman" w:eastAsia="Times New Roman" w:hAnsi="Times New Roman"/>
          <w:sz w:val="17"/>
          <w:szCs w:val="17"/>
          <w:i w:val="1"/>
          <w:iCs w:val="1"/>
          <w:color w:val="auto"/>
        </w:rPr>
        <w:t>http://investor.elpolloloco.com</w:t>
      </w:r>
      <w:r>
        <w:rPr>
          <w:rFonts w:ascii="Times New Roman" w:cs="Times New Roman" w:eastAsia="Times New Roman" w:hAnsi="Times New Roman"/>
          <w:sz w:val="17"/>
          <w:szCs w:val="17"/>
          <w:i w:val="1"/>
          <w:iCs w:val="1"/>
          <w:u w:val="single" w:color="auto"/>
          <w:color w:val="auto"/>
        </w:rPr>
        <w:t>.</w:t>
      </w:r>
    </w:p>
    <w:p>
      <w:pPr>
        <w:spacing w:after="0" w:line="169"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color w:val="auto"/>
        </w:rPr>
        <w:t>In accordance with the rules and regulations adopted by the Securities and Exchange Commission (the “SEC”), we have elected to furnish our proxy materials, including this proxy statement and our Annual Report, to stockholders over the internet. Accordingly, we are mailing a Notice of Internet Availability of Proxy Materials (the “Notice”) to our stockholders that did not request paper copies of our proxy materials and Annual Report or are otherwise receiving the proxy materials electronically by email, while brokers, banks and other nominees who hold shares on behalf of beneficial owners will be sending their own similar Notice to the beneficial owners. The Notice contains instructions on how stockholders can access our proxy materials over the internet and vote their shares over the internet, via phone, or by mail. If you receive a Notice, you will not receive printed copies of our proxy materials unless you specifically request them.</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5" w:name="page6"/>
    <w:bookmarkEnd w:id="5"/>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660" w:right="1900"/>
        <w:spacing w:after="0" w:line="265" w:lineRule="auto"/>
        <w:rPr>
          <w:sz w:val="20"/>
          <w:szCs w:val="20"/>
          <w:color w:val="auto"/>
        </w:rPr>
      </w:pPr>
      <w:r>
        <w:rPr>
          <w:rFonts w:ascii="Times New Roman" w:cs="Times New Roman" w:eastAsia="Times New Roman" w:hAnsi="Times New Roman"/>
          <w:sz w:val="29"/>
          <w:szCs w:val="29"/>
          <w:b w:val="1"/>
          <w:bCs w:val="1"/>
          <w:color w:val="auto"/>
        </w:rPr>
        <w:t>QUESTIONS AND ANSWERS ABOUT THE PROXY MATERIALS AND THE ANNUAL MEETING</w:t>
      </w:r>
    </w:p>
    <w:p>
      <w:pPr>
        <w:spacing w:after="0" w:line="136" w:lineRule="exact"/>
        <w:rPr>
          <w:sz w:val="20"/>
          <w:szCs w:val="20"/>
          <w:color w:val="auto"/>
        </w:rPr>
      </w:pPr>
    </w:p>
    <w:p>
      <w:pPr>
        <w:ind w:left="200" w:right="219"/>
        <w:spacing w:after="0" w:line="271" w:lineRule="auto"/>
        <w:rPr>
          <w:sz w:val="20"/>
          <w:szCs w:val="20"/>
          <w:color w:val="auto"/>
        </w:rPr>
      </w:pPr>
      <w:r>
        <w:rPr>
          <w:rFonts w:ascii="Times New Roman" w:cs="Times New Roman" w:eastAsia="Times New Roman" w:hAnsi="Times New Roman"/>
          <w:sz w:val="17"/>
          <w:szCs w:val="17"/>
          <w:color w:val="auto"/>
        </w:rPr>
        <w:t>Although we encourage you to read this proxy statement in its entirety, we include this Q&amp;A section to provide some background information and brief answers to several questions you might have about the annual meeting.</w:t>
      </w:r>
    </w:p>
    <w:p>
      <w:pPr>
        <w:spacing w:after="0" w:line="146" w:lineRule="exact"/>
        <w:rPr>
          <w:sz w:val="20"/>
          <w:szCs w:val="20"/>
          <w:color w:val="auto"/>
        </w:rPr>
      </w:pPr>
    </w:p>
    <w:p>
      <w:pPr>
        <w:ind w:left="800" w:hanging="597"/>
        <w:spacing w:after="0"/>
        <w:tabs>
          <w:tab w:leader="none" w:pos="80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Why are we providing these materials?</w:t>
      </w:r>
    </w:p>
    <w:p>
      <w:pPr>
        <w:spacing w:after="0" w:line="208" w:lineRule="exact"/>
        <w:rPr>
          <w:sz w:val="20"/>
          <w:szCs w:val="20"/>
          <w:color w:val="auto"/>
        </w:rPr>
      </w:pPr>
    </w:p>
    <w:p>
      <w:pPr>
        <w:jc w:val="both"/>
        <w:ind w:left="200" w:right="219" w:firstLine="3"/>
        <w:spacing w:after="0" w:line="258" w:lineRule="auto"/>
        <w:tabs>
          <w:tab w:leader="none" w:pos="8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materials are provided to you in connection with our annual meeting, which will take place on Tuesday, May 28, 2024 at 1:00 p.m. Pacific Time. Stockholders are invited to participate in the annual meeting and are requested to vote on the proposals described herein.</w:t>
      </w:r>
    </w:p>
    <w:p>
      <w:pPr>
        <w:spacing w:after="0" w:line="157" w:lineRule="exact"/>
        <w:rPr>
          <w:sz w:val="20"/>
          <w:szCs w:val="20"/>
          <w:color w:val="auto"/>
        </w:rPr>
      </w:pPr>
    </w:p>
    <w:p>
      <w:pPr>
        <w:ind w:left="800" w:hanging="597"/>
        <w:spacing w:after="0"/>
        <w:tabs>
          <w:tab w:leader="none" w:pos="80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proposals will be voted on at the annual meeting?</w:t>
      </w:r>
    </w:p>
    <w:p>
      <w:pPr>
        <w:spacing w:after="0" w:line="208" w:lineRule="exact"/>
        <w:rPr>
          <w:sz w:val="20"/>
          <w:szCs w:val="20"/>
          <w:color w:val="auto"/>
        </w:rPr>
      </w:pPr>
    </w:p>
    <w:p>
      <w:pPr>
        <w:ind w:left="800" w:hanging="597"/>
        <w:spacing w:after="0"/>
        <w:tabs>
          <w:tab w:leader="none" w:pos="8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five proposals scheduled to be voted on at the annual meeting:</w:t>
      </w:r>
    </w:p>
    <w:p>
      <w:pPr>
        <w:spacing w:after="0" w:line="204" w:lineRule="exact"/>
        <w:rPr>
          <w:rFonts w:ascii="Times New Roman" w:cs="Times New Roman" w:eastAsia="Times New Roman" w:hAnsi="Times New Roman"/>
          <w:sz w:val="17"/>
          <w:szCs w:val="17"/>
          <w:color w:val="auto"/>
        </w:rPr>
      </w:pPr>
    </w:p>
    <w:p>
      <w:pPr>
        <w:ind w:left="1120" w:right="219" w:hanging="293"/>
        <w:spacing w:after="0" w:line="271" w:lineRule="auto"/>
        <w:tabs>
          <w:tab w:leader="none" w:pos="11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 of the two director nominees named in this proxy statement as Class I directors to serve until the 2027 annual meeting of stockholders and until their respective successors are duly elected and qualified.</w:t>
      </w:r>
    </w:p>
    <w:p>
      <w:pPr>
        <w:spacing w:after="0" w:line="58"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Ratification of the appointment of BDO USA, P.C., as our independent registered public accounting firm for 2024.</w:t>
      </w:r>
    </w:p>
    <w:p>
      <w:pPr>
        <w:spacing w:after="0" w:line="115" w:lineRule="exact"/>
        <w:rPr>
          <w:rFonts w:ascii="Times New Roman" w:cs="Times New Roman" w:eastAsia="Times New Roman" w:hAnsi="Times New Roman"/>
          <w:sz w:val="16"/>
          <w:szCs w:val="16"/>
          <w:color w:val="auto"/>
        </w:rPr>
      </w:pPr>
    </w:p>
    <w:p>
      <w:pPr>
        <w:ind w:left="1120" w:hanging="293"/>
        <w:spacing w:after="0"/>
        <w:tabs>
          <w:tab w:leader="none" w:pos="11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an amendment to our Certificate of Incorporation to provide for exculpation of officers.</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on an advisory (non-binding) basis, of the compensation of our named executive officers.</w:t>
      </w:r>
    </w:p>
    <w:p>
      <w:pPr>
        <w:spacing w:after="0" w:line="104" w:lineRule="exact"/>
        <w:rPr>
          <w:rFonts w:ascii="Times New Roman" w:cs="Times New Roman" w:eastAsia="Times New Roman" w:hAnsi="Times New Roman"/>
          <w:sz w:val="17"/>
          <w:szCs w:val="17"/>
          <w:color w:val="auto"/>
        </w:rPr>
      </w:pPr>
    </w:p>
    <w:p>
      <w:pPr>
        <w:ind w:left="1120" w:right="219" w:hanging="293"/>
        <w:spacing w:after="0" w:line="271" w:lineRule="auto"/>
        <w:tabs>
          <w:tab w:leader="none" w:pos="112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an amendment to our Equity Incentive Plan, including an increase to the number of shares of Common Stock reserved for issuance thereunder.</w:t>
      </w:r>
    </w:p>
    <w:p>
      <w:pPr>
        <w:spacing w:after="0" w:line="158" w:lineRule="exact"/>
        <w:rPr>
          <w:sz w:val="20"/>
          <w:szCs w:val="20"/>
          <w:color w:val="auto"/>
        </w:rPr>
      </w:pPr>
    </w:p>
    <w:p>
      <w:pPr>
        <w:ind w:left="200" w:right="219"/>
        <w:spacing w:after="0" w:line="271" w:lineRule="auto"/>
        <w:rPr>
          <w:sz w:val="20"/>
          <w:szCs w:val="20"/>
          <w:color w:val="auto"/>
        </w:rPr>
      </w:pPr>
      <w:r>
        <w:rPr>
          <w:rFonts w:ascii="Times New Roman" w:cs="Times New Roman" w:eastAsia="Times New Roman" w:hAnsi="Times New Roman"/>
          <w:sz w:val="17"/>
          <w:szCs w:val="17"/>
          <w:color w:val="auto"/>
        </w:rPr>
        <w:t>We will also consider any other business that properly comes before the annual meeting or any adjournment or postponement thereof.</w:t>
      </w:r>
    </w:p>
    <w:p>
      <w:pPr>
        <w:spacing w:after="0" w:line="146" w:lineRule="exact"/>
        <w:rPr>
          <w:sz w:val="20"/>
          <w:szCs w:val="20"/>
          <w:color w:val="auto"/>
        </w:rPr>
      </w:pPr>
    </w:p>
    <w:p>
      <w:pPr>
        <w:ind w:left="800" w:hanging="597"/>
        <w:spacing w:after="0"/>
        <w:tabs>
          <w:tab w:leader="none" w:pos="80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How does the Board recommend that I vote?</w:t>
      </w:r>
    </w:p>
    <w:p>
      <w:pPr>
        <w:spacing w:after="0" w:line="208" w:lineRule="exact"/>
        <w:rPr>
          <w:sz w:val="20"/>
          <w:szCs w:val="20"/>
          <w:color w:val="auto"/>
        </w:rPr>
      </w:pPr>
    </w:p>
    <w:p>
      <w:pPr>
        <w:ind w:left="800" w:hanging="597"/>
        <w:spacing w:after="0"/>
        <w:tabs>
          <w:tab w:leader="none" w:pos="8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recommends that you vote your shares:</w:t>
      </w:r>
    </w:p>
    <w:p>
      <w:pPr>
        <w:spacing w:after="0" w:line="2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ALL” the two Class I director nominees to be elected to the Board.</w:t>
      </w:r>
    </w:p>
    <w:p>
      <w:pPr>
        <w:spacing w:after="0" w:line="104" w:lineRule="exact"/>
        <w:rPr>
          <w:rFonts w:ascii="Times New Roman" w:cs="Times New Roman" w:eastAsia="Times New Roman" w:hAnsi="Times New Roman"/>
          <w:sz w:val="17"/>
          <w:szCs w:val="17"/>
          <w:color w:val="auto"/>
        </w:rPr>
      </w:pPr>
    </w:p>
    <w:p>
      <w:pPr>
        <w:ind w:left="1120" w:right="219" w:hanging="293"/>
        <w:spacing w:after="0" w:line="271" w:lineRule="auto"/>
        <w:tabs>
          <w:tab w:leader="none" w:pos="11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ratification of the appointment of BDO USA, P.C., as our independent registered public accounting firm for 2024.</w:t>
      </w:r>
    </w:p>
    <w:p>
      <w:pPr>
        <w:spacing w:after="0" w:line="58"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approval of an amendment to our Certificate of Incorporation to provide for exculpation of officers.</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compensation of our named executive officers.</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approval of an amendment to our Equity Incentive Plan.</w:t>
      </w:r>
    </w:p>
    <w:p>
      <w:pPr>
        <w:spacing w:after="0" w:line="192" w:lineRule="exact"/>
        <w:rPr>
          <w:sz w:val="20"/>
          <w:szCs w:val="20"/>
          <w:color w:val="auto"/>
        </w:rPr>
      </w:pPr>
    </w:p>
    <w:p>
      <w:pPr>
        <w:ind w:left="800" w:hanging="597"/>
        <w:spacing w:after="0"/>
        <w:tabs>
          <w:tab w:leader="none" w:pos="80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Can I attend the annual meeting?</w:t>
      </w:r>
    </w:p>
    <w:p>
      <w:pPr>
        <w:spacing w:after="0" w:line="204" w:lineRule="exact"/>
        <w:rPr>
          <w:sz w:val="20"/>
          <w:szCs w:val="20"/>
          <w:color w:val="auto"/>
        </w:rPr>
      </w:pPr>
    </w:p>
    <w:p>
      <w:pPr>
        <w:ind w:left="800" w:hanging="597"/>
        <w:spacing w:after="0"/>
        <w:tabs>
          <w:tab w:leader="none" w:pos="8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We will be hosting the annual meeting live via the internet. </w:t>
      </w:r>
      <w:r>
        <w:rPr>
          <w:rFonts w:ascii="Times New Roman" w:cs="Times New Roman" w:eastAsia="Times New Roman" w:hAnsi="Times New Roman"/>
          <w:sz w:val="17"/>
          <w:szCs w:val="17"/>
          <w:b w:val="1"/>
          <w:bCs w:val="1"/>
          <w:color w:val="auto"/>
        </w:rPr>
        <w:t>You will not be able to attend the annual meeting in</w:t>
      </w:r>
    </w:p>
    <w:p>
      <w:pPr>
        <w:spacing w:after="0" w:line="25" w:lineRule="exact"/>
        <w:rPr>
          <w:sz w:val="20"/>
          <w:szCs w:val="20"/>
          <w:color w:val="auto"/>
        </w:rPr>
      </w:pPr>
    </w:p>
    <w:p>
      <w:pPr>
        <w:ind w:left="200" w:right="219"/>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person. </w:t>
      </w:r>
      <w:r>
        <w:rPr>
          <w:rFonts w:ascii="Times New Roman" w:cs="Times New Roman" w:eastAsia="Times New Roman" w:hAnsi="Times New Roman"/>
          <w:sz w:val="17"/>
          <w:szCs w:val="17"/>
          <w:color w:val="auto"/>
        </w:rPr>
        <w:t>Any stockholder can listen to and participate in the annual meeting live via the internet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at </w:t>
      </w:r>
      <w:r>
        <w:rPr>
          <w:rFonts w:ascii="Times New Roman" w:cs="Times New Roman" w:eastAsia="Times New Roman" w:hAnsi="Times New Roman"/>
          <w:sz w:val="17"/>
          <w:szCs w:val="17"/>
          <w:i w:val="1"/>
          <w:iCs w:val="1"/>
          <w:u w:val="single" w:color="auto"/>
          <w:color w:val="auto"/>
        </w:rPr>
        <w:t>www.virtualshareholdermeeting.com/LOCO2024</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Our Board annually considers the appropriate format of our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6" w:name="page7"/>
    <w:bookmarkEnd w:id="6"/>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17"/>
          <w:szCs w:val="17"/>
          <w:color w:val="auto"/>
        </w:rPr>
        <w:t xml:space="preserve">annual meeting. Our virtual annual meeting allows stockholders to submit questions during the 15 minutes before the meeting and during the meeting. After the meeting, we will spend up to 15 minutes answering stockholder questions that comply with the meeting rules of conduct; the rules of conduct will be posted on the virtual meeting web portal. To the extent time doesn’t allow us to answer all of the appropriately submitted questions, we will answer them in writing on our investor relations website, at </w:t>
      </w:r>
      <w:r>
        <w:rPr>
          <w:rFonts w:ascii="Times New Roman" w:cs="Times New Roman" w:eastAsia="Times New Roman" w:hAnsi="Times New Roman"/>
          <w:sz w:val="17"/>
          <w:szCs w:val="17"/>
          <w:i w:val="1"/>
          <w:iCs w:val="1"/>
          <w:u w:val="single" w:color="auto"/>
          <w:color w:val="auto"/>
        </w:rPr>
        <w:t>https://investor.elpolloloco.com</w:t>
      </w:r>
      <w:r>
        <w:rPr>
          <w:rFonts w:ascii="Times New Roman" w:cs="Times New Roman" w:eastAsia="Times New Roman" w:hAnsi="Times New Roman"/>
          <w:sz w:val="17"/>
          <w:szCs w:val="17"/>
          <w:color w:val="auto"/>
        </w:rPr>
        <w:t>, soon after the meeting. If we receive substantially similar questions, we will group such questions together and provide a single response to avoid repetition.</w:t>
      </w:r>
    </w:p>
    <w:p>
      <w:pPr>
        <w:spacing w:after="0" w:line="178"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The annual meeting webcast will begin promptly at 1:00 p.m., Pacific Time. We encourage you to access the annual meeting webcast prior to the start time. Online check-in will begin, and stockholders may begin submitting written questions, at 12:45 p.m., Pacific Time, and you should allow ample time for the check-in procedures.</w:t>
      </w:r>
    </w:p>
    <w:p>
      <w:pPr>
        <w:spacing w:after="0" w:line="157" w:lineRule="exact"/>
        <w:rPr>
          <w:sz w:val="20"/>
          <w:szCs w:val="20"/>
          <w:color w:val="auto"/>
        </w:rPr>
      </w:pPr>
    </w:p>
    <w:p>
      <w:pPr>
        <w:ind w:left="800" w:hanging="597"/>
        <w:spacing w:after="0"/>
        <w:tabs>
          <w:tab w:leader="none" w:pos="800"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do I need in order to be able to participate in the annual meeting?</w:t>
      </w:r>
    </w:p>
    <w:p>
      <w:pPr>
        <w:spacing w:after="0" w:line="208" w:lineRule="exact"/>
        <w:rPr>
          <w:sz w:val="20"/>
          <w:szCs w:val="20"/>
          <w:color w:val="auto"/>
        </w:rPr>
      </w:pPr>
    </w:p>
    <w:p>
      <w:pPr>
        <w:jc w:val="both"/>
        <w:ind w:left="200" w:right="219" w:firstLine="3"/>
        <w:spacing w:after="0" w:line="250" w:lineRule="auto"/>
        <w:tabs>
          <w:tab w:leader="none" w:pos="8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 will need the control number to be able to vote your shares or submit questions during the annual meeting. The control number is included on your Notice or your proxy card or voting instruction form if you received a printed copy of the proxy materials or included in the email to you if you received the proxy materials by email. Instructions on how to connect to the annual meeting and participate via the internet are posted at </w:t>
      </w:r>
      <w:r>
        <w:rPr>
          <w:rFonts w:ascii="Times New Roman" w:cs="Times New Roman" w:eastAsia="Times New Roman" w:hAnsi="Times New Roman"/>
          <w:sz w:val="17"/>
          <w:szCs w:val="17"/>
          <w:i w:val="1"/>
          <w:iCs w:val="1"/>
          <w:u w:val="single" w:color="auto"/>
          <w:color w:val="auto"/>
        </w:rPr>
        <w:t>www.virtualshareholdermeeting.com/LOCO2024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If you do not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have your control number, you will be able to access and listen to the annual meeting, but you will not be able to vote your shares or submit questions during the annual meeting</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We will have technicians ready to assist you with any technical difficulties you may have accessing the virtual meeting or submitting questions. If you encounter any difficulties accessing the virtual meeting during the check-in or meeting time, please call the technical support number that will be posted on the virtual meeting web portal.</w:t>
      </w:r>
    </w:p>
    <w:p>
      <w:pPr>
        <w:spacing w:after="0" w:line="157" w:lineRule="exact"/>
        <w:rPr>
          <w:sz w:val="20"/>
          <w:szCs w:val="20"/>
          <w:color w:val="auto"/>
        </w:rPr>
      </w:pPr>
    </w:p>
    <w:p>
      <w:pPr>
        <w:ind w:left="800" w:hanging="597"/>
        <w:spacing w:after="0"/>
        <w:tabs>
          <w:tab w:leader="none" w:pos="80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Why is the Company holding the annual meeting virtually?</w:t>
      </w:r>
    </w:p>
    <w:p>
      <w:pPr>
        <w:spacing w:after="0" w:line="208" w:lineRule="exact"/>
        <w:rPr>
          <w:sz w:val="20"/>
          <w:szCs w:val="20"/>
          <w:color w:val="auto"/>
        </w:rPr>
      </w:pPr>
    </w:p>
    <w:p>
      <w:pPr>
        <w:jc w:val="both"/>
        <w:ind w:left="200" w:right="219" w:firstLine="3"/>
        <w:spacing w:after="0" w:line="249" w:lineRule="auto"/>
        <w:tabs>
          <w:tab w:leader="none" w:pos="8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embracing technology to provide expanded access, improved communication, reduced environmental impact and cost savings for our stockholders and the Company. Hosting a virtual meeting enables increased stockholder attendance and participation since stockholders can participate and ask questions from any location around the world, and it provides us an opportunity to give thoughtful responses. In addition, we intend that the virtual meeting format provide stockholders a similar level of transparency to the traditional in-person meeting format, and we take steps to ensure such an experience. Our stockholders will be afforded the same opportunities to participate at the virtual annual meeting as they would at an in-person annual meeting of stockholders.</w:t>
      </w:r>
    </w:p>
    <w:p>
      <w:pPr>
        <w:spacing w:after="0" w:line="167" w:lineRule="exact"/>
        <w:rPr>
          <w:sz w:val="20"/>
          <w:szCs w:val="20"/>
          <w:color w:val="auto"/>
        </w:rPr>
      </w:pPr>
    </w:p>
    <w:p>
      <w:pPr>
        <w:ind w:left="800" w:hanging="597"/>
        <w:spacing w:after="0"/>
        <w:tabs>
          <w:tab w:leader="none" w:pos="80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shares can I vote?</w:t>
      </w:r>
    </w:p>
    <w:p>
      <w:pPr>
        <w:spacing w:after="0" w:line="208" w:lineRule="exact"/>
        <w:rPr>
          <w:sz w:val="20"/>
          <w:szCs w:val="20"/>
          <w:color w:val="auto"/>
        </w:rPr>
      </w:pPr>
    </w:p>
    <w:p>
      <w:pPr>
        <w:jc w:val="both"/>
        <w:ind w:left="200" w:right="219" w:firstLine="3"/>
        <w:spacing w:after="0" w:line="254" w:lineRule="auto"/>
        <w:tabs>
          <w:tab w:leader="none" w:pos="8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vote all shares of common stock that you owned as of the close of business on the record date, April 1, 2024. You may cast one vote per share of common stock, including shares (i) held directly in your name as the stockholder of record and (ii) held in street name for you as the beneficial owner through a broker, bank, or other nominee. As of the record date, we had 31,183,427 shares of common stock issued and outstanding.</w:t>
      </w:r>
    </w:p>
    <w:p>
      <w:pPr>
        <w:spacing w:after="0" w:line="160" w:lineRule="exact"/>
        <w:rPr>
          <w:sz w:val="20"/>
          <w:szCs w:val="20"/>
          <w:color w:val="auto"/>
        </w:rPr>
      </w:pPr>
    </w:p>
    <w:p>
      <w:pPr>
        <w:ind w:left="800" w:hanging="597"/>
        <w:spacing w:after="0"/>
        <w:tabs>
          <w:tab w:leader="none" w:pos="80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How do I vote?</w:t>
      </w:r>
    </w:p>
    <w:p>
      <w:pPr>
        <w:spacing w:after="0" w:line="204" w:lineRule="exact"/>
        <w:rPr>
          <w:sz w:val="20"/>
          <w:szCs w:val="20"/>
          <w:color w:val="auto"/>
        </w:rPr>
      </w:pPr>
    </w:p>
    <w:p>
      <w:pPr>
        <w:jc w:val="both"/>
        <w:ind w:left="200" w:right="219" w:firstLine="3"/>
        <w:spacing w:after="0" w:line="249" w:lineRule="auto"/>
        <w:tabs>
          <w:tab w:leader="none" w:pos="8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Stockholder of record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a stockholder of record, you may vote your shares at the annual meeting by visiting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u w:val="single" w:color="auto"/>
          <w:color w:val="auto"/>
        </w:rPr>
        <w:t>www.virtualshareholdermeeting.com/LOCO2024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using the control number on the Notice or proxy card. You may also vote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advance of the annual meeting by submitting a proxy over the internet or by telephone by following the instructions provided in the Notice. If you received a printed copy of the proxy materials, you may vote your shares by completing, dating and signing the proxy card that was included with this proxy statement and promptly returning it in the pre-addressed, postage paid envelope provided to you, or by submitting a proxy over the internet or by telephone by following the instructions on the proxy card. If you vote by internet or telephone, then you need not return a written proxy card by mail. Even if you plan to attend the annual meeting, we recommend that you vote in advance, in case you change your mind.</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7" w:name="page8"/>
    <w:bookmarkEnd w:id="7"/>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you hold your shares of common stock in street name through a broker, bank or other nominee, your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broker, bank or other nominee will allow you to deliver your voting instructions over the internet and may also permit you to vote by telephone. In addition, if you received a printed copy of this proxy statement, you may submit your voting instructions by completing, dating and signing the voting instruction form that was included with this proxy statement and promptly returning it in the pre-addressed, postage paid envelope provided to you. If you vote by internet or telephone, then you need not return a written voting instruction form by mail.</w:t>
      </w:r>
    </w:p>
    <w:p>
      <w:pPr>
        <w:spacing w:after="0" w:line="164" w:lineRule="exact"/>
        <w:rPr>
          <w:sz w:val="20"/>
          <w:szCs w:val="20"/>
          <w:color w:val="auto"/>
        </w:rPr>
      </w:pPr>
    </w:p>
    <w:p>
      <w:pPr>
        <w:ind w:left="800" w:hanging="597"/>
        <w:spacing w:after="0"/>
        <w:tabs>
          <w:tab w:leader="none" w:pos="80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the difference between being a stockholder of record and a beneficial owner?</w:t>
      </w:r>
    </w:p>
    <w:p>
      <w:pPr>
        <w:spacing w:after="0" w:line="208" w:lineRule="exact"/>
        <w:rPr>
          <w:sz w:val="20"/>
          <w:szCs w:val="20"/>
          <w:color w:val="auto"/>
        </w:rPr>
      </w:pPr>
    </w:p>
    <w:p>
      <w:pPr>
        <w:ind w:left="800" w:hanging="597"/>
        <w:spacing w:after="0"/>
        <w:tabs>
          <w:tab w:leader="none" w:pos="8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summarized below, there are some differences between being a stockholder of record and a beneficial owner.</w:t>
      </w:r>
    </w:p>
    <w:p>
      <w:pPr>
        <w:spacing w:after="0" w:line="200" w:lineRule="exact"/>
        <w:rPr>
          <w:sz w:val="20"/>
          <w:szCs w:val="20"/>
          <w:color w:val="auto"/>
        </w:rPr>
      </w:pPr>
    </w:p>
    <w:p>
      <w:pPr>
        <w:jc w:val="both"/>
        <w:ind w:left="200" w:right="219"/>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Stockholder of record: </w:t>
      </w:r>
      <w:r>
        <w:rPr>
          <w:rFonts w:ascii="Times New Roman" w:cs="Times New Roman" w:eastAsia="Times New Roman" w:hAnsi="Times New Roman"/>
          <w:sz w:val="17"/>
          <w:szCs w:val="17"/>
          <w:color w:val="auto"/>
        </w:rPr>
        <w:t>If your shares are registered directly in your name with our transfer agent, American Stock Transfer &amp;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Trust Company, LLC, you are the stockholder of record with respect to those shares, and these proxy materials are being made available directly to you. As the stockholder of record, you have the right to grant your voting proxy directly to the Company and to vote at the annual meeting.</w:t>
      </w:r>
    </w:p>
    <w:p>
      <w:pPr>
        <w:spacing w:after="0" w:line="169"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Beneficial owner: </w:t>
      </w:r>
      <w:r>
        <w:rPr>
          <w:rFonts w:ascii="Times New Roman" w:cs="Times New Roman" w:eastAsia="Times New Roman" w:hAnsi="Times New Roman"/>
          <w:sz w:val="17"/>
          <w:szCs w:val="17"/>
          <w:color w:val="auto"/>
        </w:rPr>
        <w:t>If your shares are held through a broker, bank or other nominee, you are the beneficial owner of shares held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street name, and these proxy materials are being forwarded to you by the organization that holds your shares. As the beneficial owner, you have the right to tell your nominee how to vote, and you are also invited to attend the annual meeting. The broker, bank or other nominee that holds your shares has sent you instructions on how to submit your voting instructions. You may vote by following those instructions and the instructions on the Notice.</w:t>
      </w:r>
    </w:p>
    <w:p>
      <w:pPr>
        <w:spacing w:after="0" w:line="161" w:lineRule="exact"/>
        <w:rPr>
          <w:sz w:val="20"/>
          <w:szCs w:val="20"/>
          <w:color w:val="auto"/>
        </w:rPr>
      </w:pPr>
    </w:p>
    <w:p>
      <w:pPr>
        <w:ind w:left="800" w:hanging="597"/>
        <w:spacing w:after="0"/>
        <w:tabs>
          <w:tab w:leader="none" w:pos="800"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the deadline for voting my shares if I do not attend the annual meeting?</w:t>
      </w:r>
    </w:p>
    <w:p>
      <w:pPr>
        <w:spacing w:after="0" w:line="108" w:lineRule="exact"/>
        <w:rPr>
          <w:sz w:val="20"/>
          <w:szCs w:val="20"/>
          <w:color w:val="auto"/>
        </w:rPr>
      </w:pPr>
    </w:p>
    <w:p>
      <w:pPr>
        <w:jc w:val="both"/>
        <w:ind w:left="200" w:right="219" w:firstLine="3"/>
        <w:spacing w:after="0" w:line="250" w:lineRule="auto"/>
        <w:tabs>
          <w:tab w:leader="none" w:pos="8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stockholder of record, your proxy must be received by telephone or the internet by 11:59 p.m. Eastern Time on May 27, 2024, for your shares to be voted at the annual meeting. If you are a stockholder of record and you received a printed set of proxy materials, you also have the option of completing, signing, dating and returning the proxy card enclosed with the proxy materials before the annual meeting in order for your shares to be voted at the meeting. If you are a beneficial owner of shares of our common stock, please comply with the deadlines included in the voting instructions provided by the bank, broker or other nominee that holds your shares.</w:t>
      </w:r>
    </w:p>
    <w:p>
      <w:pPr>
        <w:spacing w:after="0" w:line="165" w:lineRule="exact"/>
        <w:rPr>
          <w:sz w:val="20"/>
          <w:szCs w:val="20"/>
          <w:color w:val="auto"/>
        </w:rPr>
      </w:pPr>
    </w:p>
    <w:p>
      <w:pPr>
        <w:ind w:left="800" w:hanging="597"/>
        <w:spacing w:after="0"/>
        <w:tabs>
          <w:tab w:leader="none" w:pos="80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Can I change my vote or revoke my proxy?</w:t>
      </w:r>
    </w:p>
    <w:p>
      <w:pPr>
        <w:spacing w:after="0" w:line="108" w:lineRule="exact"/>
        <w:rPr>
          <w:sz w:val="20"/>
          <w:szCs w:val="20"/>
          <w:color w:val="auto"/>
        </w:rPr>
      </w:pPr>
    </w:p>
    <w:p>
      <w:pPr>
        <w:ind w:left="200" w:right="219" w:firstLine="3"/>
        <w:spacing w:after="0" w:line="271" w:lineRule="auto"/>
        <w:tabs>
          <w:tab w:leader="none" w:pos="8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If you are a stockholder of record, you can change your proxy instructions at any time before the vote at the annual meeting, by:</w:t>
      </w:r>
    </w:p>
    <w:p>
      <w:pPr>
        <w:spacing w:after="0" w:line="158" w:lineRule="exact"/>
        <w:rPr>
          <w:rFonts w:ascii="Times New Roman" w:cs="Times New Roman" w:eastAsia="Times New Roman" w:hAnsi="Times New Roman"/>
          <w:sz w:val="17"/>
          <w:szCs w:val="17"/>
          <w:color w:val="auto"/>
        </w:rPr>
      </w:pPr>
    </w:p>
    <w:p>
      <w:pPr>
        <w:ind w:left="1120" w:right="219" w:hanging="293"/>
        <w:spacing w:after="0" w:line="271" w:lineRule="auto"/>
        <w:tabs>
          <w:tab w:leader="none" w:pos="11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a new vote online or via telephone (only the latest internet or telephone voting instructions will be followed);</w:t>
      </w:r>
    </w:p>
    <w:p>
      <w:pPr>
        <w:spacing w:after="0" w:line="58"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Mailing a written notice of revocation to our Corporate Secretary at our address below;</w:t>
      </w:r>
    </w:p>
    <w:p>
      <w:pPr>
        <w:spacing w:after="0" w:line="104" w:lineRule="exact"/>
        <w:rPr>
          <w:rFonts w:ascii="Times New Roman" w:cs="Times New Roman" w:eastAsia="Times New Roman" w:hAnsi="Times New Roman"/>
          <w:sz w:val="17"/>
          <w:szCs w:val="17"/>
          <w:color w:val="auto"/>
        </w:rPr>
      </w:pPr>
    </w:p>
    <w:p>
      <w:pPr>
        <w:ind w:left="1120" w:right="219" w:hanging="293"/>
        <w:spacing w:after="0" w:line="271" w:lineRule="auto"/>
        <w:tabs>
          <w:tab w:leader="none" w:pos="11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Signing and returning a new proxy card bearing a later date, which will automatically revoke your earlier submitted proxy; or</w:t>
      </w:r>
    </w:p>
    <w:p>
      <w:pPr>
        <w:spacing w:after="0" w:line="58"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electronically during the annual meeting.</w:t>
      </w:r>
    </w:p>
    <w:p>
      <w:pPr>
        <w:spacing w:after="0" w:line="204" w:lineRule="exact"/>
        <w:rPr>
          <w:sz w:val="20"/>
          <w:szCs w:val="20"/>
          <w:color w:val="auto"/>
        </w:rPr>
      </w:pPr>
    </w:p>
    <w:p>
      <w:pPr>
        <w:ind w:left="200" w:right="219"/>
        <w:spacing w:after="0" w:line="271" w:lineRule="auto"/>
        <w:rPr>
          <w:sz w:val="20"/>
          <w:szCs w:val="20"/>
          <w:color w:val="auto"/>
        </w:rPr>
      </w:pPr>
      <w:r>
        <w:rPr>
          <w:rFonts w:ascii="Times New Roman" w:cs="Times New Roman" w:eastAsia="Times New Roman" w:hAnsi="Times New Roman"/>
          <w:sz w:val="17"/>
          <w:szCs w:val="17"/>
          <w:color w:val="auto"/>
        </w:rPr>
        <w:t>If your shares are held in “street name,” you must contact your broker, bank or other nominee to find out how to change or revoke your voting instructions.</w:t>
      </w:r>
    </w:p>
    <w:p>
      <w:pPr>
        <w:spacing w:after="0" w:line="146" w:lineRule="exact"/>
        <w:rPr>
          <w:sz w:val="20"/>
          <w:szCs w:val="20"/>
          <w:color w:val="auto"/>
        </w:rPr>
      </w:pPr>
    </w:p>
    <w:p>
      <w:pPr>
        <w:ind w:left="800" w:hanging="597"/>
        <w:spacing w:after="0"/>
        <w:tabs>
          <w:tab w:leader="none" w:pos="80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constitutes a quorum?</w:t>
      </w:r>
    </w:p>
    <w:p>
      <w:pPr>
        <w:spacing w:after="0" w:line="108" w:lineRule="exact"/>
        <w:rPr>
          <w:sz w:val="20"/>
          <w:szCs w:val="20"/>
          <w:color w:val="auto"/>
        </w:rPr>
      </w:pPr>
    </w:p>
    <w:p>
      <w:pPr>
        <w:jc w:val="both"/>
        <w:ind w:left="200" w:right="219" w:firstLine="3"/>
        <w:spacing w:after="0" w:line="254" w:lineRule="auto"/>
        <w:tabs>
          <w:tab w:leader="none" w:pos="8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 majority of our common stock issued and outstanding as of the record date, present in person (including through online participation) or represented by proxy at the annual meeting and entitled to vote, shall constitute a quorum. Votes withheld, abstentions, and broker non-votes (as described below) are counted as present and entitled to vote for the purpose of determining the presence of a quorum.</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8" w:name="page9"/>
    <w:bookmarkEnd w:id="8"/>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0" w:hanging="597"/>
        <w:spacing w:after="0"/>
        <w:tabs>
          <w:tab w:leader="none" w:pos="80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a broker non-vote?</w:t>
      </w:r>
    </w:p>
    <w:p>
      <w:pPr>
        <w:spacing w:after="0" w:line="108" w:lineRule="exact"/>
        <w:rPr>
          <w:sz w:val="20"/>
          <w:szCs w:val="20"/>
          <w:color w:val="auto"/>
        </w:rPr>
      </w:pPr>
    </w:p>
    <w:p>
      <w:pPr>
        <w:jc w:val="both"/>
        <w:ind w:left="200" w:right="219" w:firstLine="3"/>
        <w:spacing w:after="0" w:line="248" w:lineRule="auto"/>
        <w:tabs>
          <w:tab w:leader="none" w:pos="8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hold your shares of common stock in street name through a brokerage account and you do not submit voting instructions to your broker, your broker may generally vote your shares in its discretion on routine matters. However, a broker cannot vote shares held in street name on non-routine matters unless the broker receives voting instructions from the street name holder. Proposal 2 (ratification of the appointment of BDO USA, P.C. as our independent registered public accounting firm for 2024) is considered routine under applicable stock exchange rules, while each of the other proposals to be submitted for a vote of stockholders at the annual meeting is considered non-routine. Accordingly, if you hold your shares of common stock in street name through a brokerage account and you do not submit voting instructions to your broker, your broker may exercise its discretion to vote on Proposal 2 at the annual meeting, but your broker will not be permitted to vote your shares on any of the other proposals at the annual meeting. If your broker exercises this discretion, your shares will be counted as present for determining the presence of a quorum at the annual meeting and will be voted on Proposal 2 in the manner directed by your broker, but your shares will constitute “broker non-votes” on each of the other items at the annual meeting.</w:t>
      </w:r>
    </w:p>
    <w:p>
      <w:pPr>
        <w:spacing w:after="0" w:line="165" w:lineRule="exact"/>
        <w:rPr>
          <w:sz w:val="20"/>
          <w:szCs w:val="20"/>
          <w:color w:val="auto"/>
        </w:rPr>
      </w:pPr>
    </w:p>
    <w:p>
      <w:pPr>
        <w:ind w:left="800" w:hanging="597"/>
        <w:spacing w:after="0"/>
        <w:tabs>
          <w:tab w:leader="none" w:pos="80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a proxyholder?</w:t>
      </w:r>
    </w:p>
    <w:p>
      <w:pPr>
        <w:spacing w:after="0" w:line="208" w:lineRule="exact"/>
        <w:rPr>
          <w:sz w:val="20"/>
          <w:szCs w:val="20"/>
          <w:color w:val="auto"/>
        </w:rPr>
      </w:pPr>
    </w:p>
    <w:p>
      <w:pPr>
        <w:jc w:val="both"/>
        <w:ind w:left="200" w:right="219" w:firstLine="3"/>
        <w:spacing w:after="0" w:line="250" w:lineRule="auto"/>
        <w:tabs>
          <w:tab w:leader="none" w:pos="8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designating Ira Fils, our Chief Financial Officer, and Anne E. Jollay, our Corporate Secretary, to hold and vote all properly tendered proxies. If you have properly submitted a proxy and indicated how your shares are to be voted on each of the proposals, they will so vote. If you properly submitted a proxy and did not indicate how your shares are to be voted on one or more of the proposals, they will vote as the Board recommends on those proposals. While we do not expect any other business to come up for vote at the annual meeting, if it does, each properly tendered proxy gives the named proxies authority to vote your shares on those matters in their discretion.</w:t>
      </w:r>
    </w:p>
    <w:p>
      <w:pPr>
        <w:spacing w:after="0" w:line="165" w:lineRule="exact"/>
        <w:rPr>
          <w:sz w:val="20"/>
          <w:szCs w:val="20"/>
          <w:color w:val="auto"/>
        </w:rPr>
      </w:pPr>
    </w:p>
    <w:p>
      <w:pPr>
        <w:ind w:left="800" w:hanging="597"/>
        <w:spacing w:after="0"/>
        <w:tabs>
          <w:tab w:leader="none" w:pos="80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vote is required to approve each proposal and how are votes counted?</w:t>
      </w:r>
    </w:p>
    <w:p>
      <w:pPr>
        <w:spacing w:after="0" w:line="204" w:lineRule="exact"/>
        <w:rPr>
          <w:sz w:val="20"/>
          <w:szCs w:val="20"/>
          <w:color w:val="auto"/>
        </w:rPr>
      </w:pPr>
    </w:p>
    <w:p>
      <w:pPr>
        <w:jc w:val="both"/>
        <w:ind w:left="200" w:right="219" w:firstLine="3"/>
        <w:spacing w:after="0" w:line="253" w:lineRule="auto"/>
        <w:tabs>
          <w:tab w:leader="none" w:pos="8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Proposal 1</w:t>
      </w:r>
      <w:r>
        <w:rPr>
          <w:rFonts w:ascii="Times New Roman" w:cs="Times New Roman" w:eastAsia="Times New Roman" w:hAnsi="Times New Roman"/>
          <w:sz w:val="17"/>
          <w:szCs w:val="17"/>
          <w:color w:val="auto"/>
        </w:rPr>
        <w:t>. The election of directors requires a plurality vote of the shares of common stock present in person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represented at the annual meeting and entitled to vote on the proposal. The two director nominees who receive the largest number of votes cast “for” will be elected as Class I directors. As a result, any shares not voted “for” a particular nominee (whether as a result of stockholder withholding or a broker non-vote) will not be counted in such nominee’s favor and will have no effect on the outcome of the election.</w:t>
      </w:r>
    </w:p>
    <w:p>
      <w:pPr>
        <w:spacing w:after="0" w:line="169" w:lineRule="exact"/>
        <w:rPr>
          <w:sz w:val="20"/>
          <w:szCs w:val="20"/>
          <w:color w:val="auto"/>
        </w:rPr>
      </w:pPr>
    </w:p>
    <w:p>
      <w:pPr>
        <w:jc w:val="both"/>
        <w:ind w:left="200" w:right="219"/>
        <w:spacing w:after="0" w:line="267" w:lineRule="auto"/>
        <w:rPr>
          <w:sz w:val="20"/>
          <w:szCs w:val="20"/>
          <w:color w:val="auto"/>
        </w:rPr>
      </w:pPr>
      <w:r>
        <w:rPr>
          <w:rFonts w:ascii="Times New Roman" w:cs="Times New Roman" w:eastAsia="Times New Roman" w:hAnsi="Times New Roman"/>
          <w:sz w:val="16"/>
          <w:szCs w:val="16"/>
          <w:b w:val="1"/>
          <w:bCs w:val="1"/>
          <w:color w:val="auto"/>
        </w:rPr>
        <w:t xml:space="preserve">Other Items (Proposals 2, 4 and 5). </w:t>
      </w:r>
      <w:r>
        <w:rPr>
          <w:rFonts w:ascii="Times New Roman" w:cs="Times New Roman" w:eastAsia="Times New Roman" w:hAnsi="Times New Roman"/>
          <w:sz w:val="16"/>
          <w:szCs w:val="16"/>
          <w:color w:val="auto"/>
        </w:rPr>
        <w:t>Approval of each of Proposal 2, Proposal 4 and Proposal 5 requires the affirmative vote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 majority of the shares of common stock present in person or represented at the annual meeting and entitled to vote on the proposal. For Proposal 2 (ratification of the appointment of BDO USA, P.C., as our independent registered public accounting firm for 2024), Proposal 4 (advisory approval of the compensation of our named executive officers), and Proposal 5 (ratification and approval of our Equity Incentive Plan), shares voted “abstain” will have the same effect as a vote “against” the proposal; but if you do not vote your shares (or, for shares held in street name, if you do not submit voting instructions and your broker does not or may not vote your shares), this will have no effect on the outcome of the vote. We do not expect any broker non-votes on Proposal 2, and broker non-votes will not be counted in determining the outcome of Proposals 4 and 5.</w:t>
      </w:r>
    </w:p>
    <w:p>
      <w:pPr>
        <w:spacing w:after="0" w:line="162" w:lineRule="exact"/>
        <w:rPr>
          <w:sz w:val="20"/>
          <w:szCs w:val="20"/>
          <w:color w:val="auto"/>
        </w:rPr>
      </w:pPr>
    </w:p>
    <w:p>
      <w:pPr>
        <w:jc w:val="both"/>
        <w:ind w:left="200" w:right="219"/>
        <w:spacing w:after="0" w:line="253" w:lineRule="auto"/>
        <w:rPr>
          <w:sz w:val="20"/>
          <w:szCs w:val="20"/>
          <w:color w:val="auto"/>
        </w:rPr>
      </w:pPr>
      <w:r>
        <w:rPr>
          <w:rFonts w:ascii="Times New Roman" w:cs="Times New Roman" w:eastAsia="Times New Roman" w:hAnsi="Times New Roman"/>
          <w:sz w:val="17"/>
          <w:szCs w:val="17"/>
          <w:b w:val="1"/>
          <w:bCs w:val="1"/>
          <w:color w:val="auto"/>
        </w:rPr>
        <w:t>Proposal 3</w:t>
      </w:r>
      <w:r>
        <w:rPr>
          <w:rFonts w:ascii="Times New Roman" w:cs="Times New Roman" w:eastAsia="Times New Roman" w:hAnsi="Times New Roman"/>
          <w:sz w:val="17"/>
          <w:szCs w:val="17"/>
          <w:color w:val="auto"/>
        </w:rPr>
        <w:t>. Approval of Proposal 3 (amendment to our Certificate of Incorporation to provide for exculpation of officers)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requires the affirmative vote of holders of a majority of the outstanding common stock entitled to vote thereon. If you do not vote your shares (or, for shares held in street name, if your shares constitute broker non-votes because you do not submit voting instructions or your broker otherwise does not vote your uninstructed shares), or if you “abstain” from voting your shares on Proposal 3, your shares will have the same effect as a vote “against” the proposal.</w:t>
      </w:r>
    </w:p>
    <w:p>
      <w:pPr>
        <w:spacing w:after="0" w:line="161" w:lineRule="exact"/>
        <w:rPr>
          <w:sz w:val="20"/>
          <w:szCs w:val="20"/>
          <w:color w:val="auto"/>
        </w:rPr>
      </w:pPr>
    </w:p>
    <w:p>
      <w:pPr>
        <w:ind w:left="800" w:hanging="597"/>
        <w:spacing w:after="0"/>
        <w:tabs>
          <w:tab w:leader="none" w:pos="80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Who will count the votes at the annual meeting?</w:t>
      </w:r>
    </w:p>
    <w:p>
      <w:pPr>
        <w:spacing w:after="0" w:line="208" w:lineRule="exact"/>
        <w:rPr>
          <w:sz w:val="20"/>
          <w:szCs w:val="20"/>
          <w:color w:val="auto"/>
        </w:rPr>
      </w:pPr>
    </w:p>
    <w:p>
      <w:pPr>
        <w:jc w:val="both"/>
        <w:ind w:left="200" w:right="219" w:firstLine="3"/>
        <w:spacing w:after="0" w:line="254" w:lineRule="auto"/>
        <w:tabs>
          <w:tab w:leader="none" w:pos="8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representative of Broadridge Financial Solutions, Inc. has been appointed to be the inspector of elections, to count the votes at the meeting, to make a written report thereof, and to certify the result of the vote taken. We will announce preliminary voting results at the meeting and publish final voting results on a Current Report on Form 8-K that we expect to file with the SEC within four (4) business days after the end of the annual meeting.</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9" w:name="page10"/>
    <w:bookmarkEnd w:id="9"/>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0" w:hanging="597"/>
        <w:spacing w:after="0"/>
        <w:tabs>
          <w:tab w:leader="none" w:pos="80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Who bears the cost of soliciting votes for the annual meeting?</w:t>
      </w:r>
    </w:p>
    <w:p>
      <w:pPr>
        <w:spacing w:after="0" w:line="108" w:lineRule="exact"/>
        <w:rPr>
          <w:sz w:val="20"/>
          <w:szCs w:val="20"/>
          <w:color w:val="auto"/>
        </w:rPr>
      </w:pPr>
    </w:p>
    <w:p>
      <w:pPr>
        <w:jc w:val="both"/>
        <w:ind w:left="200" w:right="219" w:firstLine="3"/>
        <w:spacing w:after="0" w:line="251" w:lineRule="auto"/>
        <w:tabs>
          <w:tab w:leader="none" w:pos="8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bear the entire cost of preparing, assembling, printing, mailing, and distributing these proxy materials. The solicitation of proxies or votes may be made in person, by telephone, and by electronic communication by our directors, officers, and employees, who will not receive any additional compensation for these solicitation activities. In addition, we may reimburse brokerages and other entities that represent beneficial owners for their expenses in forwarding solicitation materials to beneficial owners.</w:t>
      </w:r>
    </w:p>
    <w:p>
      <w:pPr>
        <w:spacing w:after="0" w:line="165" w:lineRule="exact"/>
        <w:rPr>
          <w:sz w:val="20"/>
          <w:szCs w:val="20"/>
          <w:color w:val="auto"/>
        </w:rPr>
      </w:pPr>
    </w:p>
    <w:p>
      <w:pPr>
        <w:ind w:left="800" w:hanging="597"/>
        <w:spacing w:after="0"/>
        <w:tabs>
          <w:tab w:leader="none" w:pos="80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How can I nominate a director or propose an action for next year’s annual meeting?</w:t>
      </w:r>
    </w:p>
    <w:p>
      <w:pPr>
        <w:spacing w:after="0" w:line="108" w:lineRule="exact"/>
        <w:rPr>
          <w:sz w:val="20"/>
          <w:szCs w:val="20"/>
          <w:color w:val="auto"/>
        </w:rPr>
      </w:pPr>
    </w:p>
    <w:p>
      <w:pPr>
        <w:jc w:val="both"/>
        <w:ind w:left="200" w:right="219" w:firstLine="3"/>
        <w:spacing w:after="0" w:line="235" w:lineRule="auto"/>
        <w:tabs>
          <w:tab w:leader="none" w:pos="8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stockholder wishes to submit a nomination or proposal, which will not be included in the Company’s proxy materials, for consideration at next year’s annual meeting, a written notice of such nomination or proposal must be provided to the Corporate Secretary. In accordance with the advance notice provisions of our bylaws, the written notice must have been delivered to our principal executive office (provided below) no earlier than the close of business on January 28, 2025, and no later than the close of business on February 27, 2025. However, if next year’s annual meeting is not scheduled within 25 days of that anniversary of the 2024 annual meeting (i.e., between May 3, 2025, and June 22, 2025), the notice must be received by the Corporate Secretary no later than the close of business on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day following the date on which notice of the annual meeting was mailed or of the date of the annual meeting was publicly announced, whichever first occurs.</w:t>
      </w:r>
    </w:p>
    <w:p>
      <w:pPr>
        <w:spacing w:after="0" w:line="190" w:lineRule="exact"/>
        <w:rPr>
          <w:sz w:val="20"/>
          <w:szCs w:val="20"/>
          <w:color w:val="auto"/>
        </w:rPr>
      </w:pPr>
    </w:p>
    <w:p>
      <w:pPr>
        <w:jc w:val="both"/>
        <w:ind w:left="200" w:right="219"/>
        <w:spacing w:after="0" w:line="271" w:lineRule="auto"/>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To be in proper written form, a notice must provide certain information as set forth in our bylaws, which were filed as </w:t>
      </w:r>
      <w:hyperlink r:id="rId24">
        <w:r>
          <w:rPr>
            <w:rFonts w:ascii="Times New Roman" w:cs="Times New Roman" w:eastAsia="Times New Roman" w:hAnsi="Times New Roman"/>
            <w:sz w:val="17"/>
            <w:szCs w:val="17"/>
            <w:u w:val="single" w:color="auto"/>
            <w:color w:val="0000EE"/>
          </w:rPr>
          <w:t>Exhibit 3.</w:t>
        </w:r>
      </w:hyperlink>
      <w:r>
        <w:rPr>
          <w:rFonts w:ascii="Times New Roman" w:cs="Times New Roman" w:eastAsia="Times New Roman" w:hAnsi="Times New Roman"/>
          <w:sz w:val="17"/>
          <w:szCs w:val="17"/>
          <w:color w:val="000000"/>
        </w:rPr>
        <w:t>3</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within our Annual Report.</w:t>
      </w:r>
    </w:p>
    <w:p>
      <w:pPr>
        <w:spacing w:after="0" w:line="158"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In accordance with our bylaws, the foregoing deadline and notice requirements set forth in our bylaws are also intended to apply to and satisfy the deadline and notice requirements set forth in paragraph (b) of Rule 14a-19 under the Exchange Act with respect to notice by a stockholder who intends to solicit proxies in support of director nominees other than the Company’s nominees at next year’s annual meeting.</w:t>
      </w:r>
    </w:p>
    <w:p>
      <w:pPr>
        <w:spacing w:after="0" w:line="160" w:lineRule="exact"/>
        <w:rPr>
          <w:sz w:val="20"/>
          <w:szCs w:val="20"/>
          <w:color w:val="auto"/>
        </w:rPr>
      </w:pPr>
    </w:p>
    <w:p>
      <w:pPr>
        <w:ind w:left="200" w:right="339" w:firstLine="3"/>
        <w:spacing w:after="0" w:line="270" w:lineRule="auto"/>
        <w:tabs>
          <w:tab w:leader="none" w:pos="80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How can I submit a stockholder proposal for inclusion in the Company’s proxy materials for next year’s annual meeting?</w:t>
      </w:r>
    </w:p>
    <w:p>
      <w:pPr>
        <w:spacing w:after="0" w:line="145" w:lineRule="exact"/>
        <w:rPr>
          <w:sz w:val="20"/>
          <w:szCs w:val="20"/>
          <w:color w:val="auto"/>
        </w:rPr>
      </w:pPr>
    </w:p>
    <w:p>
      <w:pPr>
        <w:jc w:val="both"/>
        <w:ind w:left="200" w:right="219" w:firstLine="3"/>
        <w:spacing w:after="0" w:line="254" w:lineRule="auto"/>
        <w:tabs>
          <w:tab w:leader="none" w:pos="8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stockholder proposal (other than a director nomination) to be included in the Company’s proxy materials for consideration at next year’s annual meeting, you must satisfy both substantive and procedural requirements set forth in Exchange Act Rule 14a-8, a federal securities regulation that addresses when a company must include a stockholder’s proposal in its proxy materials, including the proxy statement and proxy card.</w:t>
      </w:r>
    </w:p>
    <w:p>
      <w:pPr>
        <w:spacing w:after="0" w:line="172"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For a stockholder proposal to be eligible for inclusion in the Company’s proxy materials for the 2025 annual meeting, it must be received at our corporate address (provided below) by December 17, 2024. However, if the date of our 2025 annual meeting has been changed by more than 30 days from the date of our 2024 annual meeting (i.e., if it is not between April 28, 2025, and June 27, 2025), then the deadline is a reasonable time before we begin to print and send our proxy materials.</w:t>
      </w:r>
    </w:p>
    <w:p>
      <w:pPr>
        <w:spacing w:after="0" w:line="160" w:lineRule="exact"/>
        <w:rPr>
          <w:sz w:val="20"/>
          <w:szCs w:val="20"/>
          <w:color w:val="auto"/>
        </w:rPr>
      </w:pPr>
    </w:p>
    <w:p>
      <w:pPr>
        <w:ind w:left="200" w:right="299" w:firstLine="3"/>
        <w:spacing w:after="0" w:line="270" w:lineRule="auto"/>
        <w:tabs>
          <w:tab w:leader="none" w:pos="80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Can I recommend director candidates directly to the Nominating and Corporate Governance Committee?</w:t>
      </w:r>
    </w:p>
    <w:p>
      <w:pPr>
        <w:spacing w:after="0" w:line="145" w:lineRule="exact"/>
        <w:rPr>
          <w:sz w:val="20"/>
          <w:szCs w:val="20"/>
          <w:color w:val="auto"/>
        </w:rPr>
      </w:pPr>
    </w:p>
    <w:p>
      <w:pPr>
        <w:jc w:val="both"/>
        <w:ind w:left="200" w:right="219" w:firstLine="3"/>
        <w:spacing w:after="0" w:line="248" w:lineRule="auto"/>
        <w:tabs>
          <w:tab w:leader="none" w:pos="8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you may recommend director candidates by writing to the Nominating and Corporate Governance Committee of the Board at the mailing or email address below. We will consider any recommended director candidates subject to Board needs and candidate qualifications. We recommend that you include information relevant for the Nominating and Corporate Governance Committee to evaluate your recommendation, including (i) your and your candidate’s names and contact information, (ii) your candidate’s principal occupation or employment, and other biographical information similar to that provided herein for directors and officers, (iii) other information of the sort required to be in a notice of nomination under our bylaws as discussed above, and (iv) a written consent by the candidate to your nomination. Stockholders recommending candidates for consideration by our Nominating and Corporate Governance Committee in connection with the next annual meeting of stockholders should submit their written recommendation no later than January 1 of the year of that meeting.</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10" w:name="page11"/>
    <w:bookmarkEnd w:id="10"/>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0" w:hanging="597"/>
        <w:spacing w:after="0"/>
        <w:tabs>
          <w:tab w:leader="none" w:pos="80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Can I communicate with the Board?</w:t>
      </w:r>
    </w:p>
    <w:p>
      <w:pPr>
        <w:spacing w:after="0" w:line="208" w:lineRule="exact"/>
        <w:rPr>
          <w:sz w:val="20"/>
          <w:szCs w:val="20"/>
          <w:color w:val="auto"/>
        </w:rPr>
      </w:pPr>
    </w:p>
    <w:p>
      <w:pPr>
        <w:jc w:val="both"/>
        <w:ind w:left="200" w:right="219" w:firstLine="3"/>
        <w:spacing w:after="0" w:line="248" w:lineRule="auto"/>
        <w:tabs>
          <w:tab w:leader="none" w:pos="8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any stockholder or other interested party may write to the Board at our address below, on our investor relations website at https://investor.elpolloloco.com/ under “Contact the Board” or via email at legal@elpolloloco.com. Any interested parties desiring to communicate with the Audit Chairperson and other non-management directors may contact such directors by mailing communications to the same address below, but it must be directed to the attention of the Chairperson of the Audit Committee c/o the Corporate Secretary. Communications will be handled in accordance with the procedures explained on our website. The Board has instructed the Corporate Secretary to forward such correspondence to the intended recipients; however, the Board has also instructed the Corporate Secretary, prior to forwarding any correspondence, to review such correspondence and not forward any items deemed to be of a purely commercial or frivolous nature (such as spam) or otherwise obviously inappropriate for the intended recipient’s consideration. In such cases, the Corporate Secretary may forward some of the correspondence elsewhere within our company for review and possible response.</w:t>
      </w:r>
    </w:p>
    <w:p>
      <w:pPr>
        <w:spacing w:after="0" w:line="167" w:lineRule="exact"/>
        <w:rPr>
          <w:sz w:val="20"/>
          <w:szCs w:val="20"/>
          <w:color w:val="auto"/>
        </w:rPr>
      </w:pPr>
    </w:p>
    <w:p>
      <w:pPr>
        <w:ind w:left="800" w:hanging="597"/>
        <w:spacing w:after="0"/>
        <w:tabs>
          <w:tab w:leader="none" w:pos="80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your corporate address for notice and Board communication purposes?</w:t>
      </w:r>
    </w:p>
    <w:p>
      <w:pPr>
        <w:spacing w:after="0" w:line="208" w:lineRule="exact"/>
        <w:rPr>
          <w:sz w:val="20"/>
          <w:szCs w:val="20"/>
          <w:color w:val="auto"/>
        </w:rPr>
      </w:pPr>
    </w:p>
    <w:p>
      <w:pPr>
        <w:ind w:left="800" w:right="5919" w:hanging="597"/>
        <w:spacing w:after="0" w:line="250" w:lineRule="auto"/>
        <w:tabs>
          <w:tab w:leader="none" w:pos="8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 Pollo Loco Holdings, Inc. Attention: Corporate Secretary 3535 Harbor Boulevard, Suite 100 Costa Mesa, CA 92626</w:t>
      </w:r>
    </w:p>
    <w:p>
      <w:pPr>
        <w:spacing w:after="0" w:line="1" w:lineRule="exact"/>
        <w:rPr>
          <w:rFonts w:ascii="Times New Roman" w:cs="Times New Roman" w:eastAsia="Times New Roman" w:hAnsi="Times New Roman"/>
          <w:sz w:val="17"/>
          <w:szCs w:val="17"/>
          <w:color w:val="auto"/>
        </w:rPr>
      </w:pPr>
    </w:p>
    <w:p>
      <w:pPr>
        <w:ind w:left="8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(714) 599-5000</w:t>
      </w:r>
    </w:p>
    <w:p>
      <w:pPr>
        <w:spacing w:after="0" w:line="175" w:lineRule="exact"/>
        <w:rPr>
          <w:sz w:val="20"/>
          <w:szCs w:val="20"/>
          <w:color w:val="auto"/>
        </w:rPr>
      </w:pPr>
    </w:p>
    <w:p>
      <w:pPr>
        <w:ind w:left="200" w:right="979" w:firstLine="3"/>
        <w:spacing w:after="0" w:line="270" w:lineRule="auto"/>
        <w:tabs>
          <w:tab w:leader="none" w:pos="80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should I do if my household receives one copy of proxy materials and I need an additional copy?</w:t>
      </w:r>
    </w:p>
    <w:p>
      <w:pPr>
        <w:spacing w:after="0" w:line="145" w:lineRule="exact"/>
        <w:rPr>
          <w:sz w:val="20"/>
          <w:szCs w:val="20"/>
          <w:color w:val="auto"/>
        </w:rPr>
      </w:pPr>
    </w:p>
    <w:p>
      <w:pPr>
        <w:jc w:val="both"/>
        <w:ind w:left="200" w:right="219" w:firstLine="3"/>
        <w:spacing w:after="0" w:line="248" w:lineRule="auto"/>
        <w:tabs>
          <w:tab w:leader="none" w:pos="8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has adopted a procedure called “householding,” which is approved by the SEC and permits the delivery of a single copy of the proxy materials, including the Notice of Annual Meeting of Stockholders, this proxy statement and the Annual Report, to multiple stockholders sharing an address unless we have received contrary instructions from a stockholder. Stockholders who participate in householding will continue to access and receive a separate Notice or proxy card, as applicable. If your household received a single set of proxy materials this year, but you would prefer to receive your own copy, or if you are eligible for householding, but you and other stockholders of record with whom you share an address currently receive multiple copies of the proxy materials and you wish to receive only a single copy of each of these documents for your household, please contact Broadridge Householding Department, by calling their toll free number, </w:t>
      </w:r>
      <w:r>
        <w:rPr>
          <w:rFonts w:ascii="Times New Roman" w:cs="Times New Roman" w:eastAsia="Times New Roman" w:hAnsi="Times New Roman"/>
          <w:sz w:val="17"/>
          <w:szCs w:val="17"/>
          <w:b w:val="1"/>
          <w:bCs w:val="1"/>
          <w:color w:val="auto"/>
        </w:rPr>
        <w:t>1-866-540-7095</w:t>
      </w:r>
      <w:r>
        <w:rPr>
          <w:rFonts w:ascii="Times New Roman" w:cs="Times New Roman" w:eastAsia="Times New Roman" w:hAnsi="Times New Roman"/>
          <w:sz w:val="17"/>
          <w:szCs w:val="17"/>
          <w:color w:val="auto"/>
        </w:rPr>
        <w:t xml:space="preserve"> or by writing to: </w:t>
      </w:r>
      <w:r>
        <w:rPr>
          <w:rFonts w:ascii="Times New Roman" w:cs="Times New Roman" w:eastAsia="Times New Roman" w:hAnsi="Times New Roman"/>
          <w:sz w:val="17"/>
          <w:szCs w:val="17"/>
          <w:b w:val="1"/>
          <w:bCs w:val="1"/>
          <w:color w:val="auto"/>
        </w:rPr>
        <w:t>Broadridge,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Householding Department, 51 Mercedes Way, Edgewood, NY 11717</w:t>
      </w:r>
      <w:r>
        <w:rPr>
          <w:rFonts w:ascii="Times New Roman" w:cs="Times New Roman" w:eastAsia="Times New Roman" w:hAnsi="Times New Roman"/>
          <w:sz w:val="17"/>
          <w:szCs w:val="17"/>
          <w:color w:val="auto"/>
        </w:rPr>
        <w:t>. In the case of a request for your own copy of the proxy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materials, you will be removed from the householding program within 30 days of receipt of your instructions, at which time you will then be sent separate copies of the documents.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11" w:name="page12"/>
    <w:bookmarkEnd w:id="11"/>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PROPOSAL 1: ELECTION OF DIRECTORS</w:t>
      </w:r>
    </w:p>
    <w:p>
      <w:pPr>
        <w:spacing w:after="0" w:line="221"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17"/>
          <w:szCs w:val="17"/>
          <w:color w:val="auto"/>
        </w:rPr>
        <w:t>Our business operates under the direction of our Board, which currently consists of nine directors. Our certificate of incorporation divides our Board into three classes, Classes I, II, and III, with terms expiring in 2024, 2025, and 2026, respectively. Our Board has nominated, and stockholders are being asked to elect, Deborah Gonzalez and Elizabeth Williams as our Class I directors, each for a three-year term expiring at the 2027 annual meeting of stockholders. If elected, the nominees will each hold office until their respective successor is duly elected and qualified or until their earlier death, resignation, or removal.</w:t>
      </w:r>
    </w:p>
    <w:p>
      <w:pPr>
        <w:spacing w:after="0" w:line="178"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17"/>
          <w:szCs w:val="17"/>
          <w:color w:val="auto"/>
        </w:rPr>
        <w:t>The terms of Michael G. Maselli and Carol “Lili” Lynton, who each currently serve as Class I directors, will end at the 2024 annual meeting. They will each not be nominees for director and will retire from the Board immediately prior to the 2024 annual meeting. Accordingly, on March 22, 2024, the Board resolved to reduce the size of the Board from nine to seven directors effective immediately prior to the 2024 annual meeting. Mr. Maselli is our former Chairperson and has served on our Board since 2011, providing critical leadership leading up to and following our initial public offering in 2014. Ms. Lynton joined our Board in 2016 as an independent director, enabling our Board to reach majority independence as we seasoned as a public company. Ms. Lynton has been a committed member of the Compensation Committee during her eight-year tenure on the Board, and has also most recently led the Audit Committee as its Chair. We thank Mr. Maselli and Ms. Lynton for their many years of dedicated service to our company and for their confidence in our Board and new leadership under Ms. Williams and Mr. Floyd as we seek to unlock our brand’s long-term potential.</w:t>
      </w:r>
    </w:p>
    <w:p>
      <w:pPr>
        <w:spacing w:after="0" w:line="180"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17"/>
          <w:szCs w:val="17"/>
          <w:color w:val="auto"/>
        </w:rPr>
        <w:t>The two Class I director nominees, Deborah Gonzalez and Elizabeth Williams, have each consented to be named in this proxy statement and to serve as a director if elected. If any nominee of the Board is unable to serve, or for good cause will not serve, as a director at the time of the annual meeting, the persons who are designated as proxies intend to vote, in their discretion, for any other substitute nominees that may be designated and recommended by the Board. As of the date of this proxy statement, the Board has no reason to believe that either of the director nominees named above will be unable to serve, or for good cause will not serve, as a director if elected.</w:t>
      </w:r>
    </w:p>
    <w:p>
      <w:pPr>
        <w:spacing w:after="0" w:line="178" w:lineRule="exact"/>
        <w:rPr>
          <w:sz w:val="20"/>
          <w:szCs w:val="20"/>
          <w:color w:val="auto"/>
        </w:rPr>
      </w:pPr>
    </w:p>
    <w:p>
      <w:pPr>
        <w:jc w:val="both"/>
        <w:ind w:left="200" w:right="219" w:firstLine="42"/>
        <w:spacing w:after="0" w:line="271" w:lineRule="auto"/>
        <w:rPr>
          <w:sz w:val="20"/>
          <w:szCs w:val="20"/>
          <w:color w:val="auto"/>
        </w:rPr>
      </w:pPr>
      <w:r>
        <w:rPr>
          <w:rFonts w:ascii="Times New Roman" w:cs="Times New Roman" w:eastAsia="Times New Roman" w:hAnsi="Times New Roman"/>
          <w:sz w:val="17"/>
          <w:szCs w:val="17"/>
          <w:color w:val="auto"/>
        </w:rPr>
        <w:t>Ms. Gonzalez was previously elected to serve on our Board of Directors by our stockholders. Ms. Williams was appointed to the Board and as the Company’s Chief Executive Officer on March 11, 2024.</w:t>
      </w:r>
    </w:p>
    <w:p>
      <w:pPr>
        <w:spacing w:after="0" w:line="158"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color w:val="auto"/>
        </w:rPr>
        <w:t>You may vote “FOR ALL,” of the nominees, “WITHHOLD” your vote from all of the nominees or “WITHHOLD” your vote from either one of the nominees. The directors are elected by a plurality of the votes cast at the annual meeting. “Plurality” means that the two individuals who receive the largest number of votes “FOR” are elected as Class I directors. As a result, any shares not voted “FOR” a particular nominee (whether as a result of stockholder withholding or a broker non-vote) will not be counted in such nominee’s favor and will have no effect on the outcome of the election.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Board recommends that you vote “FOR ALL” the Class I director nominees to be elected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12" w:name="page13"/>
    <w:bookmarkEnd w:id="12"/>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30"/>
          <w:szCs w:val="30"/>
          <w:b w:val="1"/>
          <w:bCs w:val="1"/>
          <w:color w:val="auto"/>
        </w:rPr>
        <w:t>INFORMATION REGARDING THE BOARD OF DIRECTORS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Biographies of Director Nominees and Continuing Directors</w:t>
      </w:r>
    </w:p>
    <w:p>
      <w:pPr>
        <w:spacing w:after="0" w:line="171"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The following is biographical information about each nominee for election to our Board of Directors at the 2024 annual meeting and each of the other continuing directors, including a description of the experience, qualifications and skills that have led the Board to determine that each director should serve on the Board. The age of each director is as of April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62230</wp:posOffset>
            </wp:positionV>
            <wp:extent cx="404749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4047490" cy="15875"/>
                    </a:xfrm>
                    <a:prstGeom prst="rect">
                      <a:avLst/>
                    </a:prstGeom>
                    <a:noFill/>
                  </pic:spPr>
                </pic:pic>
              </a:graphicData>
            </a:graphic>
          </wp:anchor>
        </w:drawing>
      </w:r>
    </w:p>
    <w:p>
      <w:pPr>
        <w:spacing w:after="0" w:line="99" w:lineRule="exact"/>
        <w:rPr>
          <w:sz w:val="20"/>
          <w:szCs w:val="20"/>
          <w:color w:val="auto"/>
        </w:rPr>
      </w:pPr>
    </w:p>
    <w:tbl>
      <w:tblPr>
        <w:tblLayout w:type="fixed"/>
        <w:tblInd w:w="1320" w:type="dxa"/>
        <w:tblCellMar>
          <w:top w:w="0" w:type="dxa"/>
          <w:left w:w="0" w:type="dxa"/>
          <w:bottom w:w="0" w:type="dxa"/>
          <w:right w:w="0" w:type="dxa"/>
        </w:tblCellMar>
      </w:tblPr>
      <w:tr>
        <w:trPr>
          <w:trHeight w:val="272"/>
        </w:trPr>
        <w:tc>
          <w:tcPr>
            <w:tcW w:w="19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24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Age</w:t>
            </w:r>
          </w:p>
        </w:tc>
        <w:tc>
          <w:tcPr>
            <w:tcW w:w="352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20"/>
        </w:trPr>
        <w:tc>
          <w:tcPr>
            <w:tcW w:w="1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42"/>
        </w:trPr>
        <w:tc>
          <w:tcPr>
            <w:tcW w:w="1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William R. Floyd</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79</w:t>
            </w:r>
          </w:p>
        </w:tc>
        <w:tc>
          <w:tcPr>
            <w:tcW w:w="3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Chairperson and Director</w:t>
            </w:r>
          </w:p>
        </w:tc>
      </w:tr>
      <w:tr>
        <w:trPr>
          <w:trHeight w:val="23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Elizabeth Williams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47</w:t>
            </w:r>
          </w:p>
        </w:tc>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37"/>
        </w:trPr>
        <w:tc>
          <w:tcPr>
            <w:tcW w:w="1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55"/>
        </w:trPr>
        <w:tc>
          <w:tcPr>
            <w:tcW w:w="2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Douglas J. Babb</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72</w:t>
            </w:r>
          </w:p>
        </w:tc>
        <w:tc>
          <w:tcPr>
            <w:tcW w:w="3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Director</w:t>
            </w:r>
          </w:p>
        </w:tc>
      </w:tr>
      <w:tr>
        <w:trPr>
          <w:trHeight w:val="23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Samuel N. Borgese</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75</w:t>
            </w:r>
          </w:p>
        </w:tc>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Director</w:t>
            </w:r>
          </w:p>
        </w:tc>
      </w:tr>
      <w:tr>
        <w:trPr>
          <w:trHeight w:val="37"/>
        </w:trPr>
        <w:tc>
          <w:tcPr>
            <w:tcW w:w="1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55"/>
        </w:trPr>
        <w:tc>
          <w:tcPr>
            <w:tcW w:w="2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Mark Buller</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59</w:t>
            </w:r>
          </w:p>
        </w:tc>
        <w:tc>
          <w:tcPr>
            <w:tcW w:w="3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Director</w:t>
            </w:r>
          </w:p>
        </w:tc>
      </w:tr>
      <w:tr>
        <w:trPr>
          <w:trHeight w:val="23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Nancy Faginas-Cody</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64</w:t>
            </w:r>
          </w:p>
        </w:tc>
        <w:tc>
          <w:tcPr>
            <w:tcW w:w="3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Director</w:t>
            </w:r>
          </w:p>
        </w:tc>
      </w:tr>
      <w:tr>
        <w:trPr>
          <w:trHeight w:val="37"/>
        </w:trPr>
        <w:tc>
          <w:tcPr>
            <w:tcW w:w="1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37"/>
        </w:trPr>
        <w:tc>
          <w:tcPr>
            <w:tcW w:w="2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Deborah Gonzalez</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59</w:t>
            </w:r>
          </w:p>
        </w:tc>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Director</w:t>
            </w:r>
          </w:p>
        </w:tc>
      </w:tr>
      <w:tr>
        <w:trPr>
          <w:trHeight w:val="37"/>
        </w:trPr>
        <w:tc>
          <w:tcPr>
            <w:tcW w:w="19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340" w:type="dxa"/>
            <w:vAlign w:val="bottom"/>
            <w:shd w:val="clear" w:color="auto" w:fill="CCEEFF"/>
          </w:tcPr>
          <w:p>
            <w:pPr>
              <w:spacing w:after="0"/>
              <w:rPr>
                <w:sz w:val="3"/>
                <w:szCs w:val="3"/>
                <w:color w:val="auto"/>
              </w:rPr>
            </w:pPr>
          </w:p>
        </w:tc>
      </w:tr>
    </w:tbl>
    <w:p>
      <w:pPr>
        <w:spacing w:after="0" w:line="80"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William R. Floyd </w:t>
      </w:r>
      <w:r>
        <w:rPr>
          <w:rFonts w:ascii="Times New Roman" w:cs="Times New Roman" w:eastAsia="Times New Roman" w:hAnsi="Times New Roman"/>
          <w:sz w:val="17"/>
          <w:szCs w:val="17"/>
          <w:color w:val="auto"/>
        </w:rPr>
        <w:t>was elected Chairperson of our Board on April 18, 2023, following Michael Maselli’s resignation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Chairperson on April 18, 2023. Prior to his election to Chairperson of our Board, Mr. Floyd has been a director on our Board since 2016. From 2012 to 2019, Mr. Floyd was a director of Korn/Ferry International, a major executive recruiting firm and talent consultancy, as well as Pivot Physical Therapy, a regional outpatient physical therapy provider. In addition, he served as a business development corporation board member of Muzinich Capital LLC and a broker–dealer affiliated with Muzinich &amp; Co., Inc., a global institutional asset manager specializing in corporate credit from 2016 to 2019. From October 2017 to September 2020, Mr. Floyd served as Chairman of Busaba Restaurants, a U.K. based Thai restaurant concept for which Muzinich is the principal debt holder. From 2009 to 2012, he was Chairman of the Board of Buffet Holdings, Inc., which, through its subsidiaries, owns and operates a chain of restaurants in the United States. Before his retirement as an executive, from 2007 to 2008, he was Chairman and Chief Executive Officer of Physiotherapy Associates, a leading provider of outpatient physical rehabilitation services. From 2006 to 2007, he was Chairman and Chief Executive Officer of Benchmark Medical, Inc., a predecessor to Physiotherapy Associates. From 2001 to 2006, he was Chairman and Chief Executive Officer of Beverly Enterprises, Inc., a leading provider of eldercare services. From 2000 to 2001, he was President and Chief Operating Officer of Beverly Enterprises, Inc. From 1996 to 1998, he was President and Chief Executive Officer of Choice Hotels International. From 1989 to 1996, he served in various executive positions within PepsiCo Inc.’s restaurant group, including, from 1995 to 1996, as Chief Operating Officer of Taco Bell Corp., and, from 1994 to 1995, as Chief Operating Officer of Kentucky Fried Chicken. Mr. Floyd holds a bachelor's degree from the University of Pennsylvania, and an MBA from the Wharton School of the University of Pennsylvania, where he served as a member of the Board of Overseers of the University of Pennsylvania School of Nursing from 2006-2021. Because of his 30-plus years of experience in marketing, management, and operations, as a director, executive, and senior manager in the service industry, with a particular focus on food service, Mr. Floyd is well-qualified to serve as Chairperson of our Board.</w:t>
      </w:r>
    </w:p>
    <w:p>
      <w:pPr>
        <w:spacing w:after="0" w:line="99"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Elizabeth “Liz” Williams </w:t>
      </w:r>
      <w:r>
        <w:rPr>
          <w:rFonts w:ascii="Times New Roman" w:cs="Times New Roman" w:eastAsia="Times New Roman" w:hAnsi="Times New Roman"/>
          <w:sz w:val="17"/>
          <w:szCs w:val="17"/>
          <w:color w:val="auto"/>
        </w:rPr>
        <w:t>has served as our Chief Executive Officer and a member of our Board since March 2024. Prior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joining El Pollo Loco, Ms. Williams was the CEO of Outfox Hospitality, overseeing Foxtrot, a modern café and convenience store. She orchestrated a merger with Dom’s Kitchen and Market during her tenure. Before her time at Outfox, Ms. Williams led Hart House, LLC, and served as CEO of Drybar Holdings, LLC. Her extensive career also includes leadership roles at Taco Bell, where she held positions such as Chief Financial Officer, Vice President of Financial Planning and Analysis, and President of Taco Bell International. Ms. Williams also spent six years at Boston Consulting Group, specializing in Consumer and Retail practice. She holds a bachelor’s degree from the University of Texas and an MBA from Northwestern Kellogg School of Management. Ms. Williams is well-qualified</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13" w:name="page14"/>
    <w:bookmarkEnd w:id="13"/>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17"/>
          <w:szCs w:val="17"/>
          <w:color w:val="auto"/>
        </w:rPr>
        <w:t>to serve on our Board due to her significant experience leading high-growth multi-unit retail, restaurant and service businesses and, as our Chief Executive Officer, she provides a vital link between our Board and management team.</w:t>
      </w:r>
    </w:p>
    <w:p>
      <w:pPr>
        <w:spacing w:after="0" w:line="154" w:lineRule="exact"/>
        <w:rPr>
          <w:sz w:val="20"/>
          <w:szCs w:val="20"/>
          <w:color w:val="auto"/>
        </w:rPr>
      </w:pPr>
    </w:p>
    <w:p>
      <w:pPr>
        <w:jc w:val="both"/>
        <w:ind w:left="200" w:right="219"/>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Douglas J. Babb </w:t>
      </w:r>
      <w:r>
        <w:rPr>
          <w:rFonts w:ascii="Times New Roman" w:cs="Times New Roman" w:eastAsia="Times New Roman" w:hAnsi="Times New Roman"/>
          <w:sz w:val="16"/>
          <w:szCs w:val="16"/>
          <w:color w:val="auto"/>
        </w:rPr>
        <w:t>has been a director since 2018. From 2007 to 2014, he was Chief Executive Officer of Cooper Clinic, P.A.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(“Cooper”), one of the largest multi-specialty, physician-owned clinics in the Arkansas region. Additionally, from 2010 to 2014, he served as an Adjunct Instructor for the College of Business at the University of Arkansas - Fort Smith. From 2015 to present, he serves as Managing Director for Babb Strategic Services, L.L.P. (“Babb Strategic”), a consulting and strategic planning services company that he formed in 2006. Prior to forming Babb Strategic, he served as Executive Vice President - Chief Administrative and Legal Officer, and Secretary of Beverly Enterprises, Inc., a leading provider of healthcare services to the elderly in the United States, from 2000 to 2006. Prior to that he served in various senior executive roles at Burlington Northern, Inc., a diversified transportation company and Burlington Northern Santa Fe Corporation, from 1978 to 1999 and as Staff Counsel for the South Carolina Attorney General’s Office from 1977 to 1978. Mr. Babb is Immediate Past Chair of the United States Marshals Museum. During his 5 1/2 years as Chair, the museum experience was fabricated and installed and the museum completed. The 53,000 square foot museum honoring the United States Marshals Service opened to the public on July 1, 2023. Mr. Babb is now a Director on the United States Marshals Museum Foundation Board of Directors. He holds a bachelor's degree from Minnesota State University and a J.D. from the University of South Carolina. Mr. Babb is well-qualified to serve on our Board on account of his extensive experience, in particular the successful turnaround of Beverly Enterprises.</w:t>
      </w:r>
    </w:p>
    <w:p>
      <w:pPr>
        <w:spacing w:after="0" w:line="166"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Samuel N. Borgese </w:t>
      </w:r>
      <w:r>
        <w:rPr>
          <w:rFonts w:ascii="Times New Roman" w:cs="Times New Roman" w:eastAsia="Times New Roman" w:hAnsi="Times New Roman"/>
          <w:sz w:val="17"/>
          <w:szCs w:val="17"/>
          <w:color w:val="auto"/>
        </w:rPr>
        <w:t>has been a director since 2011, and served as Chairman of our Board in 2011, while he also served as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Chairman. Since 2022, Mr. Borgese has been President, and Chief Executive Officer of Gather Holdings, LLC, which holds 100% interest in Shari’s Management Corporation and Shari’s Restaurant Group. Since 2017, Mr. Borgese has also served as President, Chief Executive Officer and Director of Shari's Management Corporation and Shari's Restaurant Group, a multilocation family dining company. Since 2011, Mr. Borgese has been Managing Partner of Aceneca, LLC, a restaurant investment and consulting firm focused on creating shared value in the restaurant and other business sectors. From October 2014 to August 2016, he was President and Chief Executive Officer, and a member of the board of directors, of LRI Holdings, Inc., and its affiliates Logan’s Roadhouse, Inc., and Roadhouse Holding Inc., collectively known as Logan’s Roadhouse, a casual dining steakhouse chain. In August 2016, the Logan’s Roadhouse entities and various of their affiliates filed voluntary petitions for relief under Chapter 11 of the U.S. Bankruptcy Code. Mr. Borgese left Logan’s Roadhouse in August 2016, following the declaration of bankruptcy. From 2011 to 2014, he was Chief Executive Officer of Max Brenner International, a global chocolatier. From 2008 to 2011, he was first Interim President and Chief Executive Officer and then permanent President and Chief Executive Officer of CB Holding Corp., the parent of Charlie Brown’s Steakhouse and other chains, which was owned by Trimaran Capital Partners. From 2003 to 2008, he was employed by Catalina Restaurant Group, first as Chief Development Officer and later as President and Chief Executive Officer. Before that, Mr. Borgese was Chief Executive Officer of Bay Logics, Inc., an enterprise software company that supported 300 restaurant, retail, hospitality and general services businesses in the lifecycle management of their real estate assets. Mr. Borgese attended Temple University’s Architecture and Engineering school and holds a Certificate of Director Education from the National Association of Corporate Directors and a Certification of Completion of Harvard Business School Executive Education Program. With more than 30 years of senior executive and other leadership positions with public and private companies in the retail, technology, restaurant and hospitality sectors, Mr. Borgese is well-qualified to serve on our Board.</w:t>
      </w:r>
    </w:p>
    <w:p>
      <w:pPr>
        <w:spacing w:after="0" w:line="174"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Mark Buller </w:t>
      </w:r>
      <w:r>
        <w:rPr>
          <w:rFonts w:ascii="Times New Roman" w:cs="Times New Roman" w:eastAsia="Times New Roman" w:hAnsi="Times New Roman"/>
          <w:sz w:val="16"/>
          <w:szCs w:val="16"/>
          <w:color w:val="auto"/>
        </w:rPr>
        <w:t>has been a director since 2015. He was appointed Executive Chairman of Superior Cabinets in July 2018 and from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2013 to 2015, Mr. Buller was the Chairman and Chief Executive Officer of Norcraft Companies, Inc., a leading manufacturer of kitchen and bathroom cabinetry in the United States and Canada. Beginning in 2003, Mr. Buller was the Chief Executive Officer of the predecessor of Norcraft Companies, Inc., Norcraft Companies, L.P., as well as a member of the board of managers for that entity’s general partner, Norcraft GP, L.L.C. Mr. Buller’s executive experience in the home furnishings industry is longstanding. From 1988 to 1996, Mr. Buller served in various management positions at Kitchen Craft Cabinets, a Canadian cabinetry maker. From 1996 to 1999, he served as President of Kitchen Craft. Following the acquisition of Kitchen Craft by Omega Cabinets, Ltd., he continued in that position from 1999 to 2000. In 2000, Mr. Buller was appointed Chief Executive Officer of Omega. He remained in that position until 2002, leaving Omega after it was sold to Fortune Brands, Inc. In sum, Mr. Buller has over 26 years in the home furnishings industry and spent 18 years as a chief executive officer or division president. Mr. Buller is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14" w:name="page15"/>
    <w:bookmarkEnd w:id="14"/>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17"/>
          <w:szCs w:val="17"/>
          <w:color w:val="auto"/>
        </w:rPr>
        <w:t>well-qualified to serve on our Board due to his extensive leadership, executive, managerial, and business experience, particularly in the salient areas of supply chain logistics, product design, brand management, and consumer trends.</w:t>
      </w:r>
    </w:p>
    <w:p>
      <w:pPr>
        <w:spacing w:after="0" w:line="154"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Nancy Faginas-Cody </w:t>
      </w:r>
      <w:r>
        <w:rPr>
          <w:rFonts w:ascii="Times New Roman" w:cs="Times New Roman" w:eastAsia="Times New Roman" w:hAnsi="Times New Roman"/>
          <w:sz w:val="17"/>
          <w:szCs w:val="17"/>
          <w:color w:val="auto"/>
        </w:rPr>
        <w:t>has been a director since December 2021. Ms. Faginas-Cody retired from Walt Disney Company 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Senior Vice President, Information Technology Enterprise Business Systems, a position she held from 2013 to 2020. She previously served as Vice President, Information Technology for Disney Consumer Products, Inc. from 2004 to 2013 and as Director, Information Technology for Disney Stores Worldwide from 1999 to 2004. In her most recent role with Walt Disney Company, she was responsible for the global corporate enterprise business systems. Prior to Walt Disney Company, Ms. Faginas-Cody served in IT leadership roles for retailers such as FEDCO and MacFrugal’s. Ms. Faginas-Cody holds an MBA from the University of California-Irvine and a bachelor’s degree in economics from California State University-Fullerton. With more than 40 years of experience in Information Technology, Ms. Faginas-Cody is well-qualified to serve on our Board.</w:t>
      </w:r>
    </w:p>
    <w:p>
      <w:pPr>
        <w:spacing w:after="0" w:line="177"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Deborah Gonzalez </w:t>
      </w:r>
      <w:r>
        <w:rPr>
          <w:rFonts w:ascii="Times New Roman" w:cs="Times New Roman" w:eastAsia="Times New Roman" w:hAnsi="Times New Roman"/>
          <w:sz w:val="16"/>
          <w:szCs w:val="16"/>
          <w:color w:val="auto"/>
        </w:rPr>
        <w:t>has been a director since December 2021. Ms. Gonzalez brings over 30 years of brand marketing experience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our Board. Ms. Gonzalez currently serves as Senior Vice President, Global Marketing &amp; Communications for Concentrix Corporation, a leading global provider of customer experience solutions and technology, a position she has held since 2020. In this role, she oversees all aspects of brand and integrated marketing, digital marketing, communications, and public relations. Previously, Ms. Gonzalez held senior leadership positions in diverse industries, such as Senior Partner for CMO Consulting Group from 2018 to 2020, Chief Brand/Marketing Officer for Massage Envy Franchising from 2014 to 2018 and various senior leadership roles at PetSmart, Inc. from 2002 to 2014, including Vice President, Merchandising Marketing. Ms. Gonzalez holds an MBA from Thunderbird School of Global Management and a bachelor’s degree in business economics from University of San Diego. With Ms. Gonzalez’s specific expertise in building brands and delivering marketing programs that help grow demand and loyalty with a focus on customer experience, she is well-qualified to serve on our Board.</w:t>
      </w:r>
    </w:p>
    <w:p>
      <w:pPr>
        <w:spacing w:after="0" w:line="164"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There are no family relationships between any director, executive officer, or person nominated or chosen to become a director or executive officer of the Company, and there are no arrangements or understandings between any director or nominee and any other person pursuant to which such individual was or is selected as a director or nominee.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15" w:name="page16"/>
    <w:bookmarkEnd w:id="15"/>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PROPOSAL 2</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30"/>
          <w:szCs w:val="30"/>
          <w:b w:val="1"/>
          <w:bCs w:val="1"/>
          <w:color w:val="auto"/>
        </w:rPr>
        <w:t xml:space="preserve"> RATIFICATION OF INDEPENDENT</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REGISTERED PUBLIC ACCOUNTING FIRM</w:t>
      </w:r>
    </w:p>
    <w:p>
      <w:pPr>
        <w:spacing w:after="0" w:line="181"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17"/>
          <w:szCs w:val="17"/>
          <w:color w:val="auto"/>
        </w:rPr>
        <w:t>The Audit Committee of our Board has appointed BDO USA, P.C., as our independent registered public accounting firm for 2024. BDO USA, P.C. has served in this capacity since 2011.</w:t>
      </w:r>
    </w:p>
    <w:p>
      <w:pPr>
        <w:spacing w:after="0" w:line="121"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color w:val="auto"/>
        </w:rPr>
        <w:t>We ask that you ratify this appointment. Rules of the SEC and The Nasdaq Stock Market LLC (“Nasdaq”) require our Audit Committee to engage, retain, and supervise our independent registered public accounting firm. However, while stockholder ratification of the appointment of BDO USA, P.C., as our independent registered public accounting firm is not required by our bylaws or otherwise, we think that stockholder ratification of our independent registered public accounting firm is important to stockholders and is a matter of good corporate governance. If the stockholders fail to ratify the appointment, the Audit Committee may reconsider whether to retain BDO USA, P.C. Even if the appointment is ratified, the Audit Committee, in its discretion, may appoint a different independent registered public accounting firm at any time during the year if the Audit Committee determines that such a change would be in the best interests of the Company and our stockholders.</w:t>
      </w:r>
    </w:p>
    <w:p>
      <w:pPr>
        <w:spacing w:after="0" w:line="152"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17"/>
          <w:szCs w:val="17"/>
          <w:color w:val="auto"/>
        </w:rPr>
        <w:t>We expect that representatives of BDO USA, P.C. will be present at the meeting, that they will have the opportunity to make a statement if they so desire, and that they will be available to respond to appropriate questions.</w:t>
      </w:r>
    </w:p>
    <w:p>
      <w:pPr>
        <w:spacing w:after="0" w:line="121"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17"/>
          <w:szCs w:val="17"/>
          <w:color w:val="auto"/>
        </w:rPr>
        <w:t>Pursuant to our Audit Committee’s charter, our Audit Committee is responsible for overseeing our accounting and financial reporting processes, and for overseeing our audits. The Audit Committee is responsible for appointing, retaining, determining the compensation of, evaluating, and terminating our independent registered public accounting firm. The Audit Committee is also responsible for establishing and maintaining guidelines for the retention of our independent registered public accounting firm for any non-audit services and for the fees for those services, and for determining procedures to approve audit and non-audit services in advance. Pursuant to our Audit Committee’s Charter, the Audit Committee shall pre-approve any audit or non-audit services provided to us by our independent registered public accounting firm as required by applicable laws and listing standards. In addition, the Audit Committee may delegate the pre-approval of permissible non-audit services to one or more of its members, but the decision must be reported to the full Audit Committee at its next scheduled meeting.</w:t>
      </w:r>
    </w:p>
    <w:p>
      <w:pPr>
        <w:spacing w:after="0" w:line="144"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17"/>
          <w:szCs w:val="17"/>
          <w:color w:val="auto"/>
        </w:rPr>
        <w:t>The Audit Committee pre-approved all audit and permitted non-audit services provided by BDO USA, P.C. during fiscal 2023 and fiscal 2022 in accordance with the foregoing pre-approval policy.</w:t>
      </w:r>
    </w:p>
    <w:p>
      <w:pPr>
        <w:spacing w:after="0" w:line="133"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17"/>
          <w:szCs w:val="17"/>
          <w:color w:val="auto"/>
        </w:rPr>
        <w:t>The following table sets forth fees billed by BDO USA, P.C., for the audit of our annual financial statements and other services rendered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95250</wp:posOffset>
            </wp:positionV>
            <wp:extent cx="545973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459730" cy="7620"/>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72"/>
        </w:trPr>
        <w:tc>
          <w:tcPr>
            <w:tcW w:w="6060" w:type="dxa"/>
            <w:vAlign w:val="bottom"/>
            <w:tcBorders>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Fiscal 2023</w:t>
            </w:r>
          </w:p>
        </w:tc>
        <w:tc>
          <w:tcPr>
            <w:tcW w:w="22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Fiscal 2022</w:t>
            </w:r>
          </w:p>
        </w:tc>
      </w:tr>
      <w:tr>
        <w:trPr>
          <w:trHeight w:val="242"/>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 (1)</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585,146</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658,015</w:t>
            </w:r>
          </w:p>
        </w:tc>
      </w:tr>
      <w:tr>
        <w:trPr>
          <w:trHeight w:val="237"/>
        </w:trPr>
        <w:tc>
          <w:tcPr>
            <w:tcW w:w="606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 (2)</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21,720</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20,250</w:t>
            </w:r>
          </w:p>
        </w:tc>
      </w:tr>
      <w:tr>
        <w:trPr>
          <w:trHeight w:val="37"/>
        </w:trPr>
        <w:tc>
          <w:tcPr>
            <w:tcW w:w="60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5"/>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606,866</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678,265</w:t>
            </w:r>
          </w:p>
        </w:tc>
      </w:tr>
      <w:tr>
        <w:trPr>
          <w:trHeight w:val="37"/>
        </w:trPr>
        <w:tc>
          <w:tcPr>
            <w:tcW w:w="606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r>
    </w:tbl>
    <w:p>
      <w:pPr>
        <w:spacing w:after="0" w:line="100" w:lineRule="exact"/>
        <w:rPr>
          <w:sz w:val="20"/>
          <w:szCs w:val="20"/>
          <w:color w:val="auto"/>
        </w:rPr>
      </w:pPr>
    </w:p>
    <w:p>
      <w:pPr>
        <w:jc w:val="both"/>
        <w:ind w:left="500" w:right="219" w:hanging="297"/>
        <w:spacing w:after="0" w:line="275" w:lineRule="auto"/>
        <w:tabs>
          <w:tab w:leader="none" w:pos="50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Audits of our annual financial statements, reviews of quarterly financial statements, and services that are normally provided by independent accountants in connection with statutory and regulatory filings or engagements, including reviews of SEC filings and our Franchise Disclosure Document.</w:t>
      </w:r>
    </w:p>
    <w:p>
      <w:pPr>
        <w:ind w:left="500" w:hanging="297"/>
        <w:spacing w:after="0" w:line="193" w:lineRule="auto"/>
        <w:tabs>
          <w:tab w:leader="none" w:pos="500" w:val="left"/>
        </w:tabs>
        <w:numPr>
          <w:ilvl w:val="0"/>
          <w:numId w:val="5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Audit-related fees consist of the audit of our 401(k) p</w:t>
      </w:r>
      <w:r>
        <w:rPr>
          <w:rFonts w:ascii="Times New Roman" w:cs="Times New Roman" w:eastAsia="Times New Roman" w:hAnsi="Times New Roman"/>
          <w:sz w:val="13"/>
          <w:szCs w:val="13"/>
          <w:color w:val="auto"/>
        </w:rPr>
        <w:t>lan.</w:t>
      </w:r>
    </w:p>
    <w:p>
      <w:pPr>
        <w:spacing w:after="0" w:line="190"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You may vote “FOR” or “AGAINST” or “ABSTAIN” on the ratification of the appointment of BDO USA, P.C. as our independent registered public accounting firm for 2024. This proposal shall be approved if it receives the affirmative vote of a majority of the shares of common stock present in person or represented at the annual meeting and entitled to vote on this proposal.</w:t>
      </w:r>
    </w:p>
    <w:p>
      <w:pPr>
        <w:spacing w:after="0" w:line="168" w:lineRule="exact"/>
        <w:rPr>
          <w:sz w:val="20"/>
          <w:szCs w:val="20"/>
          <w:color w:val="auto"/>
        </w:rPr>
      </w:pPr>
    </w:p>
    <w:p>
      <w:pPr>
        <w:jc w:val="center"/>
        <w:ind w:left="1660" w:right="60"/>
        <w:spacing w:after="0" w:line="276" w:lineRule="auto"/>
        <w:rPr>
          <w:sz w:val="20"/>
          <w:szCs w:val="20"/>
          <w:color w:val="auto"/>
        </w:rPr>
      </w:pPr>
      <w:r>
        <w:rPr>
          <w:rFonts w:ascii="Times New Roman" w:cs="Times New Roman" w:eastAsia="Times New Roman" w:hAnsi="Times New Roman"/>
          <w:sz w:val="17"/>
          <w:szCs w:val="17"/>
          <w:b w:val="1"/>
          <w:bCs w:val="1"/>
          <w:color w:val="auto"/>
        </w:rPr>
        <w:t>The Board recommends that you vote “FOR” the ratification of the appointment of BDO USA, P.C. as our independent registered public accounting firm for 2024.</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16" w:name="page17"/>
    <w:bookmarkEnd w:id="16"/>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AUDIT COMMITTEE REPORT</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Audit Committee has reviewed and discussed our fiscal 2023 audited financial statements with management.</w:t>
      </w:r>
    </w:p>
    <w:p>
      <w:pPr>
        <w:spacing w:after="0" w:line="204"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17"/>
          <w:szCs w:val="17"/>
          <w:color w:val="auto"/>
        </w:rPr>
        <w:t>The Audit Committee has discussed with BDO USA, P.C., our independent registered public accounting firm, the matters required to be discussed by the applicable requirements of the Public Company Accounting Oversight Board and the SEC.</w:t>
      </w:r>
    </w:p>
    <w:p>
      <w:pPr>
        <w:spacing w:after="0" w:line="158"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The Audit Committee has received the written disclosures and the letter from BDO USA, P.C. required by applicable requirements of the Public Company Accounting Oversight Board regarding BDO USA, P.C.’s communications with the Audit Committee concerning independence, and it has discussed with BDO USA, P.C. the firm’s independence.</w:t>
      </w:r>
    </w:p>
    <w:p>
      <w:pPr>
        <w:spacing w:after="0" w:line="169"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17"/>
          <w:szCs w:val="17"/>
          <w:color w:val="auto"/>
        </w:rPr>
        <w:t>Based on these reviews and discussions, the Audit Committee recommended to the Board that our audited financial statements be included in our annual report on Form 10-K for 2023 for filing with the SEC.</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Respectfully submitted,</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Carol “Lili” Lynton</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Samuel N. Borgese</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Mark Buller</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Nancy Faginas-Cody</w:t>
      </w:r>
    </w:p>
    <w:p>
      <w:pPr>
        <w:spacing w:after="0" w:line="186"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i w:val="1"/>
          <w:iCs w:val="1"/>
          <w:color w:val="auto"/>
        </w:rPr>
        <w:t>The foregoing report of the Audit Committee is not soliciting material, is not deemed filed with the SEC and is not incorporated by reference in any filing of the Company under the Securities Act of 1933, as amended (the “Securities Act”), or the Exchange Act, whether made before or after the date of this proxy statement and irrespective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17" w:name="page18"/>
    <w:bookmarkEnd w:id="17"/>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200" w:right="219"/>
        <w:spacing w:after="0" w:line="252" w:lineRule="auto"/>
        <w:rPr>
          <w:sz w:val="20"/>
          <w:szCs w:val="20"/>
          <w:color w:val="auto"/>
        </w:rPr>
      </w:pPr>
      <w:r>
        <w:rPr>
          <w:rFonts w:ascii="Times New Roman" w:cs="Times New Roman" w:eastAsia="Times New Roman" w:hAnsi="Times New Roman"/>
          <w:sz w:val="30"/>
          <w:szCs w:val="30"/>
          <w:b w:val="1"/>
          <w:bCs w:val="1"/>
          <w:color w:val="auto"/>
        </w:rPr>
        <w:t>PROPOSAL 3 AMENDMENT OF OUR CERTIFICATE OF INCORPORATION TO PROVIDE FOR EXCULPATION OF CERTAIN OFFICERS</w:t>
      </w:r>
    </w:p>
    <w:p>
      <w:pPr>
        <w:spacing w:after="0" w:line="154" w:lineRule="exact"/>
        <w:rPr>
          <w:sz w:val="20"/>
          <w:szCs w:val="20"/>
          <w:color w:val="auto"/>
        </w:rPr>
      </w:pPr>
    </w:p>
    <w:p>
      <w:pPr>
        <w:jc w:val="both"/>
        <w:ind w:left="200" w:right="359"/>
        <w:spacing w:after="0" w:line="258" w:lineRule="auto"/>
        <w:rPr>
          <w:sz w:val="20"/>
          <w:szCs w:val="20"/>
          <w:color w:val="auto"/>
        </w:rPr>
      </w:pPr>
      <w:r>
        <w:rPr>
          <w:rFonts w:ascii="Times New Roman" w:cs="Times New Roman" w:eastAsia="Times New Roman" w:hAnsi="Times New Roman"/>
          <w:sz w:val="17"/>
          <w:szCs w:val="17"/>
          <w:color w:val="auto"/>
        </w:rPr>
        <w:t>We are asking our shareholders to vote to approve a proposal to amend our Amended and Restated Certificate of Incorporation (as amended, the “</w:t>
      </w:r>
      <w:r>
        <w:rPr>
          <w:rFonts w:ascii="Times New Roman" w:cs="Times New Roman" w:eastAsia="Times New Roman" w:hAnsi="Times New Roman"/>
          <w:sz w:val="17"/>
          <w:szCs w:val="17"/>
          <w:b w:val="1"/>
          <w:bCs w:val="1"/>
          <w:i w:val="1"/>
          <w:iCs w:val="1"/>
          <w:color w:val="auto"/>
        </w:rPr>
        <w:t>Certificate of Incorporation</w:t>
      </w:r>
      <w:r>
        <w:rPr>
          <w:rFonts w:ascii="Times New Roman" w:cs="Times New Roman" w:eastAsia="Times New Roman" w:hAnsi="Times New Roman"/>
          <w:sz w:val="17"/>
          <w:szCs w:val="17"/>
          <w:color w:val="auto"/>
        </w:rPr>
        <w:t>”) to provide for exculpation of certain officers of the Company as permitted by recent amendments to Delaware law (the “</w:t>
      </w:r>
      <w:r>
        <w:rPr>
          <w:rFonts w:ascii="Times New Roman" w:cs="Times New Roman" w:eastAsia="Times New Roman" w:hAnsi="Times New Roman"/>
          <w:sz w:val="17"/>
          <w:szCs w:val="17"/>
          <w:b w:val="1"/>
          <w:bCs w:val="1"/>
          <w:i w:val="1"/>
          <w:iCs w:val="1"/>
          <w:color w:val="auto"/>
        </w:rPr>
        <w:t>Exculpation Amendment</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color w:val="auto"/>
        </w:rPr>
        <w:t>As part of its review of our corporate governance standards and practices, the Board concluded that adopting the Exculpation Amendment to provide for exculpation of certain officers of the Company would help improve the Company’s flexibility in response to time-sensitive opportunities and challenges, as well as talent retention among top officers, and on January 25, 2024, the Board unanimously adopted a resolution declaring it advisable to approve the Exculpation Amendment. If approved by the shareholders at the annual meeting, the Company would file an Amended and Restated Certificate of Incorporation of the Corporation (the “</w:t>
      </w:r>
      <w:r>
        <w:rPr>
          <w:rFonts w:ascii="Times New Roman" w:cs="Times New Roman" w:eastAsia="Times New Roman" w:hAnsi="Times New Roman"/>
          <w:sz w:val="17"/>
          <w:szCs w:val="17"/>
          <w:b w:val="1"/>
          <w:bCs w:val="1"/>
          <w:i w:val="1"/>
          <w:iCs w:val="1"/>
          <w:color w:val="auto"/>
        </w:rPr>
        <w:t>Amended and Restated Certificate of Incorporation</w:t>
      </w:r>
      <w:r>
        <w:rPr>
          <w:rFonts w:ascii="Times New Roman" w:cs="Times New Roman" w:eastAsia="Times New Roman" w:hAnsi="Times New Roman"/>
          <w:sz w:val="17"/>
          <w:szCs w:val="17"/>
          <w:color w:val="auto"/>
        </w:rPr>
        <w:t>”) containing the Exculpation Amendment, a copy of which is attached as Appendix B to this proxy statement, with the Delaware Secretary of State.</w:t>
      </w:r>
    </w:p>
    <w:p>
      <w:pPr>
        <w:spacing w:after="0" w:line="176" w:lineRule="exact"/>
        <w:rPr>
          <w:sz w:val="20"/>
          <w:szCs w:val="20"/>
          <w:color w:val="auto"/>
        </w:rPr>
      </w:pPr>
    </w:p>
    <w:p>
      <w:pPr>
        <w:jc w:val="both"/>
        <w:ind w:left="200" w:right="219"/>
        <w:spacing w:after="0" w:line="268" w:lineRule="auto"/>
        <w:rPr>
          <w:sz w:val="20"/>
          <w:szCs w:val="20"/>
          <w:color w:val="auto"/>
        </w:rPr>
      </w:pPr>
      <w:r>
        <w:rPr>
          <w:rFonts w:ascii="Times New Roman" w:cs="Times New Roman" w:eastAsia="Times New Roman" w:hAnsi="Times New Roman"/>
          <w:sz w:val="16"/>
          <w:szCs w:val="16"/>
          <w:color w:val="auto"/>
        </w:rPr>
        <w:t>Effective August 1, 2022, Section 102(b)(7) of the General Corporation Law of the State of Delaware (“</w:t>
      </w:r>
      <w:r>
        <w:rPr>
          <w:rFonts w:ascii="Times New Roman" w:cs="Times New Roman" w:eastAsia="Times New Roman" w:hAnsi="Times New Roman"/>
          <w:sz w:val="16"/>
          <w:szCs w:val="16"/>
          <w:b w:val="1"/>
          <w:bCs w:val="1"/>
          <w:i w:val="1"/>
          <w:iCs w:val="1"/>
          <w:color w:val="auto"/>
        </w:rPr>
        <w:t>DGCL</w:t>
      </w:r>
      <w:r>
        <w:rPr>
          <w:rFonts w:ascii="Times New Roman" w:cs="Times New Roman" w:eastAsia="Times New Roman" w:hAnsi="Times New Roman"/>
          <w:sz w:val="16"/>
          <w:szCs w:val="16"/>
          <w:color w:val="auto"/>
        </w:rPr>
        <w:t>”) was amended to authorize corporations to adopt a provision in their certificate of incorporation to eliminate or limit monetary liability of certain corporate officers for breach of the fiduciary duty of care. Previously, the DGCL allowed only exculpation of directors for breach of the fiduciary duty of care. As amended, Section 102(b)(7) of the DGCL authorizes corporations to provide for exculpation of the following officers: (i) the corporation’s president, chief executive officer, chief operating officer, chief financial officer, chief legal officer, controller, treasurer or chief accounting officer, (ii) “named executive officers” identified in the corporation’s SEC filings, and (iii) other individuals who have agreed to be identified as officers of the corporation.</w:t>
      </w:r>
    </w:p>
    <w:p>
      <w:pPr>
        <w:spacing w:after="0" w:line="166"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17"/>
          <w:szCs w:val="17"/>
          <w:color w:val="auto"/>
        </w:rPr>
        <w:t>Section 102(b)(7) of the DGCL, as amended, only permits, and the Exculpation Amendment would only permit, the exculpation of certain officers in connection with direct claims brought by shareholders, including class actions, but would not eliminate officers’ monetary liability for breach of fiduciary duty claims brought by the Company itself or for derivative claims brought by shareholders in the name of the Company. In addition, as is currently the case with directors under the Certificate of Incorporation, the Exculpation Amendment would not limit the liability of officers for any breach of the duty of loyalty to the Company or its shareholders, any acts or omissions not in good faith or which involve intentional misconduct or a knowing violation of the law and any transaction from which the officer derived an improper personal benefit. Article SIXTH of the Certificate of Incorporation currently provides for the exculpation of directors but does not include a provision that allows for the exculpation of officers.</w:t>
      </w:r>
    </w:p>
    <w:p>
      <w:pPr>
        <w:spacing w:after="0" w:line="182"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color w:val="auto"/>
        </w:rPr>
        <w:t>The Board believes it is important to provide protection from certain liabilities and expenses that may discourage prospective or current officers from accepting or continuing service with corporations. As with directors, officers frequently must make decisions in response to time-sensitive opportunities and challenges, which can create substantial risk of investigations, claims, actions, suits, or proceedings seeking to impose liability on the basis of hindsight. This is especially the case in the current litigious environment where shareholder plaintiffs have employed a tactic of bringing certain claims against officers that would otherwise be exculpated if brought against directors to avoid dismissal of such claims. The Exculpation Amendment would align the protections for our officers with those protections currently afforded to our directors.</w:t>
      </w:r>
    </w:p>
    <w:p>
      <w:pPr>
        <w:spacing w:after="0" w:line="180"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color w:val="auto"/>
        </w:rPr>
        <w:t>In addition, the Board believes the Exculpation Amendment would better position the Company to attract top officer candidates. In the absence of this exculpatory protection, qualified officers might be deterred from serving as officers due to exposure to personal liability and the risk that substantial expense will be incurred in defending lawsuits, regardless of merit. Some of our peers have already adopted, and we expect that other peers of ours will adopt, exculpation clauses that limit the personal liability of officers in their certificates of incorporation, and failing to adopt the Exculpation Amendment could impact our ability to recruit and retain exceptional officer candidates who could conclude that the potential exposure to liabilities, costs of defense and other risks of proceedings exceeds the benefits of serving as an officer of the Company.</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18" w:name="page19"/>
    <w:bookmarkEnd w:id="18"/>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17"/>
          <w:szCs w:val="17"/>
          <w:color w:val="auto"/>
        </w:rPr>
        <w:t>The Board also took into account the narrow class and type of claims from which such officers would be exculpated from liability pursuant to Section 102(b)(7) of the DGCL, the limited number of our officers that would be impacted, and the benefits the Board believes would accrue to the Company by providing exculpation in accordance with Section 102(b)(7) of the DGCL, including the ability to further enable our officers to best exercise their business judgment in furtherance of shareholders’ interests. Given these considerations, our Board has determined that it is in the best interests of the Company to adopt the proposed Exculpation Amendment.</w:t>
      </w:r>
    </w:p>
    <w:p>
      <w:pPr>
        <w:spacing w:after="0" w:line="178"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The proposed Exculpation Amendment, if it is approved by our shareholders and becomes effective, would be in addition to a provision in Article SIXTH of our Certificate of Incorporation, which, as discussed above, currently provides for the exculpation of directors, and would extend the exculpation provision to certain of our officers as permitted by Section 102(b)(7) of the DGCL, as amended.</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Proposed Amendment</w:t>
      </w:r>
    </w:p>
    <w:p>
      <w:pPr>
        <w:spacing w:after="0" w:line="208" w:lineRule="exact"/>
        <w:rPr>
          <w:sz w:val="20"/>
          <w:szCs w:val="20"/>
          <w:color w:val="auto"/>
        </w:rPr>
      </w:pPr>
    </w:p>
    <w:p>
      <w:pPr>
        <w:ind w:left="200"/>
        <w:spacing w:after="0"/>
        <w:tabs>
          <w:tab w:leader="none" w:pos="580" w:val="left"/>
          <w:tab w:leader="none" w:pos="1320" w:val="left"/>
          <w:tab w:leader="none" w:pos="2260" w:val="left"/>
          <w:tab w:leader="none" w:pos="3220" w:val="left"/>
          <w:tab w:leader="none" w:pos="3620" w:val="left"/>
          <w:tab w:leader="none" w:pos="4200" w:val="left"/>
          <w:tab w:leader="none" w:pos="4580" w:val="left"/>
          <w:tab w:leader="none" w:pos="5160" w:val="left"/>
          <w:tab w:leader="none" w:pos="5500" w:val="left"/>
          <w:tab w:leader="none" w:pos="6340" w:val="left"/>
          <w:tab w:leader="none" w:pos="6600" w:val="left"/>
          <w:tab w:leader="none" w:pos="7660" w:val="left"/>
          <w:tab w:leader="none" w:pos="7920" w:val="left"/>
          <w:tab w:leader="none" w:pos="8300" w:val="left"/>
          <w:tab w:leader="none" w:pos="8500" w:val="left"/>
        </w:tabs>
        <w:rPr>
          <w:sz w:val="20"/>
          <w:szCs w:val="20"/>
          <w:color w:val="auto"/>
        </w:rPr>
      </w:pPr>
      <w:r>
        <w:rPr>
          <w:rFonts w:ascii="Times New Roman" w:cs="Times New Roman" w:eastAsia="Times New Roman" w:hAnsi="Times New Roman"/>
          <w:sz w:val="17"/>
          <w:szCs w:val="17"/>
          <w:color w:val="auto"/>
        </w:rPr>
        <w:t>The</w:t>
        <w:tab/>
        <w:t>proposed</w:t>
        <w:tab/>
        <w:t>Exculpation</w:t>
        <w:tab/>
        <w:t>Amendment</w:t>
        <w:tab/>
        <w:t>will</w:t>
        <w:tab/>
        <w:t>amend</w:t>
        <w:tab/>
        <w:t>and</w:t>
        <w:tab/>
        <w:t>restate</w:t>
        <w:tab/>
        <w:t>the</w:t>
        <w:tab/>
        <w:t>Certificate</w:t>
        <w:tab/>
        <w:t>of</w:t>
        <w:tab/>
        <w:t>Incorporation</w:t>
        <w:tab/>
        <w:t>to</w:t>
        <w:tab/>
        <w:t>add</w:t>
        <w:tab/>
        <w:t>a</w:t>
      </w:r>
      <w:r>
        <w:rPr>
          <w:sz w:val="20"/>
          <w:szCs w:val="20"/>
          <w:color w:val="auto"/>
        </w:rPr>
        <w:tab/>
      </w:r>
      <w:r>
        <w:rPr>
          <w:rFonts w:ascii="Times New Roman" w:cs="Times New Roman" w:eastAsia="Times New Roman" w:hAnsi="Times New Roman"/>
          <w:sz w:val="16"/>
          <w:szCs w:val="16"/>
          <w:color w:val="auto"/>
        </w:rPr>
        <w:t>new</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Article SEVENTEENTH as follows:</w:t>
      </w:r>
    </w:p>
    <w:p>
      <w:pPr>
        <w:spacing w:after="0" w:line="188" w:lineRule="exact"/>
        <w:rPr>
          <w:sz w:val="20"/>
          <w:szCs w:val="20"/>
          <w:color w:val="auto"/>
        </w:rPr>
      </w:pPr>
    </w:p>
    <w:p>
      <w:pPr>
        <w:jc w:val="both"/>
        <w:ind w:left="800" w:right="219"/>
        <w:spacing w:after="0" w:line="267" w:lineRule="auto"/>
        <w:rPr>
          <w:sz w:val="20"/>
          <w:szCs w:val="20"/>
          <w:color w:val="auto"/>
        </w:rPr>
      </w:pPr>
      <w:r>
        <w:rPr>
          <w:rFonts w:ascii="Times New Roman" w:cs="Times New Roman" w:eastAsia="Times New Roman" w:hAnsi="Times New Roman"/>
          <w:sz w:val="16"/>
          <w:szCs w:val="16"/>
          <w:u w:val="single" w:color="auto"/>
          <w:color w:val="auto"/>
        </w:rPr>
        <w:t>SEVENTEENTH</w:t>
      </w:r>
      <w:r>
        <w:rPr>
          <w:rFonts w:ascii="Times New Roman" w:cs="Times New Roman" w:eastAsia="Times New Roman" w:hAnsi="Times New Roman"/>
          <w:sz w:val="16"/>
          <w:szCs w:val="16"/>
          <w:color w:val="auto"/>
        </w:rPr>
        <w:t>: No officer shall be personally liable to the Corporation or any of its stockholders for monetary damages for breach of any fiduciary duty as an officer of the Corporation, except to the extent such exemption from liability or limitation thereof is not permitted under the DGCL. If the DGCL is amended hereafter to authorize the further elimination or limitation of the liability of officers, then the liability of an officer of the Corporation shall be eliminated or limited to the fullest extent authorized by the DGCL, as so amended. Any repeal or modification of this Article SEVENTEENTH shall not adversely affect any right or protection of an officer of the Corporation existing at the time of such repeal or modification with respect to acts or omissions occurring prior to such repeal or modification.</w:t>
      </w:r>
    </w:p>
    <w:p>
      <w:pPr>
        <w:spacing w:after="0" w:line="167"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color w:val="auto"/>
        </w:rPr>
        <w:t>The affirmative vote of the holders of a majority of the outstanding common stock entitled to vote thereon is required to approve and adopt the proposed Exculpation Amendment. If this proposal to amend the Certificate of Incorporation is approved and adopted by our shareholders, we will file the Amended and Restated Certificate of Incorporation with the Secretary of State of Delaware shortly after the annual meeting that includes the above-described proposed amendment. The Board may, at any time prior to effectiveness, abandon the proposed Exculpation Amendment without further action by the shareholders or the Board (even if the requisite shareholder vote is obtained). If the Exculpation Amendment is not approved by shareholders, the Amended and Restated Certificate of Incorporation will not be filed and no changes to the Certificate of Amendment will be implemented or become effective.</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The Board recommends that you vote “FOR” the proposal to amend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Certificate of Incorporation to provide for the exculpation of certain officers.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19" w:name="page20"/>
    <w:bookmarkEnd w:id="19"/>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200" w:right="219"/>
        <w:spacing w:after="0" w:line="288" w:lineRule="auto"/>
        <w:rPr>
          <w:sz w:val="20"/>
          <w:szCs w:val="20"/>
          <w:color w:val="auto"/>
        </w:rPr>
      </w:pPr>
      <w:r>
        <w:rPr>
          <w:rFonts w:ascii="Times New Roman" w:cs="Times New Roman" w:eastAsia="Times New Roman" w:hAnsi="Times New Roman"/>
          <w:sz w:val="29"/>
          <w:szCs w:val="29"/>
          <w:b w:val="1"/>
          <w:bCs w:val="1"/>
          <w:color w:val="auto"/>
        </w:rPr>
        <w:t>PROPOSAL 4: ADVISORY VOTE TO APPROVE THE COMPENSATION OF NAMED EXECUTIVE OFFICERS</w:t>
      </w:r>
    </w:p>
    <w:p>
      <w:pPr>
        <w:spacing w:after="0" w:line="103"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color w:val="auto"/>
        </w:rPr>
        <w:t xml:space="preserve">The Board believes that the Company’s long-term success depends in large measure on the talents of its employees. The Company’s compensation system plays a significant role in its ability to attract, retain and motivate the highest quality workforce. The Board believes that the Company’s current compensation program directly links executive compensation to performance, aligning the interests of the Company’s executive officers with those of its stockholders. The Board endorses the Company’s executive compensation program and encourages stockholders to review the Compensation, Discussion and Analysis, tables and other disclosures included under the Section entitled </w:t>
      </w:r>
      <w:r>
        <w:rPr>
          <w:rFonts w:ascii="Times New Roman" w:cs="Times New Roman" w:eastAsia="Times New Roman" w:hAnsi="Times New Roman"/>
          <w:sz w:val="17"/>
          <w:szCs w:val="17"/>
          <w:b w:val="1"/>
          <w:bCs w:val="1"/>
          <w:i w:val="1"/>
          <w:iCs w:val="1"/>
          <w:color w:val="auto"/>
        </w:rPr>
        <w:t>“Compensation Discussion and Analysis”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i w:val="1"/>
          <w:iCs w:val="1"/>
          <w:color w:val="auto"/>
        </w:rPr>
        <w:t xml:space="preserve">“Executive Compensation Tables” </w:t>
      </w:r>
      <w:r>
        <w:rPr>
          <w:rFonts w:ascii="Times New Roman" w:cs="Times New Roman" w:eastAsia="Times New Roman" w:hAnsi="Times New Roman"/>
          <w:sz w:val="17"/>
          <w:szCs w:val="17"/>
          <w:color w:val="auto"/>
        </w:rPr>
        <w:t>of this proxy statement.</w:t>
      </w:r>
    </w:p>
    <w:p>
      <w:pPr>
        <w:spacing w:after="0" w:line="180"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Section 14A of the Exchange Act requires that the Company periodically submit to the stockholders for an advisory vote a resolution to approve the compensation of its named executive officers (“NEOs”) as described in this proxy statement, commonly referred to as a “say-on-pay” resolution.</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Board recommends that the stockholders vote “FOR” the following resolution:</w:t>
      </w:r>
    </w:p>
    <w:p>
      <w:pPr>
        <w:spacing w:after="0" w:line="200" w:lineRule="exact"/>
        <w:rPr>
          <w:sz w:val="20"/>
          <w:szCs w:val="20"/>
          <w:color w:val="auto"/>
        </w:rPr>
      </w:pPr>
    </w:p>
    <w:p>
      <w:pPr>
        <w:jc w:val="both"/>
        <w:ind w:left="800" w:right="219"/>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the Company’s stockholders approve, on an advisory basis, the compensation of the Named Executive Officers, as disclosed in the Company’s proxy statement for the 2024 annual meeting pursuant to the compensation disclosure rules of the United States Securities and Exchange Commission (which disclosure includes the Compensation Discussion and Analysis, the Summary Compensation Table and the other related tables and disclosures).”</w:t>
      </w:r>
    </w:p>
    <w:p>
      <w:pPr>
        <w:spacing w:after="0" w:line="173"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color w:val="auto"/>
        </w:rPr>
        <w:t>You may vote “FOR” or “AGAINST” or “ABSTAIN” on the approval, on an advisory (non-binding) basis, of the compensation of our NEOs. This proposal shall be approved if it receives the affirmative vote of a majority of the shares of common stock present in person or represented at the annual meeting and entitled to vote on this proposal. This is a non-binding advisory vote and, therefore, its outcome does not mandate any particular action. However, our Board and our Compensation Committee will carefully consider the outcome of this vote when making future decisions regarding the compensation of our NEOs. We will hold our next advisory vote to approve the compensation of our named executive officers at the 2025 annual meeting of stockholders.</w:t>
      </w:r>
    </w:p>
    <w:p>
      <w:pPr>
        <w:spacing w:after="0" w:line="176" w:lineRule="exact"/>
        <w:rPr>
          <w:sz w:val="20"/>
          <w:szCs w:val="20"/>
          <w:color w:val="auto"/>
        </w:rPr>
      </w:pPr>
    </w:p>
    <w:p>
      <w:pPr>
        <w:jc w:val="center"/>
        <w:ind w:left="200" w:right="219"/>
        <w:spacing w:after="0" w:line="276" w:lineRule="auto"/>
        <w:rPr>
          <w:sz w:val="20"/>
          <w:szCs w:val="20"/>
          <w:color w:val="auto"/>
        </w:rPr>
      </w:pPr>
      <w:r>
        <w:rPr>
          <w:rFonts w:ascii="Times New Roman" w:cs="Times New Roman" w:eastAsia="Times New Roman" w:hAnsi="Times New Roman"/>
          <w:sz w:val="17"/>
          <w:szCs w:val="17"/>
          <w:b w:val="1"/>
          <w:bCs w:val="1"/>
          <w:color w:val="auto"/>
        </w:rPr>
        <w:t>The Board recommends that you vote “FOR” the approval, on an advisory (non-binding) basis, of the compensation of our named executive officers.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20" w:name="page21"/>
    <w:bookmarkEnd w:id="20"/>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660" w:right="540"/>
        <w:spacing w:after="0" w:line="271" w:lineRule="auto"/>
        <w:rPr>
          <w:sz w:val="20"/>
          <w:szCs w:val="20"/>
          <w:color w:val="auto"/>
        </w:rPr>
      </w:pPr>
      <w:r>
        <w:rPr>
          <w:rFonts w:ascii="Times New Roman" w:cs="Times New Roman" w:eastAsia="Times New Roman" w:hAnsi="Times New Roman"/>
          <w:sz w:val="30"/>
          <w:szCs w:val="30"/>
          <w:b w:val="1"/>
          <w:bCs w:val="1"/>
          <w:color w:val="auto"/>
        </w:rPr>
        <w:t>PROPOSAL 5: APPROVAL OF AMENDMENT TO OUR EQUITY INCENTIVE PLAN</w:t>
      </w:r>
    </w:p>
    <w:p>
      <w:pPr>
        <w:spacing w:after="0" w:line="1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08" w:lineRule="exact"/>
        <w:rPr>
          <w:sz w:val="20"/>
          <w:szCs w:val="20"/>
          <w:color w:val="auto"/>
        </w:rPr>
      </w:pPr>
    </w:p>
    <w:p>
      <w:pPr>
        <w:ind w:left="200" w:right="539" w:firstLine="600"/>
        <w:spacing w:after="0" w:line="258" w:lineRule="auto"/>
        <w:rPr>
          <w:sz w:val="20"/>
          <w:szCs w:val="20"/>
          <w:color w:val="auto"/>
        </w:rPr>
      </w:pPr>
      <w:r>
        <w:rPr>
          <w:rFonts w:ascii="Times New Roman" w:cs="Times New Roman" w:eastAsia="Times New Roman" w:hAnsi="Times New Roman"/>
          <w:sz w:val="17"/>
          <w:szCs w:val="17"/>
          <w:color w:val="auto"/>
        </w:rPr>
        <w:t>The Company’s long-term incentive compensation program is implemented under the El Pollo Loco Holdings, Inc. Equity Incentive Plan (the “Equity Incentive Plan”). The Equity Incentive Plan emphasizes achievement of long-term performance and stockholders value creation.</w:t>
      </w:r>
    </w:p>
    <w:p>
      <w:pPr>
        <w:spacing w:after="0" w:line="169" w:lineRule="exact"/>
        <w:rPr>
          <w:sz w:val="20"/>
          <w:szCs w:val="20"/>
          <w:color w:val="auto"/>
        </w:rPr>
      </w:pPr>
    </w:p>
    <w:p>
      <w:pPr>
        <w:ind w:left="200" w:right="479" w:firstLine="600"/>
        <w:spacing w:after="0" w:line="258" w:lineRule="auto"/>
        <w:rPr>
          <w:sz w:val="20"/>
          <w:szCs w:val="20"/>
          <w:color w:val="auto"/>
        </w:rPr>
      </w:pPr>
      <w:r>
        <w:rPr>
          <w:rFonts w:ascii="Times New Roman" w:cs="Times New Roman" w:eastAsia="Times New Roman" w:hAnsi="Times New Roman"/>
          <w:sz w:val="17"/>
          <w:szCs w:val="17"/>
          <w:color w:val="auto"/>
        </w:rPr>
        <w:t>On March 5, 2024, our Board approved amending the Equity Incentive Plan, subject to stockholder approval. At the annual meeting, we are asking our stockholders to approve the following amendments set forth in the amended and restated Equity Incentive Plan:</w:t>
      </w:r>
    </w:p>
    <w:p>
      <w:pPr>
        <w:spacing w:after="0" w:line="165" w:lineRule="exact"/>
        <w:rPr>
          <w:sz w:val="20"/>
          <w:szCs w:val="20"/>
          <w:color w:val="auto"/>
        </w:rPr>
      </w:pPr>
    </w:p>
    <w:p>
      <w:pPr>
        <w:ind w:left="1120" w:right="219" w:hanging="293"/>
        <w:spacing w:after="0" w:line="265" w:lineRule="auto"/>
        <w:tabs>
          <w:tab w:leader="none" w:pos="112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Increase in Aggregate Share Limit</w:t>
      </w:r>
      <w:r>
        <w:rPr>
          <w:rFonts w:ascii="Times New Roman" w:cs="Times New Roman" w:eastAsia="Times New Roman" w:hAnsi="Times New Roman"/>
          <w:sz w:val="16"/>
          <w:szCs w:val="16"/>
          <w:color w:val="auto"/>
        </w:rPr>
        <w:t>. The Equity Incentive Plan currently limits the aggregate number of shares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the Company’s common stock that may be delivered pursuant to all awards granted under the Equity Incentive Plan to 2,000,000 shares,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number of shares of common stock reserved, but unissued under our 2014 Omnibus Equity Incentive Plan (the “Prior Plan”) at the time the Equity Incentive Plan was originally approved. The proposed amendment would increase this limit by an additional 1,250,000 shares so that the new aggregate share limit for the Equity Incentive Plan would be 3,250,000 shares,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the number of shares of common stock reserved, but unissued under the Prior Plan at the time the Equity Incentive Plan was originally approved. The proposed amendments would also increase the limit on the number of shares that may be delivered pursuant to “incentive stock options” granted under the Equity Incentive Plan by 1,250,000 shares for a new limit of 3,250,000 incentive stock options. For purposes of clarity, any shares that are delivered pursuant to incentive stock options also count against (and are not in addition to) the aggregate Equity Incentive Plan share limit described above.</w:t>
      </w:r>
    </w:p>
    <w:p>
      <w:pPr>
        <w:spacing w:after="0" w:line="164" w:lineRule="exact"/>
        <w:rPr>
          <w:rFonts w:ascii="Times New Roman" w:cs="Times New Roman" w:eastAsia="Times New Roman" w:hAnsi="Times New Roman"/>
          <w:sz w:val="16"/>
          <w:szCs w:val="16"/>
          <w:color w:val="auto"/>
        </w:rPr>
      </w:pPr>
    </w:p>
    <w:p>
      <w:pPr>
        <w:ind w:left="1120" w:right="239" w:hanging="293"/>
        <w:spacing w:after="0" w:line="260" w:lineRule="auto"/>
        <w:tabs>
          <w:tab w:leader="none" w:pos="11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Extension of Plan Term. </w:t>
      </w:r>
      <w:r>
        <w:rPr>
          <w:rFonts w:ascii="Times New Roman" w:cs="Times New Roman" w:eastAsia="Times New Roman" w:hAnsi="Times New Roman"/>
          <w:sz w:val="17"/>
          <w:szCs w:val="17"/>
          <w:color w:val="auto"/>
        </w:rPr>
        <w:t>The Equity Incentive Plan is currently scheduled to expire on June 8, 2031.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proposed amendments would extend our ability to grant new awards under the Equity Incentive Plan until May 28, 2034.</w:t>
      </w:r>
    </w:p>
    <w:p>
      <w:pPr>
        <w:spacing w:after="0" w:line="169" w:lineRule="exact"/>
        <w:rPr>
          <w:sz w:val="20"/>
          <w:szCs w:val="20"/>
          <w:color w:val="auto"/>
        </w:rPr>
      </w:pPr>
    </w:p>
    <w:p>
      <w:pPr>
        <w:ind w:left="200" w:right="379" w:firstLine="600"/>
        <w:spacing w:after="0" w:line="249" w:lineRule="auto"/>
        <w:rPr>
          <w:sz w:val="20"/>
          <w:szCs w:val="20"/>
          <w:color w:val="auto"/>
        </w:rPr>
      </w:pPr>
      <w:r>
        <w:rPr>
          <w:rFonts w:ascii="Times New Roman" w:cs="Times New Roman" w:eastAsia="Times New Roman" w:hAnsi="Times New Roman"/>
          <w:sz w:val="17"/>
          <w:szCs w:val="17"/>
          <w:color w:val="auto"/>
        </w:rPr>
        <w:t>As of March 31, 2024, a total of 1,292,317 shares of the Company’s common stock were then subject to outstanding awards granted under the Equity Incentive Plan, and only 670,036 shares of the Company’s common stock were then available for new award grants under the Equity Incentive Plan (assuming that all outstanding performance-based awards are paid-out at the maximum performance level). The proposed amendments would increase the reserved shares under the Equity Incentive Plan by 1,250,000 shares. Based solely on the closing price of the Company’s common shares as reported by the NASDAQ Stock Market on March 31, 2024, the maximum aggregate market value of the additional 1,250,000 new shares that could be issued under the Equity Incentive Plan is approximately $12,175,000.</w:t>
      </w:r>
    </w:p>
    <w:p>
      <w:pPr>
        <w:spacing w:after="0" w:line="180" w:lineRule="exact"/>
        <w:rPr>
          <w:sz w:val="20"/>
          <w:szCs w:val="20"/>
          <w:color w:val="auto"/>
        </w:rPr>
      </w:pPr>
    </w:p>
    <w:p>
      <w:pPr>
        <w:ind w:left="200" w:right="259" w:firstLine="600"/>
        <w:spacing w:after="0" w:line="250" w:lineRule="auto"/>
        <w:rPr>
          <w:sz w:val="20"/>
          <w:szCs w:val="20"/>
          <w:color w:val="auto"/>
        </w:rPr>
      </w:pPr>
      <w:r>
        <w:rPr>
          <w:rFonts w:ascii="Times New Roman" w:cs="Times New Roman" w:eastAsia="Times New Roman" w:hAnsi="Times New Roman"/>
          <w:sz w:val="17"/>
          <w:szCs w:val="17"/>
          <w:color w:val="auto"/>
        </w:rPr>
        <w:t>The Company believes that incentives and stock-based awards focus employees on the objective of creating stockholder value and promoting the success of the Company, and that incentive compensation plans like the Equity Incentive Plan are an important attraction, retention and motivation tool for participants in the plan. Our Board believes that the number of shares currently available under the Equity Incentive Plan does not give the Company sufficient authority and flexibility to adequately provide for future incentives. Our Board believes that the additional shares give the Company greater flexibility to structure future incentives and better attract, retain and award key employees.</w:t>
      </w:r>
    </w:p>
    <w:p>
      <w:pPr>
        <w:spacing w:after="0" w:line="178" w:lineRule="exact"/>
        <w:rPr>
          <w:sz w:val="20"/>
          <w:szCs w:val="20"/>
          <w:color w:val="auto"/>
        </w:rPr>
      </w:pPr>
    </w:p>
    <w:p>
      <w:pPr>
        <w:ind w:left="200" w:right="399" w:firstLine="600"/>
        <w:spacing w:after="0" w:line="271" w:lineRule="auto"/>
        <w:rPr>
          <w:sz w:val="20"/>
          <w:szCs w:val="20"/>
          <w:color w:val="auto"/>
        </w:rPr>
      </w:pPr>
      <w:r>
        <w:rPr>
          <w:rFonts w:ascii="Times New Roman" w:cs="Times New Roman" w:eastAsia="Times New Roman" w:hAnsi="Times New Roman"/>
          <w:sz w:val="17"/>
          <w:szCs w:val="17"/>
          <w:color w:val="auto"/>
        </w:rPr>
        <w:t>If stockholders do not approve this proposal, the current share limits under, and the other terms and conditions of, the Equity Incentive Plan will continue in effect.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21" w:name="page22"/>
    <w:bookmarkEnd w:id="21"/>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Summary Description of the Equity Incentive Plan</w:t>
      </w:r>
    </w:p>
    <w:p>
      <w:pPr>
        <w:spacing w:after="0" w:line="208" w:lineRule="exact"/>
        <w:rPr>
          <w:sz w:val="20"/>
          <w:szCs w:val="20"/>
          <w:color w:val="auto"/>
        </w:rPr>
      </w:pPr>
    </w:p>
    <w:p>
      <w:pPr>
        <w:jc w:val="both"/>
        <w:ind w:left="200" w:right="219" w:firstLine="600"/>
        <w:spacing w:after="0" w:line="271" w:lineRule="auto"/>
        <w:rPr>
          <w:sz w:val="20"/>
          <w:szCs w:val="20"/>
          <w:color w:val="auto"/>
        </w:rPr>
      </w:pPr>
      <w:r>
        <w:rPr>
          <w:rFonts w:ascii="Times New Roman" w:cs="Times New Roman" w:eastAsia="Times New Roman" w:hAnsi="Times New Roman"/>
          <w:sz w:val="17"/>
          <w:szCs w:val="17"/>
          <w:color w:val="auto"/>
        </w:rPr>
        <w:t>The principal terms of the Equity Incentive Plan are summarized below. The following summary is qualified in its entirety by the full text of the Equity Incentive Plan which is set forth in Appendix C hereto.</w:t>
      </w:r>
    </w:p>
    <w:p>
      <w:pPr>
        <w:spacing w:after="0" w:line="154" w:lineRule="exact"/>
        <w:rPr>
          <w:sz w:val="20"/>
          <w:szCs w:val="20"/>
          <w:color w:val="auto"/>
        </w:rPr>
      </w:pPr>
    </w:p>
    <w:p>
      <w:pPr>
        <w:jc w:val="both"/>
        <w:ind w:left="200" w:right="219" w:firstLine="60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Types of Awards</w:t>
      </w:r>
      <w:r>
        <w:rPr>
          <w:rFonts w:ascii="Times New Roman" w:cs="Times New Roman" w:eastAsia="Times New Roman" w:hAnsi="Times New Roman"/>
          <w:sz w:val="17"/>
          <w:szCs w:val="17"/>
          <w:color w:val="auto"/>
        </w:rPr>
        <w:t>. The Equity Incentive Plan provides for the issuance of options, share appreciation rights (“SARs”),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restricted shares, restricted stock units (“RSUs”), other share-based awards and cash awards to our officers, employees, directors, independent contractors and consultants.</w:t>
      </w:r>
    </w:p>
    <w:p>
      <w:pPr>
        <w:spacing w:after="0" w:line="169" w:lineRule="exact"/>
        <w:rPr>
          <w:sz w:val="20"/>
          <w:szCs w:val="20"/>
          <w:color w:val="auto"/>
        </w:rPr>
      </w:pPr>
    </w:p>
    <w:p>
      <w:pPr>
        <w:jc w:val="both"/>
        <w:ind w:left="200" w:right="219" w:firstLine="600"/>
        <w:spacing w:after="0" w:line="258" w:lineRule="auto"/>
        <w:rPr>
          <w:sz w:val="20"/>
          <w:szCs w:val="20"/>
          <w:color w:val="auto"/>
        </w:rPr>
      </w:pPr>
      <w:r>
        <w:rPr>
          <w:rFonts w:ascii="Times New Roman" w:cs="Times New Roman" w:eastAsia="Times New Roman" w:hAnsi="Times New Roman"/>
          <w:sz w:val="17"/>
          <w:szCs w:val="17"/>
          <w:color w:val="auto"/>
        </w:rPr>
        <w:t>As of March 31, 2024, approximately 47 officers and employees of the Company (including all of the named executive officers) and each of the eight non-employee directors serving on our Board were considered eligible under the Equity Incentive Plan.</w:t>
      </w:r>
    </w:p>
    <w:p>
      <w:pPr>
        <w:spacing w:after="0" w:line="165" w:lineRule="exact"/>
        <w:rPr>
          <w:sz w:val="20"/>
          <w:szCs w:val="20"/>
          <w:color w:val="auto"/>
        </w:rPr>
      </w:pPr>
    </w:p>
    <w:p>
      <w:pPr>
        <w:jc w:val="both"/>
        <w:ind w:left="200" w:right="219" w:firstLine="600"/>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Shares Available; Certain Limitations</w:t>
      </w:r>
      <w:r>
        <w:rPr>
          <w:rFonts w:ascii="Times New Roman" w:cs="Times New Roman" w:eastAsia="Times New Roman" w:hAnsi="Times New Roman"/>
          <w:sz w:val="17"/>
          <w:szCs w:val="17"/>
          <w:color w:val="auto"/>
        </w:rPr>
        <w:t>. The maximum number of shares of common stock reserved and available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issuance under the Equity Incentive Plan is equal to the sum of (i) 3,250,000 shares of common stock and (ii) the number of shares of common stock reserved, but unissued under the Prior Plan upon the original effective date of the Equity Incentive Plan, provided that shares of common stock issued under the Equity Incentive Plan with respect to an Exempt Award will not count against the share limit. We use the term “Exempt Award” to mean (i) an award granted in the assumption of, or in substitution for, outstanding awards previously granted by another business entity acquired by us or any of our subsidiaries or with which we or any of our subsidiaries merges, (ii) an “employment inducement” award as described in the applicable stock exchange listing manual or (iii) an award that a participant purchases at fair market value. If stockholders approve this proposal, the maximum number of common shares that may be delivered pursuant to awards under the Equity Incentive Plan will be 3,250,000 shares (the “Share Limit”),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number of shares of common stock reserved, but unissued, under the Prior Plan upon the original effective date of the Equity Incentive Plan, an increase of 1,250,000 additional shares.</w:t>
      </w:r>
    </w:p>
    <w:p>
      <w:pPr>
        <w:spacing w:after="0" w:line="182" w:lineRule="exact"/>
        <w:rPr>
          <w:sz w:val="20"/>
          <w:szCs w:val="20"/>
          <w:color w:val="auto"/>
        </w:rPr>
      </w:pPr>
    </w:p>
    <w:p>
      <w:pPr>
        <w:jc w:val="both"/>
        <w:ind w:left="200" w:right="219" w:firstLine="600"/>
        <w:spacing w:after="0" w:line="247" w:lineRule="auto"/>
        <w:rPr>
          <w:sz w:val="20"/>
          <w:szCs w:val="20"/>
          <w:color w:val="auto"/>
        </w:rPr>
      </w:pPr>
      <w:r>
        <w:rPr>
          <w:rFonts w:ascii="Times New Roman" w:cs="Times New Roman" w:eastAsia="Times New Roman" w:hAnsi="Times New Roman"/>
          <w:sz w:val="17"/>
          <w:szCs w:val="17"/>
          <w:color w:val="auto"/>
        </w:rPr>
        <w:t>New shares reserved for issuance under the Equity Incentive Plan may be authorized but unissued shares or shares that will have been or may be reacquired by the Company in the open market, in private transactions or otherwise. Shares of common stock subject to an award under the Equity Incentive Plan that remain unissued upon the cancellation or termination of the award will again become available for grant under the Equity Incentive Plan. However, shares of common stock that are surrendered by a participant or withheld as payment of the exercise price in connection with any award under the Equity Incentive Plan, as well as any shares of common stock exchanged by a participant or withheld to satisfy tax withholding obligations related to any award, will not be available for subsequent awards under the Equity Incentive Plan. If an award is denominated in shares, but settled in cash, the number of shares of common stock previously subject to the award will again be available for grants under the Equity Incentive Plan. If an award can only be settled in cash, it will not be counted against the total number of shares of common stock available for grant under the Equity Incentive Plan. However, upon the exercise of any award granted in tandem with any other awards, such related awards will be cancelled as to the number of shares as to which the award is exercised and such number of shares will no longer be available for grant under the Equity Incentive Plan.</w:t>
      </w:r>
    </w:p>
    <w:p>
      <w:pPr>
        <w:spacing w:after="0" w:line="185" w:lineRule="exact"/>
        <w:rPr>
          <w:sz w:val="20"/>
          <w:szCs w:val="20"/>
          <w:color w:val="auto"/>
        </w:rPr>
      </w:pPr>
    </w:p>
    <w:p>
      <w:pPr>
        <w:jc w:val="both"/>
        <w:ind w:left="200" w:right="219" w:firstLine="600"/>
        <w:spacing w:after="0" w:line="249" w:lineRule="auto"/>
        <w:rPr>
          <w:sz w:val="20"/>
          <w:szCs w:val="20"/>
          <w:color w:val="auto"/>
        </w:rPr>
      </w:pPr>
      <w:r>
        <w:rPr>
          <w:rFonts w:ascii="Times New Roman" w:cs="Times New Roman" w:eastAsia="Times New Roman" w:hAnsi="Times New Roman"/>
          <w:sz w:val="17"/>
          <w:szCs w:val="17"/>
          <w:color w:val="auto"/>
        </w:rPr>
        <w:t>Any shares of common stock repurchased with the proceeds of any option exercise price shall not be available for awards under the Equity Incentive Plan. No non-employee director of the Company will be granted awards during any calendar year that, when aggregated with such non-employee director’s cash fees for that calendar year, exceed $500,000 in total value, with cash-based awards and cash fees measured for this purpose at their value upon payment and any equity-based awards measured for this purpose at their grant date fair value as determined for the Company’s financial reporting purposes. In addition, any awards granted under the Equity Incentive Plan (other than awards representing a maximum of 5% of the shares reserved for issuance under the Equity Incentive Plan) will be granted subject to a minimum vesting period of at least 12 months, subject to acceleration in connection with a change in control, as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1836420</wp:posOffset>
            </wp:positionH>
            <wp:positionV relativeFrom="paragraph">
              <wp:posOffset>-789305</wp:posOffset>
            </wp:positionV>
            <wp:extent cx="2667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26670" cy="7620"/>
                    </a:xfrm>
                    <a:prstGeom prst="rect">
                      <a:avLst/>
                    </a:prstGeom>
                    <a:noFill/>
                  </pic:spPr>
                </pic:pic>
              </a:graphicData>
            </a:graphic>
          </wp:anchor>
        </w:drawing>
        <w:drawing>
          <wp:anchor simplePos="0" relativeHeight="251657728" behindDoc="1" locked="0" layoutInCell="0" allowOverlap="1">
            <wp:simplePos x="0" y="0"/>
            <wp:positionH relativeFrom="column">
              <wp:posOffset>1836420</wp:posOffset>
            </wp:positionH>
            <wp:positionV relativeFrom="paragraph">
              <wp:posOffset>-773430</wp:posOffset>
            </wp:positionV>
            <wp:extent cx="2667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6670" cy="7620"/>
                    </a:xfrm>
                    <a:prstGeom prst="rect">
                      <a:avLst/>
                    </a:prstGeom>
                    <a:noFill/>
                  </pic:spPr>
                </pic:pic>
              </a:graphicData>
            </a:graphic>
          </wp:anchor>
        </w:drawing>
      </w:r>
    </w:p>
    <w:p>
      <w:pPr>
        <w:spacing w:after="0" w:line="157" w:lineRule="exact"/>
        <w:rPr>
          <w:sz w:val="20"/>
          <w:szCs w:val="20"/>
          <w:color w:val="auto"/>
        </w:rPr>
      </w:pPr>
    </w:p>
    <w:p>
      <w:pPr>
        <w:jc w:val="both"/>
        <w:ind w:left="200" w:right="219" w:firstLine="600"/>
        <w:spacing w:after="0" w:line="271" w:lineRule="auto"/>
        <w:rPr>
          <w:sz w:val="20"/>
          <w:szCs w:val="20"/>
          <w:color w:val="auto"/>
        </w:rPr>
      </w:pPr>
      <w:r>
        <w:rPr>
          <w:rFonts w:ascii="Times New Roman" w:cs="Times New Roman" w:eastAsia="Times New Roman" w:hAnsi="Times New Roman"/>
          <w:sz w:val="17"/>
          <w:szCs w:val="17"/>
          <w:color w:val="auto"/>
        </w:rPr>
        <w:t>The current limit on the number of shares that may be issued pursuant to the exercise of incentive stock options is 1,820,477. If stockholders approve this proposal, the incentive stock option limit will increase to 3,070,477.</w:t>
      </w:r>
    </w:p>
    <w:p>
      <w:pPr>
        <w:spacing w:after="0" w:line="154" w:lineRule="exact"/>
        <w:rPr>
          <w:sz w:val="20"/>
          <w:szCs w:val="20"/>
          <w:color w:val="auto"/>
        </w:rPr>
      </w:pPr>
    </w:p>
    <w:p>
      <w:pPr>
        <w:jc w:val="both"/>
        <w:ind w:left="200" w:right="219" w:firstLine="60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Administration</w:t>
      </w:r>
      <w:r>
        <w:rPr>
          <w:rFonts w:ascii="Times New Roman" w:cs="Times New Roman" w:eastAsia="Times New Roman" w:hAnsi="Times New Roman"/>
          <w:sz w:val="17"/>
          <w:szCs w:val="17"/>
          <w:color w:val="auto"/>
        </w:rPr>
        <w:t>. The Equity Incentive Plan will be administered by our Board, or if our Board does not administer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Equity Incentive Plan, a committee of our Board that complies with the applicable requirements of</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22" w:name="page23"/>
    <w:bookmarkEnd w:id="22"/>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spacing w:after="0" w:line="282" w:lineRule="auto"/>
        <w:rPr>
          <w:sz w:val="20"/>
          <w:szCs w:val="20"/>
          <w:color w:val="auto"/>
        </w:rPr>
      </w:pPr>
      <w:r>
        <w:rPr>
          <w:rFonts w:ascii="Times New Roman" w:cs="Times New Roman" w:eastAsia="Times New Roman" w:hAnsi="Times New Roman"/>
          <w:sz w:val="16"/>
          <w:szCs w:val="16"/>
          <w:color w:val="auto"/>
        </w:rPr>
        <w:t>Section 16 of the Exchange Act and any other applicable legal or stock exchange listing requirements (each of our Board or such committee, the “plan administrator”). The plan administrator may interpret the Equity Incentive Plan and may prescribe, amend and rescind rules and make all other determinations necessary or desirable for the administration of the Equity Incentive Plan.</w:t>
      </w:r>
    </w:p>
    <w:p>
      <w:pPr>
        <w:spacing w:after="0" w:line="151" w:lineRule="exact"/>
        <w:rPr>
          <w:sz w:val="20"/>
          <w:szCs w:val="20"/>
          <w:color w:val="auto"/>
        </w:rPr>
      </w:pPr>
    </w:p>
    <w:p>
      <w:pPr>
        <w:jc w:val="both"/>
        <w:ind w:left="200" w:right="219" w:firstLine="600"/>
        <w:spacing w:after="0" w:line="254" w:lineRule="auto"/>
        <w:rPr>
          <w:sz w:val="20"/>
          <w:szCs w:val="20"/>
          <w:color w:val="auto"/>
        </w:rPr>
      </w:pPr>
      <w:r>
        <w:rPr>
          <w:rFonts w:ascii="Times New Roman" w:cs="Times New Roman" w:eastAsia="Times New Roman" w:hAnsi="Times New Roman"/>
          <w:sz w:val="17"/>
          <w:szCs w:val="17"/>
          <w:color w:val="auto"/>
        </w:rPr>
        <w:t>The Equity Incentive Plan permits the plan administrator to select the eligible recipients who will receive awards, to determine the terms and conditions of those awards, including but not limited to the exercise price or other purchase price of an award, the number of shares of common stock or cash or other property subject to an award, the term of an award and the vesting schedule applicable to an award, and to amend the terms and conditions of outstanding awards.</w:t>
      </w:r>
    </w:p>
    <w:p>
      <w:pPr>
        <w:spacing w:after="0" w:line="168" w:lineRule="exact"/>
        <w:rPr>
          <w:sz w:val="20"/>
          <w:szCs w:val="20"/>
          <w:color w:val="auto"/>
        </w:rPr>
      </w:pPr>
    </w:p>
    <w:p>
      <w:pPr>
        <w:jc w:val="both"/>
        <w:ind w:left="200" w:right="219" w:firstLine="600"/>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 Repricing. </w:t>
      </w:r>
      <w:r>
        <w:rPr>
          <w:rFonts w:ascii="Times New Roman" w:cs="Times New Roman" w:eastAsia="Times New Roman" w:hAnsi="Times New Roman"/>
          <w:sz w:val="16"/>
          <w:szCs w:val="16"/>
          <w:color w:val="auto"/>
        </w:rPr>
        <w:t>In no case (except due to an adjustment to reflect a stock split or other event referred to under “Equitable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Adjustments” below, or any repricing that may be approved by stockholders) will the Administrator (1) amend an outstanding stock option or stock appreciation right to reduce the exercise price or base price of the award, (2) cancel, exchange, or surrender an outstanding stock option or stock appreciation right in exchange for cash or other awards for the purpose of repricing the award, or (3) cancel, exchange, or surrender an outstanding stock option or stock appreciation right in exchange for an option or stock appreciation right with an exercise or base price that is less than the exercise or base price of the original award.</w:t>
      </w:r>
    </w:p>
    <w:p>
      <w:pPr>
        <w:spacing w:after="0" w:line="158" w:lineRule="exact"/>
        <w:rPr>
          <w:sz w:val="20"/>
          <w:szCs w:val="20"/>
          <w:color w:val="auto"/>
        </w:rPr>
      </w:pPr>
    </w:p>
    <w:p>
      <w:pPr>
        <w:jc w:val="both"/>
        <w:ind w:left="200" w:right="219" w:firstLine="600"/>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Restricted Shares and RSUs</w:t>
      </w:r>
      <w:r>
        <w:rPr>
          <w:rFonts w:ascii="Times New Roman" w:cs="Times New Roman" w:eastAsia="Times New Roman" w:hAnsi="Times New Roman"/>
          <w:sz w:val="17"/>
          <w:szCs w:val="17"/>
          <w:color w:val="auto"/>
        </w:rPr>
        <w:t>. Restricted shares and RSUs may be granted under the Equity Incentive Plan. The plan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administrator will determine the purchase price, vesting schedule and performance goals, if any, applicable to the grant of restricted shares and RSUs. Unless otherwise determined by the plan administrator, if the restrictions, performance goals or other conditions determined by the plan administrator are not satisfied, the restricted shares and RSUs will be forfeited. Subject to the provisions of the Equity Incentive Plan and the applicable individual award agreement, the plan administrator has the sole discretion to provide for the lapse of restrictions in installments or the acceleration or waiver of restrictions (in whole or part) under certain circumstances, including the attainment of certain performance goals, a participant’s termination of employment or service or a participant’s death or disability. The rights of restricted share and RSU holders upon a termination of employment or service will be set forth in individual award agreements.</w:t>
      </w:r>
    </w:p>
    <w:p>
      <w:pPr>
        <w:spacing w:after="0" w:line="178" w:lineRule="exact"/>
        <w:rPr>
          <w:sz w:val="20"/>
          <w:szCs w:val="20"/>
          <w:color w:val="auto"/>
        </w:rPr>
      </w:pPr>
    </w:p>
    <w:p>
      <w:pPr>
        <w:jc w:val="both"/>
        <w:ind w:left="200" w:right="219" w:firstLine="600"/>
        <w:spacing w:after="0" w:line="249" w:lineRule="auto"/>
        <w:rPr>
          <w:sz w:val="20"/>
          <w:szCs w:val="20"/>
          <w:color w:val="auto"/>
        </w:rPr>
      </w:pPr>
      <w:r>
        <w:rPr>
          <w:rFonts w:ascii="Times New Roman" w:cs="Times New Roman" w:eastAsia="Times New Roman" w:hAnsi="Times New Roman"/>
          <w:sz w:val="17"/>
          <w:szCs w:val="17"/>
          <w:color w:val="auto"/>
        </w:rPr>
        <w:t>Unless the applicable award agreement provides otherwise, participants with restricted shares will generally have all of the rights of a stockholder during the restricted period, including the right to receive dividends declared with respect to such shares; provided, however, that dividends declared during the restricted period with respect to an award will only become payable if (and to the extent) that the underlying restricted shares vest. During the restricted period, participants with RSUs will generally not have any rights of a stockholder, but will be credited with dividend equivalent rights, unless the applicable individual award agreement provides otherwise. Any dividend equivalent rights will only become payable if (and to the extent) that the underlying RSUs vest.</w:t>
      </w:r>
    </w:p>
    <w:p>
      <w:pPr>
        <w:spacing w:after="0" w:line="176" w:lineRule="exact"/>
        <w:rPr>
          <w:sz w:val="20"/>
          <w:szCs w:val="20"/>
          <w:color w:val="auto"/>
        </w:rPr>
      </w:pPr>
    </w:p>
    <w:p>
      <w:pPr>
        <w:jc w:val="both"/>
        <w:ind w:left="200" w:right="219" w:firstLine="600"/>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Options</w:t>
      </w:r>
      <w:r>
        <w:rPr>
          <w:rFonts w:ascii="Times New Roman" w:cs="Times New Roman" w:eastAsia="Times New Roman" w:hAnsi="Times New Roman"/>
          <w:sz w:val="17"/>
          <w:szCs w:val="17"/>
          <w:color w:val="auto"/>
        </w:rPr>
        <w:t>. We may issue non-qualified stock options and incentive stock options (“ISOs”) (within the meaning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Section 422 of the Code) under the Equity Incentive Plan. The terms and conditions of any options granted to a participant will be set forth in an award agreement and, subject to the provisions in the Equity Incentive Plan, will be determined by the plan administrator. The exercise price of any option granted under our Equity Incentive Plan must be at least equal to the fair market value of our common stock on the date the option is granted (110% of fair market value in the case of ISOs granted to ten percent stockholders). The maximum term of an option granted under our Equity Incentive Plan is ten years (five years in the case of ISOs granted to ten percent stockholders). The amount of incentive stock options that become exercisable for the first time in a particular year cannot exceed a value of $100,000 per participant, determined using the fair market value of the shares on the date of grant.</w:t>
      </w:r>
    </w:p>
    <w:p>
      <w:pPr>
        <w:spacing w:after="0" w:line="178" w:lineRule="exact"/>
        <w:rPr>
          <w:sz w:val="20"/>
          <w:szCs w:val="20"/>
          <w:color w:val="auto"/>
        </w:rPr>
      </w:pPr>
    </w:p>
    <w:p>
      <w:pPr>
        <w:jc w:val="both"/>
        <w:ind w:left="200" w:right="219" w:firstLine="600"/>
        <w:spacing w:after="0" w:line="254" w:lineRule="auto"/>
        <w:rPr>
          <w:sz w:val="20"/>
          <w:szCs w:val="20"/>
          <w:color w:val="auto"/>
        </w:rPr>
      </w:pPr>
      <w:r>
        <w:rPr>
          <w:rFonts w:ascii="Times New Roman" w:cs="Times New Roman" w:eastAsia="Times New Roman" w:hAnsi="Times New Roman"/>
          <w:sz w:val="17"/>
          <w:szCs w:val="17"/>
          <w:color w:val="auto"/>
        </w:rPr>
        <w:t>Subject to our Equity Incentive Plan, the plan administrator will determine the vesting and other terms and conditions of options granted under our Equity Incentive Plan and the plan administrator will have the authority to accelerate the vesting of any option in its sole discretion. Treatment of an option upon termination of employment of a participant will be provided for by the plan administrator in the applicable award agreement.</w:t>
      </w:r>
    </w:p>
    <w:p>
      <w:pPr>
        <w:spacing w:after="0" w:line="168" w:lineRule="exact"/>
        <w:rPr>
          <w:sz w:val="20"/>
          <w:szCs w:val="20"/>
          <w:color w:val="auto"/>
        </w:rPr>
      </w:pPr>
    </w:p>
    <w:p>
      <w:pPr>
        <w:jc w:val="both"/>
        <w:ind w:left="200" w:right="219" w:firstLine="60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Share Appreciation Rights</w:t>
      </w:r>
      <w:r>
        <w:rPr>
          <w:rFonts w:ascii="Times New Roman" w:cs="Times New Roman" w:eastAsia="Times New Roman" w:hAnsi="Times New Roman"/>
          <w:sz w:val="17"/>
          <w:szCs w:val="17"/>
          <w:color w:val="auto"/>
        </w:rPr>
        <w:t>. SARs may be granted under the Equity Incentive Plan either alone or in conjunction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all or part of any option granted under the Equity Incentive Plan. A free-standing SAR granted under</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23" w:name="page24"/>
    <w:bookmarkEnd w:id="23"/>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17"/>
          <w:szCs w:val="17"/>
          <w:color w:val="auto"/>
        </w:rPr>
        <w:t>the Equity Incentive Plan entitles its holder to receive, at the time of exercise, an amount per share up to the excess of the fair market value (at the date of exercise) of a share of common stock over the exercise price of the free-standing SAR multiplied by the number of shares in respect of which the SAR is being exercised. A SAR granted in conjunction with all or part of an option under the Equity Incentive Plan entitles its holder to receive, at the time of exercise of the SAR and surrender of the related option, an amount per share up to the excess of the fair market value (at the date of exercise) of a share of common stock over the exercise price of the related option multiplied by the number of shares in respect of which the SAR is being exercised. Each SAR will be granted with an exercise price that is not less than 100% of the fair market value of the related shares of common stock on the date of grant. Treatment of a SAR upon termination of employment of a participant will be provided for by the plan administrator in the applicable award agreement. The maximum term of all SARs granted under the Equity Incentive Plan will be determined by the plan administrator, but may not exceed ten years. The plan administrator may determine to settle the exercise of an SAR in shares of common stock, cash, or any combination thereof.</w:t>
      </w:r>
    </w:p>
    <w:p>
      <w:pPr>
        <w:spacing w:after="0" w:line="178" w:lineRule="exact"/>
        <w:rPr>
          <w:sz w:val="20"/>
          <w:szCs w:val="20"/>
          <w:color w:val="auto"/>
        </w:rPr>
      </w:pPr>
    </w:p>
    <w:p>
      <w:pPr>
        <w:jc w:val="both"/>
        <w:ind w:left="200" w:right="219" w:firstLine="600"/>
        <w:spacing w:after="0" w:line="254" w:lineRule="auto"/>
        <w:rPr>
          <w:sz w:val="20"/>
          <w:szCs w:val="20"/>
          <w:color w:val="auto"/>
        </w:rPr>
      </w:pPr>
      <w:r>
        <w:rPr>
          <w:rFonts w:ascii="Times New Roman" w:cs="Times New Roman" w:eastAsia="Times New Roman" w:hAnsi="Times New Roman"/>
          <w:sz w:val="17"/>
          <w:szCs w:val="17"/>
          <w:color w:val="auto"/>
        </w:rPr>
        <w:t>Each free-standing SAR will vest and become exercisable (including in the event of the SAR holder’s termination of employment or service) at such time and subject to such terms and conditions as determined by the plan administrator in the applicable individual free-standing SAR agreement. SARs granted in conjunction with all or part of an option will be exercisable at such times and subject to all of the terms and conditions applicable to the related option.</w:t>
      </w:r>
    </w:p>
    <w:p>
      <w:pPr>
        <w:spacing w:after="0" w:line="168" w:lineRule="exact"/>
        <w:rPr>
          <w:sz w:val="20"/>
          <w:szCs w:val="20"/>
          <w:color w:val="auto"/>
        </w:rPr>
      </w:pPr>
    </w:p>
    <w:p>
      <w:pPr>
        <w:jc w:val="both"/>
        <w:ind w:left="200" w:right="219" w:firstLine="600"/>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Other Share-Based Awards</w:t>
      </w:r>
      <w:r>
        <w:rPr>
          <w:rFonts w:ascii="Times New Roman" w:cs="Times New Roman" w:eastAsia="Times New Roman" w:hAnsi="Times New Roman"/>
          <w:sz w:val="17"/>
          <w:szCs w:val="17"/>
          <w:color w:val="auto"/>
        </w:rPr>
        <w:t>. Other share-based awards, valued in whole or in part by reference to, or otherwise based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 shares of common stock (including dividend equivalents) may be granted under the Equity Incentive Plan. The plan administrator will determine the terms and conditions of such other share-based awards, including the number of shares of common stock to be granted pursuant to such other share-based awards, the manner in which such other share-based awards will be settled (e.g., in shares of common stock, cash or other property), and the conditions to the vesting and payment of such other share-based awards (including the achievement of performance goals). The rights of participants granted other share-based awards upon the termination of employment with or service to us will be set forth in the award agreement. Any dividend or dividend-equivalent award issued under the Equity Incentive Plan will be subject to the same restrictions and conditions as apply to the underlying award.</w:t>
      </w:r>
    </w:p>
    <w:p>
      <w:pPr>
        <w:spacing w:after="0" w:line="174" w:lineRule="exact"/>
        <w:rPr>
          <w:sz w:val="20"/>
          <w:szCs w:val="20"/>
          <w:color w:val="auto"/>
        </w:rPr>
      </w:pPr>
    </w:p>
    <w:p>
      <w:pPr>
        <w:jc w:val="both"/>
        <w:ind w:left="200" w:right="219" w:firstLine="60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Cash Awards</w:t>
      </w:r>
      <w:r>
        <w:rPr>
          <w:rFonts w:ascii="Times New Roman" w:cs="Times New Roman" w:eastAsia="Times New Roman" w:hAnsi="Times New Roman"/>
          <w:sz w:val="17"/>
          <w:szCs w:val="17"/>
          <w:color w:val="auto"/>
        </w:rPr>
        <w:t>. Bonuses that are payable solely in cash may also be granted under the Equity Incentive Plan and may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granted contingent upon the achievement of performance goals. The rights of participants granted cash awards upon the termination of employment with or service to us will be set forth in the applicable award agreement.</w:t>
      </w:r>
    </w:p>
    <w:p>
      <w:pPr>
        <w:spacing w:after="0" w:line="165" w:lineRule="exact"/>
        <w:rPr>
          <w:sz w:val="20"/>
          <w:szCs w:val="20"/>
          <w:color w:val="auto"/>
        </w:rPr>
      </w:pPr>
    </w:p>
    <w:p>
      <w:pPr>
        <w:jc w:val="both"/>
        <w:ind w:left="200" w:right="219" w:firstLine="600"/>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Equitable Adjustments</w:t>
      </w:r>
      <w:r>
        <w:rPr>
          <w:rFonts w:ascii="Times New Roman" w:cs="Times New Roman" w:eastAsia="Times New Roman" w:hAnsi="Times New Roman"/>
          <w:sz w:val="17"/>
          <w:szCs w:val="17"/>
          <w:color w:val="auto"/>
        </w:rPr>
        <w:t>. In the event of a merger, amalgamation, consolidation, reclassification, recapitalization, spin-off, spin-out, repurchase, reorganization, special or extraordinary dividend or other extraordinary distribution (whether in the form of common shares, cash or other property), combination, exchange of shares, or other change in corporate structure affecting our common stock, an equitable substitution or proportionate adjustment shall be made in (i) the aggregate number and kind of securities reserved for issuance under the Equity Incentive Plan, (ii) the kind and number of securities subject to, and the exercise price of, any outstanding options and SARs granted under the Equity Incentive Plan, (iii) the kind, number and purchase price of shares of common stock, or the amount of cash or amount or type of property, subject to outstanding restricted shares, RSUs and other share-based awards granted under the Equity Incentive Plan and (iv) the terms and conditions of any outstanding awards (including any applicable performance targets). Equitable substitutions or adjustments other than those listed above may also be made as determined by the plan administrator. In addition, the plan administrator may terminate all outstanding awards for the payment of cash or in-kind consideration having an aggregate fair market value equal to the excess of the fair market value of the shares of common stock, cash or other property covered by such awards over the aggregate exercise price, if any, of such awards, but if the exercise price of any outstanding award is equal to or greater than the fair market value of the shares of common stock, cash or other property covered by such award, our Board may cancel the award without the payment of any consideration to the participant. With respect to awards subject to foreign laws, adjustments will be made in compliance with applicable requirements. Except to the extent determined by the plan administrator, adjustments to incentive stock options will be made only to the extent not constituting a “modification” within the meaning of Section 424(h)(3) of the Code.</w:t>
      </w:r>
    </w:p>
    <w:p>
      <w:pPr>
        <w:spacing w:after="0" w:line="178" w:lineRule="exact"/>
        <w:rPr>
          <w:sz w:val="20"/>
          <w:szCs w:val="20"/>
          <w:color w:val="auto"/>
        </w:rPr>
      </w:pPr>
    </w:p>
    <w:p>
      <w:pPr>
        <w:jc w:val="both"/>
        <w:ind w:left="200" w:right="219" w:firstLine="60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Change in Control and Qualifying Termination</w:t>
      </w:r>
      <w:r>
        <w:rPr>
          <w:rFonts w:ascii="Times New Roman" w:cs="Times New Roman" w:eastAsia="Times New Roman" w:hAnsi="Times New Roman"/>
          <w:sz w:val="17"/>
          <w:szCs w:val="17"/>
          <w:color w:val="auto"/>
        </w:rPr>
        <w:t>. Unless otherwise determined by the plan administrator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evidenced in an award agreement, in the event that (i) a “change in control” (as defined below) occurs and (ii) a</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24" w:name="page25"/>
    <w:bookmarkEnd w:id="24"/>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17"/>
          <w:szCs w:val="17"/>
          <w:color w:val="auto"/>
        </w:rPr>
        <w:t>participant’s employment or service is terminated by us or any of our successors or affiliates without cause or by the participant for good reason (if applicable) within 12 months following the change in control, then (a) any unvested or unexercisable portion of any award carrying a right to exercise will become fully vested and exercisable, and (b) the restrictions, deferral limitations, payment conditions and forfeiture conditions applicable to any award will lapse and such unvested awards will be deemed fully vested and any performance conditions imposed with respect to such awards will be deemed to be fully achieved at target performance levels.</w:t>
      </w:r>
    </w:p>
    <w:p>
      <w:pPr>
        <w:spacing w:after="0" w:line="178" w:lineRule="exact"/>
        <w:rPr>
          <w:sz w:val="20"/>
          <w:szCs w:val="20"/>
          <w:color w:val="auto"/>
        </w:rPr>
      </w:pPr>
    </w:p>
    <w:p>
      <w:pPr>
        <w:jc w:val="both"/>
        <w:ind w:left="200" w:right="219" w:firstLine="600"/>
        <w:spacing w:after="0" w:line="249" w:lineRule="auto"/>
        <w:rPr>
          <w:sz w:val="20"/>
          <w:szCs w:val="20"/>
          <w:color w:val="auto"/>
        </w:rPr>
      </w:pPr>
      <w:r>
        <w:rPr>
          <w:rFonts w:ascii="Times New Roman" w:cs="Times New Roman" w:eastAsia="Times New Roman" w:hAnsi="Times New Roman"/>
          <w:sz w:val="17"/>
          <w:szCs w:val="17"/>
          <w:color w:val="auto"/>
        </w:rPr>
        <w:t>In connection with a “change in control,” the Administrator may provide, in its sole discretion, but subject in all events to the requirements of Section 409A of the Code, for the cancellation of any outstanding award granted under the Equity Incentive Plan in exchange for payment in cash or other property having an aggregate fair market value equal to the fair market value of the shares, cash or other property covered by such Award, reduced by the aggregate exercise price or purchase price thereof, if any; provided, however, that if the exercise price or purchase price of any outstanding award is equal to or greater than the fair market value of the shares of the common stock, cash or other property covered by such award, the Administrator may cancel such award without the payment of any consideration to the participant.</w:t>
      </w:r>
    </w:p>
    <w:p>
      <w:pPr>
        <w:spacing w:after="0" w:line="176" w:lineRule="exact"/>
        <w:rPr>
          <w:sz w:val="20"/>
          <w:szCs w:val="20"/>
          <w:color w:val="auto"/>
        </w:rPr>
      </w:pPr>
    </w:p>
    <w:p>
      <w:pPr>
        <w:jc w:val="both"/>
        <w:ind w:left="200" w:right="219" w:firstLine="600"/>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Definition of Change in Control</w:t>
      </w:r>
      <w:r>
        <w:rPr>
          <w:rFonts w:ascii="Times New Roman" w:cs="Times New Roman" w:eastAsia="Times New Roman" w:hAnsi="Times New Roman"/>
          <w:sz w:val="17"/>
          <w:szCs w:val="17"/>
          <w:color w:val="auto"/>
        </w:rPr>
        <w:t>. For purposes of the Equity Incentive Plan, a “change in control” will mean,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summary, the first to occur of the following events: (i) a person or entity becomes the beneficial owner of more than 50% of our voting power; (ii) an unapproved change in the majority membership of our Board; (iii) a merger or consolidation of us or any of our subsidiaries, other than (A) a merger or consolidation that results in our voting securities continuing to represent 50% or more of the combined voting power of the surviving entity or its parent and our Board immediately prior to the merger or consolidation continuing to represent at least a majority of the board of directors of the surviving entity or its parent or (B) a merger or consolidation effected to implement a recapitalization in which no person is or becomes the owner of our voting securities representing more than 50% of our combined voting power; or (iv) stockholder approval of a plan of complete liquidation or dissolution of us or the consummation of an agreement for the sale or disposition of substantially all of our assets, other than a sale or disposition to an entity, more than 50% of the combined voting power of which is owned by our stockholders in substantially the same proportions as their ownership of us immediately prior to such sale or a sale or disposition to an entity controlled by our Board. However, a change in control will not be deemed to have occurred as a result of any transaction or series of integrated transactions following which our stockholders, immediately prior thereto, hold immediately afterward the same proportionate equity interests in the entity that owns all or substantially all of our assets.</w:t>
      </w:r>
    </w:p>
    <w:p>
      <w:pPr>
        <w:spacing w:after="0" w:line="183" w:lineRule="exact"/>
        <w:rPr>
          <w:sz w:val="20"/>
          <w:szCs w:val="20"/>
          <w:color w:val="auto"/>
        </w:rPr>
      </w:pPr>
    </w:p>
    <w:p>
      <w:pPr>
        <w:jc w:val="both"/>
        <w:ind w:left="200" w:right="219" w:firstLine="600"/>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Tax Withholding</w:t>
      </w:r>
      <w:r>
        <w:rPr>
          <w:rFonts w:ascii="Times New Roman" w:cs="Times New Roman" w:eastAsia="Times New Roman" w:hAnsi="Times New Roman"/>
          <w:sz w:val="17"/>
          <w:szCs w:val="17"/>
          <w:color w:val="auto"/>
        </w:rPr>
        <w:t>. Each participant will be required to make arrangements satisfactory to the plan administrator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regarding payment of up to the maximum statutory tax rates in the participant’s applicable jurisdiction with respect to any award granted under the Equity Incentive Plan, as determined by the Company. We have the right, to the extent permitted by applicable law, to deduct any such taxes from any payment of any kind otherwise due to the participant. With the approval of the plan administrator, the participant may satisfy the foregoing requirement by either electing to have us withhold from delivery of shares of common stock, cash or other property, as applicable, or by delivering already owned unrestricted shares of common stock, in each case, having a value not exceeding the applicable taxes to be withheld and applied to the tax obligations. We may also use any other method of obtaining the necessary payment or proceeds, as permitted by applicable law, to satisfy our withholding obligation with respect to any award.</w:t>
      </w:r>
    </w:p>
    <w:p>
      <w:pPr>
        <w:spacing w:after="0" w:line="174" w:lineRule="exact"/>
        <w:rPr>
          <w:sz w:val="20"/>
          <w:szCs w:val="20"/>
          <w:color w:val="auto"/>
        </w:rPr>
      </w:pPr>
    </w:p>
    <w:p>
      <w:pPr>
        <w:jc w:val="both"/>
        <w:ind w:left="200" w:right="219" w:firstLine="600"/>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Amendment and Termination of the Equity Incentive Plan</w:t>
      </w:r>
      <w:r>
        <w:rPr>
          <w:rFonts w:ascii="Times New Roman" w:cs="Times New Roman" w:eastAsia="Times New Roman" w:hAnsi="Times New Roman"/>
          <w:sz w:val="17"/>
          <w:szCs w:val="17"/>
          <w:color w:val="auto"/>
        </w:rPr>
        <w:t>. The Equity Incentive Plan provides our Board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authority to amend, alter or terminate the Equity Incentive Plan, but no such action may impair the rights of any participant with respect to outstanding awards without the participant’s consent. The plan administrator may amend an award, prospectively or retroactively, but no such amendment may materially impair the rights of any participant without the participant’s consent. Stockholder approval of any such action will be obtained if required to comply with applicable law.</w:t>
      </w:r>
    </w:p>
    <w:p>
      <w:pPr>
        <w:spacing w:after="0" w:line="169" w:lineRule="exact"/>
        <w:rPr>
          <w:sz w:val="20"/>
          <w:szCs w:val="20"/>
          <w:color w:val="auto"/>
        </w:rPr>
      </w:pPr>
    </w:p>
    <w:p>
      <w:pPr>
        <w:ind w:left="200" w:right="219" w:firstLine="60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Equity Incentive Plan Term</w:t>
      </w:r>
      <w:r>
        <w:rPr>
          <w:rFonts w:ascii="Times New Roman" w:cs="Times New Roman" w:eastAsia="Times New Roman" w:hAnsi="Times New Roman"/>
          <w:sz w:val="17"/>
          <w:szCs w:val="17"/>
          <w:color w:val="auto"/>
        </w:rPr>
        <w:t>. The Equity Incentive Plan will terminate on June 8, 2031 (although awards granted before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that time will remain outstanding in accordance with their terms). If stockholders approve this proposal, the Equity Incentive Plan will be extended and will terminate on May 28, 2034.</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25" w:name="page26"/>
    <w:bookmarkEnd w:id="25"/>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200" w:right="219" w:firstLine="600"/>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Clawback</w:t>
      </w:r>
      <w:r>
        <w:rPr>
          <w:rFonts w:ascii="Times New Roman" w:cs="Times New Roman" w:eastAsia="Times New Roman" w:hAnsi="Times New Roman"/>
          <w:sz w:val="17"/>
          <w:szCs w:val="17"/>
          <w:color w:val="auto"/>
        </w:rPr>
        <w:t>. The awards granted under the Equity Incentive Plan are subject to the terms of the Company’s recoupment,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clawback or similar policy as it may be in effect from time to time, as well as any similar provisions of 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spacing w:after="0" w:line="169" w:lineRule="exact"/>
        <w:rPr>
          <w:sz w:val="20"/>
          <w:szCs w:val="20"/>
          <w:color w:val="auto"/>
        </w:rPr>
      </w:pPr>
    </w:p>
    <w:p>
      <w:pPr>
        <w:jc w:val="both"/>
        <w:ind w:left="200" w:right="219" w:firstLine="60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Indemnification</w:t>
      </w:r>
      <w:r>
        <w:rPr>
          <w:rFonts w:ascii="Times New Roman" w:cs="Times New Roman" w:eastAsia="Times New Roman" w:hAnsi="Times New Roman"/>
          <w:sz w:val="16"/>
          <w:szCs w:val="16"/>
          <w:color w:val="auto"/>
        </w:rPr>
        <w:t>. To the extent allowable pursuant to applicable law, each member of our Board and the plan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administrator and any officer or other employee to whom authority to administer any component of the Equity Incentive Plan is delegated shall be indemnified and held harmless by the Company from any loss or expense that may be reasonably incurred by such member in connection with any claim, action or proceeding in which he or she may be involved by reason of any action or failure to act pursuant to the Equity Incentive Plan and against all amounts paid by him or her in satisfaction of judgment in such claim, action or proceeding against him or her, provided, however, that he or she gives the Company an opportunity, at its own expense, to handle and defend the same before he or she undertakes to handle and defend it on his or her own behalf.</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U.S. Federal Income Tax Consequences of Awards under the Equity Incentive Plan</w:t>
      </w:r>
    </w:p>
    <w:p>
      <w:pPr>
        <w:spacing w:after="0" w:line="208" w:lineRule="exact"/>
        <w:rPr>
          <w:sz w:val="20"/>
          <w:szCs w:val="20"/>
          <w:color w:val="auto"/>
        </w:rPr>
      </w:pPr>
    </w:p>
    <w:p>
      <w:pPr>
        <w:jc w:val="both"/>
        <w:ind w:left="200" w:right="219" w:firstLine="600"/>
        <w:spacing w:after="0" w:line="251" w:lineRule="auto"/>
        <w:rPr>
          <w:sz w:val="20"/>
          <w:szCs w:val="20"/>
          <w:color w:val="auto"/>
        </w:rPr>
      </w:pPr>
      <w:r>
        <w:rPr>
          <w:rFonts w:ascii="Times New Roman" w:cs="Times New Roman" w:eastAsia="Times New Roman" w:hAnsi="Times New Roman"/>
          <w:sz w:val="17"/>
          <w:szCs w:val="17"/>
          <w:color w:val="auto"/>
        </w:rPr>
        <w:t>The U.S. federal income tax consequences of the Equity Incentive Plan under current federal law, which is subject to change, are summarized in the following discussion of the general tax principles applicable to the Equity Incentive Plan. This summary is not intended to be exhaustive and, among other considerations, does not describe the deferred compensation provisions of Section 409A of the U.S. Internal Revenue Code to the extent an award is subject to and does not satisfy those rules, nor does it describe state, local, or international tax consequences.</w:t>
      </w:r>
    </w:p>
    <w:p>
      <w:pPr>
        <w:spacing w:after="0" w:line="178" w:lineRule="exact"/>
        <w:rPr>
          <w:sz w:val="20"/>
          <w:szCs w:val="20"/>
          <w:color w:val="auto"/>
        </w:rPr>
      </w:pPr>
    </w:p>
    <w:p>
      <w:pPr>
        <w:jc w:val="both"/>
        <w:ind w:left="200" w:right="219" w:firstLine="600"/>
        <w:spacing w:after="0" w:line="251" w:lineRule="auto"/>
        <w:rPr>
          <w:sz w:val="20"/>
          <w:szCs w:val="20"/>
          <w:color w:val="auto"/>
        </w:rPr>
      </w:pPr>
      <w:r>
        <w:rPr>
          <w:rFonts w:ascii="Times New Roman" w:cs="Times New Roman" w:eastAsia="Times New Roman" w:hAnsi="Times New Roman"/>
          <w:sz w:val="17"/>
          <w:szCs w:val="17"/>
          <w:color w:val="auto"/>
        </w:rPr>
        <w:t>With respect to nonqualified stock options, the company is generally entitled to deduct and the participant recognizes taxable income in an amount equal to the difference between the option exercise price and the fair market value of the shares at the time of exercise. With respect to incentive stock options, the company is generally not entitled to a deduction nor does the participant recognize income at the time of exercise, although the participant may be subject to the U.S. federal alternative minimum tax.</w:t>
      </w:r>
    </w:p>
    <w:p>
      <w:pPr>
        <w:spacing w:after="0" w:line="178" w:lineRule="exact"/>
        <w:rPr>
          <w:sz w:val="20"/>
          <w:szCs w:val="20"/>
          <w:color w:val="auto"/>
        </w:rPr>
      </w:pPr>
    </w:p>
    <w:p>
      <w:pPr>
        <w:jc w:val="both"/>
        <w:ind w:left="200" w:right="219" w:firstLine="600"/>
        <w:spacing w:after="0" w:line="249" w:lineRule="auto"/>
        <w:rPr>
          <w:sz w:val="20"/>
          <w:szCs w:val="20"/>
          <w:color w:val="auto"/>
        </w:rPr>
      </w:pPr>
      <w:r>
        <w:rPr>
          <w:rFonts w:ascii="Times New Roman" w:cs="Times New Roman" w:eastAsia="Times New Roman" w:hAnsi="Times New Roman"/>
          <w:sz w:val="17"/>
          <w:szCs w:val="17"/>
          <w:color w:val="auto"/>
        </w:rPr>
        <w:t>The current federal income tax consequences of other awards authorized under the Equity Incentive Plan generally follow certain basic patterns: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bonuses, stock appreciation rights, cash and stock-based performance awards, dividend equivalents, stock units, and other types of awards are generally subject to tax at the time of payment; and compensation otherwise effectively deferred is taxed when paid. In each of the foregoing cases, the company will generally have a corresponding deduction at the time the participant recognizes income.</w:t>
      </w:r>
    </w:p>
    <w:p>
      <w:pPr>
        <w:spacing w:after="0" w:line="180" w:lineRule="exact"/>
        <w:rPr>
          <w:sz w:val="20"/>
          <w:szCs w:val="20"/>
          <w:color w:val="auto"/>
        </w:rPr>
      </w:pPr>
    </w:p>
    <w:p>
      <w:pPr>
        <w:jc w:val="both"/>
        <w:ind w:left="200" w:right="219" w:firstLine="600"/>
        <w:spacing w:after="0" w:line="250" w:lineRule="auto"/>
        <w:rPr>
          <w:sz w:val="20"/>
          <w:szCs w:val="20"/>
          <w:color w:val="auto"/>
        </w:rPr>
      </w:pPr>
      <w:r>
        <w:rPr>
          <w:rFonts w:ascii="Times New Roman" w:cs="Times New Roman" w:eastAsia="Times New Roman" w:hAnsi="Times New Roman"/>
          <w:sz w:val="17"/>
          <w:szCs w:val="17"/>
          <w:color w:val="auto"/>
        </w:rPr>
        <w:t>If an award is accelerated under the Equity Incentive Plan in connection with a “change in control” (as this term is used under the U.S. Internal Revenue Code), the Company may not be permitted to deduct the portion of the compensation attributable to the acceleration (“parachute payments”) if it exceeds certain threshold limits under the U.S. Internal Revenue Code (and certain related excise taxes may be triggered). Furthermore, under Section 162(m) of the Code, the aggregate compensation in excess of $1,000,000 payable to current or former named executive officers (including amounts attributable to equity-based and other incentive awards) may not be deductible by the Company in certain circumstances.</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Specific Benefits under the Equity Incentive Plan</w:t>
      </w:r>
    </w:p>
    <w:p>
      <w:pPr>
        <w:spacing w:after="0" w:line="208" w:lineRule="exact"/>
        <w:rPr>
          <w:sz w:val="20"/>
          <w:szCs w:val="20"/>
          <w:color w:val="auto"/>
        </w:rPr>
      </w:pPr>
    </w:p>
    <w:p>
      <w:pPr>
        <w:jc w:val="both"/>
        <w:ind w:left="200" w:right="219" w:firstLine="600"/>
        <w:spacing w:after="0" w:line="250" w:lineRule="auto"/>
        <w:rPr>
          <w:sz w:val="20"/>
          <w:szCs w:val="20"/>
          <w:color w:val="auto"/>
        </w:rPr>
      </w:pPr>
      <w:r>
        <w:rPr>
          <w:rFonts w:ascii="Times New Roman" w:cs="Times New Roman" w:eastAsia="Times New Roman" w:hAnsi="Times New Roman"/>
          <w:sz w:val="17"/>
          <w:szCs w:val="17"/>
          <w:color w:val="auto"/>
        </w:rPr>
        <w:t>The Company has not approved any awards that are conditioned upon stockholder approval of the amendment to the Equity Incentive Plan. The Company is not currently considering any other specific award grants under the Equity Incentive Plan. If the proposed amendments to the Equity Incentive Plan had been in existence in fiscal 2023, the Company expects that its award grants for fiscal 2023 would not have been substantially different from those actually made in that year under the Equity Incentive Plan. For information regarding stock-based awards granted to our named executive officers during fiscal 2023, see the material under the heading “Elements of Executive Compensation” below.</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26" w:name="page27"/>
    <w:bookmarkEnd w:id="26"/>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firstLine="600"/>
        <w:spacing w:after="0" w:line="271" w:lineRule="auto"/>
        <w:rPr>
          <w:sz w:val="20"/>
          <w:szCs w:val="20"/>
          <w:color w:val="auto"/>
        </w:rPr>
      </w:pPr>
      <w:r>
        <w:rPr>
          <w:rFonts w:ascii="Times New Roman" w:cs="Times New Roman" w:eastAsia="Times New Roman" w:hAnsi="Times New Roman"/>
          <w:sz w:val="17"/>
          <w:szCs w:val="17"/>
          <w:color w:val="auto"/>
        </w:rPr>
        <w:t>The following paragraphs include additional information to help you assess the potential dilutive impact of the Company’s equity awards and the Equity Incentive Plan.</w:t>
      </w:r>
    </w:p>
    <w:p>
      <w:pPr>
        <w:spacing w:after="0" w:line="158" w:lineRule="exact"/>
        <w:rPr>
          <w:sz w:val="20"/>
          <w:szCs w:val="20"/>
          <w:color w:val="auto"/>
        </w:rPr>
      </w:pPr>
    </w:p>
    <w:p>
      <w:pPr>
        <w:jc w:val="both"/>
        <w:ind w:left="200" w:right="219" w:firstLine="641"/>
        <w:spacing w:after="0" w:line="248" w:lineRule="auto"/>
        <w:rPr>
          <w:sz w:val="20"/>
          <w:szCs w:val="20"/>
          <w:color w:val="auto"/>
        </w:rPr>
      </w:pPr>
      <w:r>
        <w:rPr>
          <w:rFonts w:ascii="Times New Roman" w:cs="Times New Roman" w:eastAsia="Times New Roman" w:hAnsi="Times New Roman"/>
          <w:sz w:val="17"/>
          <w:szCs w:val="17"/>
          <w:color w:val="auto"/>
        </w:rPr>
        <w:t>“Overhang” refers to the number of shares of the Company’s common stock that are subject to outstanding awards or remain available for new award grants. The following table shows the total number of shares of the Company’s common stock that were subject to outstanding restricted stock and restricted stock unit awards granted under the Equity Incentive Plan and Prior Plan, that were subject to outstanding stock options granted under the Equity Incentive Plan and Prior Plan, and that were then available for new award grants under the Equity Incentive Plan as of December 31, 2023 and as of March 31, 2024. (In this proposal, the number of shares of the Company’s common stock subject to restricted stock and restricted stock unit awards granted during any particular period or outstanding on any particular date is presented based on the actual number of shares of the Company’s common stock covered by those awards. For awards subject to performance-based vesting requirements, the number of shares presented is based on the maximum level of performance.)</w:t>
      </w:r>
    </w:p>
    <w:p>
      <w:pPr>
        <w:spacing w:after="0" w:line="191" w:lineRule="exact"/>
        <w:rPr>
          <w:sz w:val="20"/>
          <w:szCs w:val="20"/>
          <w:color w:val="auto"/>
        </w:rPr>
      </w:pPr>
    </w:p>
    <w:tbl>
      <w:tblPr>
        <w:tblLayout w:type="fixed"/>
        <w:tblInd w:w="310" w:type="dxa"/>
        <w:tblCellMar>
          <w:top w:w="0" w:type="dxa"/>
          <w:left w:w="0" w:type="dxa"/>
          <w:bottom w:w="0" w:type="dxa"/>
          <w:right w:w="0" w:type="dxa"/>
        </w:tblCellMar>
      </w:tblPr>
      <w:tr>
        <w:trPr>
          <w:trHeight w:val="331"/>
        </w:trPr>
        <w:tc>
          <w:tcPr>
            <w:tcW w:w="900" w:type="dxa"/>
            <w:vAlign w:val="bottom"/>
            <w:tcBorders>
              <w:top w:val="single" w:sz="8" w:color="auto"/>
              <w:left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spacing w:after="0"/>
              <w:rPr>
                <w:sz w:val="24"/>
                <w:szCs w:val="24"/>
                <w:color w:val="auto"/>
              </w:rPr>
            </w:pPr>
          </w:p>
        </w:tc>
        <w:tc>
          <w:tcPr>
            <w:tcW w:w="232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As of December 31, 2023</w:t>
            </w:r>
          </w:p>
        </w:tc>
        <w:tc>
          <w:tcPr>
            <w:tcW w:w="218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As of March 31, 2024 [</w:t>
            </w:r>
          </w:p>
        </w:tc>
      </w:tr>
      <w:tr>
        <w:trPr>
          <w:trHeight w:val="94"/>
        </w:trPr>
        <w:tc>
          <w:tcPr>
            <w:tcW w:w="3920" w:type="dxa"/>
            <w:vAlign w:val="bottom"/>
            <w:tcBorders>
              <w:left w:val="single" w:sz="8" w:color="auto"/>
              <w:bottom w:val="single" w:sz="8" w:color="auto"/>
              <w:right w:val="single" w:sz="8" w:color="auto"/>
            </w:tcBorders>
            <w:gridSpan w:val="5"/>
          </w:tcPr>
          <w:p>
            <w:pPr>
              <w:spacing w:after="0"/>
              <w:rPr>
                <w:sz w:val="8"/>
                <w:szCs w:val="8"/>
                <w:color w:val="auto"/>
              </w:rPr>
            </w:pPr>
          </w:p>
        </w:tc>
        <w:tc>
          <w:tcPr>
            <w:tcW w:w="2320" w:type="dxa"/>
            <w:vAlign w:val="bottom"/>
            <w:tcBorders>
              <w:bottom w:val="single" w:sz="8" w:color="auto"/>
              <w:right w:val="single" w:sz="8" w:color="auto"/>
            </w:tcBorders>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r>
      <w:tr>
        <w:trPr>
          <w:trHeight w:val="184"/>
        </w:trPr>
        <w:tc>
          <w:tcPr>
            <w:tcW w:w="3920" w:type="dxa"/>
            <w:vAlign w:val="bottom"/>
            <w:tcBorders>
              <w:left w:val="single" w:sz="8" w:color="auto"/>
              <w:right w:val="single" w:sz="8" w:color="auto"/>
            </w:tcBorders>
            <w:gridSpan w:val="5"/>
          </w:tcPr>
          <w:p>
            <w:pPr>
              <w:ind w:left="100"/>
              <w:spacing w:after="0" w:line="184" w:lineRule="exact"/>
              <w:rPr>
                <w:sz w:val="20"/>
                <w:szCs w:val="20"/>
                <w:color w:val="auto"/>
              </w:rPr>
            </w:pPr>
            <w:r>
              <w:rPr>
                <w:rFonts w:ascii="Times New Roman" w:cs="Times New Roman" w:eastAsia="Times New Roman" w:hAnsi="Times New Roman"/>
                <w:sz w:val="18"/>
                <w:szCs w:val="18"/>
                <w:color w:val="auto"/>
              </w:rPr>
              <w:t>Shares subject to outstanding restricted stock and</w:t>
            </w:r>
          </w:p>
        </w:tc>
        <w:tc>
          <w:tcPr>
            <w:tcW w:w="23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537,461</w:t>
            </w:r>
          </w:p>
        </w:tc>
        <w:tc>
          <w:tcPr>
            <w:tcW w:w="218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500,152</w:t>
            </w:r>
          </w:p>
        </w:tc>
      </w:tr>
      <w:tr>
        <w:trPr>
          <w:trHeight w:val="212"/>
        </w:trPr>
        <w:tc>
          <w:tcPr>
            <w:tcW w:w="9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restricted</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w:t>
            </w: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awards</w:t>
            </w:r>
          </w:p>
        </w:tc>
        <w:tc>
          <w:tcPr>
            <w:tcW w:w="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(excluding</w:t>
            </w:r>
          </w:p>
        </w:tc>
        <w:tc>
          <w:tcPr>
            <w:tcW w:w="23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r>
      <w:tr>
        <w:trPr>
          <w:trHeight w:val="239"/>
        </w:trPr>
        <w:tc>
          <w:tcPr>
            <w:tcW w:w="2960" w:type="dxa"/>
            <w:vAlign w:val="bottom"/>
            <w:tcBorders>
              <w:lef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performance-based vesting awards)</w:t>
            </w:r>
          </w:p>
        </w:tc>
        <w:tc>
          <w:tcPr>
            <w:tcW w:w="96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r>
      <w:tr>
        <w:trPr>
          <w:trHeight w:val="194"/>
        </w:trPr>
        <w:tc>
          <w:tcPr>
            <w:tcW w:w="3920" w:type="dxa"/>
            <w:vAlign w:val="bottom"/>
            <w:tcBorders>
              <w:left w:val="single" w:sz="8" w:color="auto"/>
              <w:bottom w:val="single" w:sz="8" w:color="auto"/>
              <w:right w:val="single" w:sz="8" w:color="auto"/>
            </w:tcBorders>
            <w:gridSpan w:val="5"/>
          </w:tcPr>
          <w:p>
            <w:pPr>
              <w:spacing w:after="0"/>
              <w:rPr>
                <w:sz w:val="16"/>
                <w:szCs w:val="16"/>
                <w:color w:val="auto"/>
              </w:rPr>
            </w:pPr>
          </w:p>
        </w:tc>
        <w:tc>
          <w:tcPr>
            <w:tcW w:w="2320" w:type="dxa"/>
            <w:vAlign w:val="bottom"/>
            <w:tcBorders>
              <w:bottom w:val="single" w:sz="8" w:color="auto"/>
              <w:right w:val="single" w:sz="8" w:color="auto"/>
            </w:tcBorders>
          </w:tcPr>
          <w:p>
            <w:pPr>
              <w:spacing w:after="0"/>
              <w:rPr>
                <w:sz w:val="16"/>
                <w:szCs w:val="16"/>
                <w:color w:val="auto"/>
              </w:rPr>
            </w:pPr>
          </w:p>
        </w:tc>
        <w:tc>
          <w:tcPr>
            <w:tcW w:w="2180" w:type="dxa"/>
            <w:vAlign w:val="bottom"/>
            <w:tcBorders>
              <w:bottom w:val="single" w:sz="8" w:color="auto"/>
              <w:right w:val="single" w:sz="8" w:color="auto"/>
            </w:tcBorders>
          </w:tcPr>
          <w:p>
            <w:pPr>
              <w:spacing w:after="0"/>
              <w:rPr>
                <w:sz w:val="16"/>
                <w:szCs w:val="16"/>
                <w:color w:val="auto"/>
              </w:rPr>
            </w:pPr>
          </w:p>
        </w:tc>
      </w:tr>
      <w:tr>
        <w:trPr>
          <w:trHeight w:val="184"/>
        </w:trPr>
        <w:tc>
          <w:tcPr>
            <w:tcW w:w="3920" w:type="dxa"/>
            <w:vAlign w:val="bottom"/>
            <w:tcBorders>
              <w:left w:val="single" w:sz="8" w:color="auto"/>
              <w:right w:val="single" w:sz="8" w:color="auto"/>
            </w:tcBorders>
            <w:gridSpan w:val="5"/>
          </w:tcPr>
          <w:p>
            <w:pPr>
              <w:ind w:left="100"/>
              <w:spacing w:after="0" w:line="184" w:lineRule="exact"/>
              <w:rPr>
                <w:sz w:val="20"/>
                <w:szCs w:val="20"/>
                <w:color w:val="auto"/>
              </w:rPr>
            </w:pPr>
            <w:r>
              <w:rPr>
                <w:rFonts w:ascii="Times New Roman" w:cs="Times New Roman" w:eastAsia="Times New Roman" w:hAnsi="Times New Roman"/>
                <w:sz w:val="18"/>
                <w:szCs w:val="18"/>
                <w:color w:val="auto"/>
              </w:rPr>
              <w:t>Shares subject to outstanding performance-based</w:t>
            </w:r>
          </w:p>
        </w:tc>
        <w:tc>
          <w:tcPr>
            <w:tcW w:w="2320" w:type="dxa"/>
            <w:vAlign w:val="bottom"/>
            <w:tcBorders>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7"/>
                <w:szCs w:val="17"/>
                <w:color w:val="auto"/>
              </w:rPr>
              <w:t>—</w:t>
            </w:r>
          </w:p>
        </w:tc>
        <w:tc>
          <w:tcPr>
            <w:tcW w:w="2180" w:type="dxa"/>
            <w:vAlign w:val="bottom"/>
            <w:tcBorders>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7"/>
                <w:szCs w:val="17"/>
                <w:color w:val="auto"/>
                <w:w w:val="93"/>
              </w:rPr>
              <w:t>—</w:t>
            </w:r>
          </w:p>
        </w:tc>
      </w:tr>
      <w:tr>
        <w:trPr>
          <w:trHeight w:val="212"/>
        </w:trPr>
        <w:tc>
          <w:tcPr>
            <w:tcW w:w="3920" w:type="dxa"/>
            <w:vAlign w:val="bottom"/>
            <w:tcBorders>
              <w:left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vesting restricted stock and restricted stock unit</w:t>
            </w:r>
          </w:p>
        </w:tc>
        <w:tc>
          <w:tcPr>
            <w:tcW w:w="232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r>
      <w:tr>
        <w:trPr>
          <w:trHeight w:val="239"/>
        </w:trPr>
        <w:tc>
          <w:tcPr>
            <w:tcW w:w="90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awards</w:t>
            </w: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r>
      <w:tr>
        <w:trPr>
          <w:trHeight w:val="194"/>
        </w:trPr>
        <w:tc>
          <w:tcPr>
            <w:tcW w:w="3920" w:type="dxa"/>
            <w:vAlign w:val="bottom"/>
            <w:tcBorders>
              <w:left w:val="single" w:sz="8" w:color="auto"/>
              <w:bottom w:val="single" w:sz="8" w:color="auto"/>
              <w:right w:val="single" w:sz="8" w:color="auto"/>
            </w:tcBorders>
            <w:gridSpan w:val="5"/>
          </w:tcPr>
          <w:p>
            <w:pPr>
              <w:spacing w:after="0"/>
              <w:rPr>
                <w:sz w:val="16"/>
                <w:szCs w:val="16"/>
                <w:color w:val="auto"/>
              </w:rPr>
            </w:pPr>
          </w:p>
        </w:tc>
        <w:tc>
          <w:tcPr>
            <w:tcW w:w="2320" w:type="dxa"/>
            <w:vAlign w:val="bottom"/>
            <w:tcBorders>
              <w:bottom w:val="single" w:sz="8" w:color="auto"/>
              <w:right w:val="single" w:sz="8" w:color="auto"/>
            </w:tcBorders>
          </w:tcPr>
          <w:p>
            <w:pPr>
              <w:spacing w:after="0"/>
              <w:rPr>
                <w:sz w:val="16"/>
                <w:szCs w:val="16"/>
                <w:color w:val="auto"/>
              </w:rPr>
            </w:pPr>
          </w:p>
        </w:tc>
        <w:tc>
          <w:tcPr>
            <w:tcW w:w="2180" w:type="dxa"/>
            <w:vAlign w:val="bottom"/>
            <w:tcBorders>
              <w:bottom w:val="single" w:sz="8" w:color="auto"/>
              <w:right w:val="single" w:sz="8" w:color="auto"/>
            </w:tcBorders>
          </w:tcPr>
          <w:p>
            <w:pPr>
              <w:spacing w:after="0"/>
              <w:rPr>
                <w:sz w:val="16"/>
                <w:szCs w:val="16"/>
                <w:color w:val="auto"/>
              </w:rPr>
            </w:pPr>
          </w:p>
        </w:tc>
      </w:tr>
      <w:tr>
        <w:trPr>
          <w:trHeight w:val="184"/>
        </w:trPr>
        <w:tc>
          <w:tcPr>
            <w:tcW w:w="3920" w:type="dxa"/>
            <w:vAlign w:val="bottom"/>
            <w:tcBorders>
              <w:left w:val="single" w:sz="8" w:color="auto"/>
              <w:right w:val="single" w:sz="8" w:color="auto"/>
            </w:tcBorders>
            <w:gridSpan w:val="5"/>
          </w:tcPr>
          <w:p>
            <w:pPr>
              <w:ind w:left="100"/>
              <w:spacing w:after="0" w:line="184" w:lineRule="exact"/>
              <w:rPr>
                <w:sz w:val="20"/>
                <w:szCs w:val="20"/>
                <w:color w:val="auto"/>
              </w:rPr>
            </w:pPr>
            <w:r>
              <w:rPr>
                <w:rFonts w:ascii="Times New Roman" w:cs="Times New Roman" w:eastAsia="Times New Roman" w:hAnsi="Times New Roman"/>
                <w:sz w:val="18"/>
                <w:szCs w:val="18"/>
                <w:color w:val="auto"/>
              </w:rPr>
              <w:t>Shares  subject  to  outstanding  stock  options</w:t>
            </w:r>
          </w:p>
        </w:tc>
        <w:tc>
          <w:tcPr>
            <w:tcW w:w="23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843,320</w:t>
            </w:r>
          </w:p>
        </w:tc>
        <w:tc>
          <w:tcPr>
            <w:tcW w:w="218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792,165</w:t>
            </w:r>
          </w:p>
        </w:tc>
      </w:tr>
      <w:tr>
        <w:trPr>
          <w:trHeight w:val="239"/>
        </w:trPr>
        <w:tc>
          <w:tcPr>
            <w:tcW w:w="3920" w:type="dxa"/>
            <w:vAlign w:val="bottom"/>
            <w:tcBorders>
              <w:left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(excluding performance-based vesting options)</w:t>
            </w:r>
          </w:p>
        </w:tc>
        <w:tc>
          <w:tcPr>
            <w:tcW w:w="2320" w:type="dxa"/>
            <w:vAlign w:val="bottom"/>
            <w:tcBorders>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r>
      <w:tr>
        <w:trPr>
          <w:trHeight w:val="194"/>
        </w:trPr>
        <w:tc>
          <w:tcPr>
            <w:tcW w:w="3920" w:type="dxa"/>
            <w:vAlign w:val="bottom"/>
            <w:tcBorders>
              <w:left w:val="single" w:sz="8" w:color="auto"/>
              <w:bottom w:val="single" w:sz="8" w:color="auto"/>
              <w:right w:val="single" w:sz="8" w:color="auto"/>
            </w:tcBorders>
            <w:gridSpan w:val="5"/>
          </w:tcPr>
          <w:p>
            <w:pPr>
              <w:spacing w:after="0"/>
              <w:rPr>
                <w:sz w:val="16"/>
                <w:szCs w:val="16"/>
                <w:color w:val="auto"/>
              </w:rPr>
            </w:pPr>
          </w:p>
        </w:tc>
        <w:tc>
          <w:tcPr>
            <w:tcW w:w="2320" w:type="dxa"/>
            <w:vAlign w:val="bottom"/>
            <w:tcBorders>
              <w:bottom w:val="single" w:sz="8" w:color="auto"/>
              <w:right w:val="single" w:sz="8" w:color="auto"/>
            </w:tcBorders>
          </w:tcPr>
          <w:p>
            <w:pPr>
              <w:spacing w:after="0"/>
              <w:rPr>
                <w:sz w:val="16"/>
                <w:szCs w:val="16"/>
                <w:color w:val="auto"/>
              </w:rPr>
            </w:pPr>
          </w:p>
        </w:tc>
        <w:tc>
          <w:tcPr>
            <w:tcW w:w="2180" w:type="dxa"/>
            <w:vAlign w:val="bottom"/>
            <w:tcBorders>
              <w:bottom w:val="single" w:sz="8" w:color="auto"/>
              <w:right w:val="single" w:sz="8" w:color="auto"/>
            </w:tcBorders>
          </w:tcPr>
          <w:p>
            <w:pPr>
              <w:spacing w:after="0"/>
              <w:rPr>
                <w:sz w:val="16"/>
                <w:szCs w:val="16"/>
                <w:color w:val="auto"/>
              </w:rPr>
            </w:pPr>
          </w:p>
        </w:tc>
      </w:tr>
      <w:tr>
        <w:trPr>
          <w:trHeight w:val="184"/>
        </w:trPr>
        <w:tc>
          <w:tcPr>
            <w:tcW w:w="3920" w:type="dxa"/>
            <w:vAlign w:val="bottom"/>
            <w:tcBorders>
              <w:left w:val="single" w:sz="8" w:color="auto"/>
              <w:right w:val="single" w:sz="8" w:color="auto"/>
            </w:tcBorders>
            <w:gridSpan w:val="5"/>
          </w:tcPr>
          <w:p>
            <w:pPr>
              <w:ind w:left="100"/>
              <w:spacing w:after="0" w:line="184" w:lineRule="exact"/>
              <w:rPr>
                <w:sz w:val="20"/>
                <w:szCs w:val="20"/>
                <w:color w:val="auto"/>
              </w:rPr>
            </w:pPr>
            <w:r>
              <w:rPr>
                <w:rFonts w:ascii="Times New Roman" w:cs="Times New Roman" w:eastAsia="Times New Roman" w:hAnsi="Times New Roman"/>
                <w:sz w:val="18"/>
                <w:szCs w:val="18"/>
                <w:color w:val="auto"/>
              </w:rPr>
              <w:t>Shares subject to outstanding performance-based</w:t>
            </w:r>
          </w:p>
        </w:tc>
        <w:tc>
          <w:tcPr>
            <w:tcW w:w="2320" w:type="dxa"/>
            <w:vAlign w:val="bottom"/>
            <w:tcBorders>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7"/>
                <w:szCs w:val="17"/>
                <w:color w:val="auto"/>
              </w:rPr>
              <w:t>—</w:t>
            </w:r>
          </w:p>
        </w:tc>
        <w:tc>
          <w:tcPr>
            <w:tcW w:w="2180" w:type="dxa"/>
            <w:vAlign w:val="bottom"/>
            <w:tcBorders>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7"/>
                <w:szCs w:val="17"/>
                <w:color w:val="auto"/>
                <w:w w:val="93"/>
              </w:rPr>
              <w:t>—</w:t>
            </w:r>
          </w:p>
        </w:tc>
      </w:tr>
      <w:tr>
        <w:trPr>
          <w:trHeight w:val="239"/>
        </w:trPr>
        <w:tc>
          <w:tcPr>
            <w:tcW w:w="156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vesting options</w:t>
            </w: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r>
      <w:tr>
        <w:trPr>
          <w:trHeight w:val="194"/>
        </w:trPr>
        <w:tc>
          <w:tcPr>
            <w:tcW w:w="2960" w:type="dxa"/>
            <w:vAlign w:val="bottom"/>
            <w:tcBorders>
              <w:left w:val="single" w:sz="8" w:color="auto"/>
              <w:bottom w:val="single" w:sz="8" w:color="auto"/>
            </w:tcBorders>
            <w:gridSpan w:val="4"/>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2320" w:type="dxa"/>
            <w:vAlign w:val="bottom"/>
            <w:tcBorders>
              <w:bottom w:val="single" w:sz="8" w:color="auto"/>
              <w:right w:val="single" w:sz="8" w:color="auto"/>
            </w:tcBorders>
          </w:tcPr>
          <w:p>
            <w:pPr>
              <w:spacing w:after="0"/>
              <w:rPr>
                <w:sz w:val="16"/>
                <w:szCs w:val="16"/>
                <w:color w:val="auto"/>
              </w:rPr>
            </w:pPr>
          </w:p>
        </w:tc>
        <w:tc>
          <w:tcPr>
            <w:tcW w:w="2180" w:type="dxa"/>
            <w:vAlign w:val="bottom"/>
            <w:tcBorders>
              <w:bottom w:val="single" w:sz="8" w:color="auto"/>
              <w:right w:val="single" w:sz="8" w:color="auto"/>
            </w:tcBorders>
          </w:tcPr>
          <w:p>
            <w:pPr>
              <w:spacing w:after="0"/>
              <w:rPr>
                <w:sz w:val="16"/>
                <w:szCs w:val="16"/>
                <w:color w:val="auto"/>
              </w:rPr>
            </w:pPr>
          </w:p>
        </w:tc>
      </w:tr>
      <w:tr>
        <w:trPr>
          <w:trHeight w:val="232"/>
        </w:trPr>
        <w:tc>
          <w:tcPr>
            <w:tcW w:w="2960" w:type="dxa"/>
            <w:vAlign w:val="bottom"/>
            <w:tcBorders>
              <w:lef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Shares available for new award grants</w:t>
            </w:r>
          </w:p>
        </w:tc>
        <w:tc>
          <w:tcPr>
            <w:tcW w:w="96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610,098</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670,036</w:t>
            </w:r>
          </w:p>
        </w:tc>
      </w:tr>
      <w:tr>
        <w:trPr>
          <w:trHeight w:val="173"/>
        </w:trPr>
        <w:tc>
          <w:tcPr>
            <w:tcW w:w="900" w:type="dxa"/>
            <w:vAlign w:val="bottom"/>
            <w:tcBorders>
              <w:left w:val="single" w:sz="8" w:color="auto"/>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2320" w:type="dxa"/>
            <w:vAlign w:val="bottom"/>
            <w:tcBorders>
              <w:bottom w:val="single" w:sz="8" w:color="auto"/>
              <w:right w:val="single" w:sz="8" w:color="auto"/>
            </w:tcBorders>
          </w:tcPr>
          <w:p>
            <w:pPr>
              <w:spacing w:after="0"/>
              <w:rPr>
                <w:sz w:val="15"/>
                <w:szCs w:val="15"/>
                <w:color w:val="auto"/>
              </w:rPr>
            </w:pPr>
          </w:p>
        </w:tc>
        <w:tc>
          <w:tcPr>
            <w:tcW w:w="2180" w:type="dxa"/>
            <w:vAlign w:val="bottom"/>
            <w:tcBorders>
              <w:bottom w:val="single" w:sz="8" w:color="auto"/>
              <w:right w:val="single" w:sz="8" w:color="auto"/>
            </w:tcBorders>
          </w:tcPr>
          <w:p>
            <w:pPr>
              <w:spacing w:after="0"/>
              <w:rPr>
                <w:sz w:val="15"/>
                <w:szCs w:val="15"/>
                <w:color w:val="auto"/>
              </w:rPr>
            </w:pPr>
          </w:p>
        </w:tc>
      </w:tr>
    </w:tbl>
    <w:p>
      <w:pPr>
        <w:spacing w:after="0" w:line="96" w:lineRule="exact"/>
        <w:rPr>
          <w:sz w:val="20"/>
          <w:szCs w:val="20"/>
          <w:color w:val="auto"/>
        </w:rPr>
      </w:pPr>
    </w:p>
    <w:p>
      <w:pPr>
        <w:jc w:val="both"/>
        <w:ind w:left="200" w:right="219" w:firstLine="600"/>
        <w:spacing w:after="0" w:line="282" w:lineRule="auto"/>
        <w:rPr>
          <w:sz w:val="20"/>
          <w:szCs w:val="20"/>
          <w:color w:val="auto"/>
        </w:rPr>
      </w:pPr>
      <w:r>
        <w:rPr>
          <w:rFonts w:ascii="Times New Roman" w:cs="Times New Roman" w:eastAsia="Times New Roman" w:hAnsi="Times New Roman"/>
          <w:sz w:val="16"/>
          <w:szCs w:val="16"/>
          <w:color w:val="auto"/>
        </w:rPr>
        <w:t>Other than the Equity Incentive Plan and the Prior Plan, we do not have any other compensatory plans or arrangements in place under which shares of the Company’s common stock are eligible to be awarded or under which there are outstanding awards with respect to shares of the Company’s common stock. No new awards may be granted under the Prior Plan.</w:t>
      </w:r>
    </w:p>
    <w:p>
      <w:pPr>
        <w:spacing w:after="0" w:line="151" w:lineRule="exact"/>
        <w:rPr>
          <w:sz w:val="20"/>
          <w:szCs w:val="20"/>
          <w:color w:val="auto"/>
        </w:rPr>
      </w:pPr>
    </w:p>
    <w:p>
      <w:pPr>
        <w:jc w:val="both"/>
        <w:ind w:left="200" w:right="219" w:firstLine="600"/>
        <w:spacing w:after="0" w:line="257" w:lineRule="auto"/>
        <w:rPr>
          <w:sz w:val="20"/>
          <w:szCs w:val="20"/>
          <w:color w:val="auto"/>
        </w:rPr>
      </w:pPr>
      <w:r>
        <w:rPr>
          <w:rFonts w:ascii="Times New Roman" w:cs="Times New Roman" w:eastAsia="Times New Roman" w:hAnsi="Times New Roman"/>
          <w:sz w:val="17"/>
          <w:szCs w:val="17"/>
          <w:color w:val="auto"/>
        </w:rPr>
        <w:t xml:space="preserve">The weighted-average number of shares of the Company’s common stock issued and outstanding in each of the last three fiscal years was </w:t>
      </w:r>
      <w:r>
        <w:rPr>
          <w:rFonts w:ascii="Times New Roman" w:cs="Times New Roman" w:eastAsia="Times New Roman" w:hAnsi="Times New Roman"/>
          <w:sz w:val="18"/>
          <w:szCs w:val="18"/>
          <w:color w:val="auto"/>
        </w:rPr>
        <w:t>35,973,892</w:t>
      </w:r>
      <w:r>
        <w:rPr>
          <w:rFonts w:ascii="Times New Roman" w:cs="Times New Roman" w:eastAsia="Times New Roman" w:hAnsi="Times New Roman"/>
          <w:sz w:val="17"/>
          <w:szCs w:val="17"/>
          <w:color w:val="auto"/>
        </w:rPr>
        <w:t xml:space="preserve"> shares issued and outstanding in 2021; </w:t>
      </w:r>
      <w:r>
        <w:rPr>
          <w:rFonts w:ascii="Times New Roman" w:cs="Times New Roman" w:eastAsia="Times New Roman" w:hAnsi="Times New Roman"/>
          <w:sz w:val="18"/>
          <w:szCs w:val="18"/>
          <w:color w:val="auto"/>
        </w:rPr>
        <w:t>36,350,579</w:t>
      </w:r>
      <w:r>
        <w:rPr>
          <w:rFonts w:ascii="Times New Roman" w:cs="Times New Roman" w:eastAsia="Times New Roman" w:hAnsi="Times New Roman"/>
          <w:sz w:val="17"/>
          <w:szCs w:val="17"/>
          <w:color w:val="auto"/>
        </w:rPr>
        <w:t xml:space="preserve"> shares issued and outstanding in 2022; and </w:t>
      </w:r>
      <w:r>
        <w:rPr>
          <w:rFonts w:ascii="Times New Roman" w:cs="Times New Roman" w:eastAsia="Times New Roman" w:hAnsi="Times New Roman"/>
          <w:sz w:val="18"/>
          <w:szCs w:val="18"/>
          <w:color w:val="auto"/>
        </w:rPr>
        <w:t>34,253,542</w:t>
      </w:r>
      <w:r>
        <w:rPr>
          <w:rFonts w:ascii="Times New Roman" w:cs="Times New Roman" w:eastAsia="Times New Roman" w:hAnsi="Times New Roman"/>
          <w:sz w:val="17"/>
          <w:szCs w:val="17"/>
          <w:color w:val="auto"/>
        </w:rPr>
        <w:t xml:space="preserve"> shares issued and outstanding in 2023. The number of shares of the Company’s common stock issued and outstanding as of December 31, 2023 and March 31, 2024 was </w:t>
      </w:r>
      <w:r>
        <w:rPr>
          <w:rFonts w:ascii="Times New Roman" w:cs="Times New Roman" w:eastAsia="Times New Roman" w:hAnsi="Times New Roman"/>
          <w:sz w:val="18"/>
          <w:szCs w:val="18"/>
          <w:color w:val="auto"/>
        </w:rPr>
        <w:t>31,353,</w:t>
      </w:r>
      <w:r>
        <w:rPr>
          <w:rFonts w:ascii="Times New Roman" w:cs="Times New Roman" w:eastAsia="Times New Roman" w:hAnsi="Times New Roman"/>
          <w:sz w:val="17"/>
          <w:szCs w:val="17"/>
          <w:color w:val="auto"/>
        </w:rPr>
        <w:t>223 and 31,183,427 shares, respectively.</w:t>
      </w:r>
    </w:p>
    <w:p>
      <w:pPr>
        <w:spacing w:after="0" w:line="163" w:lineRule="exact"/>
        <w:rPr>
          <w:sz w:val="20"/>
          <w:szCs w:val="20"/>
          <w:color w:val="auto"/>
        </w:rPr>
      </w:pPr>
    </w:p>
    <w:p>
      <w:pPr>
        <w:jc w:val="both"/>
        <w:ind w:left="200" w:right="219" w:firstLine="600"/>
        <w:spacing w:after="0" w:line="258" w:lineRule="auto"/>
        <w:rPr>
          <w:sz w:val="20"/>
          <w:szCs w:val="20"/>
          <w:color w:val="auto"/>
        </w:rPr>
      </w:pPr>
      <w:r>
        <w:rPr>
          <w:rFonts w:ascii="Times New Roman" w:cs="Times New Roman" w:eastAsia="Times New Roman" w:hAnsi="Times New Roman"/>
          <w:sz w:val="17"/>
          <w:szCs w:val="17"/>
          <w:color w:val="auto"/>
        </w:rPr>
        <w:t>“Burn rate” refers to the number of shares that are subject to awards that we grant over a particular period of time. The total number of shares of the Company’s common stock subject to awards that the Company granted under the Equity Incentive Plan and Prior Plan in each of the last three fiscal years, and to date (as of March 31, 2024) for 2024, are as follows:</w:t>
      </w:r>
    </w:p>
    <w:p>
      <w:pPr>
        <w:spacing w:after="0" w:line="169" w:lineRule="exact"/>
        <w:rPr>
          <w:sz w:val="20"/>
          <w:szCs w:val="20"/>
          <w:color w:val="auto"/>
        </w:rPr>
      </w:pPr>
    </w:p>
    <w:p>
      <w:pPr>
        <w:ind w:left="1300" w:right="299" w:hanging="310"/>
        <w:spacing w:after="0" w:line="271" w:lineRule="auto"/>
        <w:tabs>
          <w:tab w:leader="none" w:pos="13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478,913 shares in 2021 (which was 1.3% of the weighted-average number of shares of the Company’s common stock issued and outstanding in 2021), of which 222,741 shares were subject to</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27" w:name="page28"/>
    <w:bookmarkEnd w:id="27"/>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300" w:right="539"/>
        <w:spacing w:after="0" w:line="271" w:lineRule="auto"/>
        <w:rPr>
          <w:sz w:val="20"/>
          <w:szCs w:val="20"/>
          <w:color w:val="auto"/>
        </w:rPr>
      </w:pPr>
      <w:r>
        <w:rPr>
          <w:rFonts w:ascii="Times New Roman" w:cs="Times New Roman" w:eastAsia="Times New Roman" w:hAnsi="Times New Roman"/>
          <w:sz w:val="17"/>
          <w:szCs w:val="17"/>
          <w:color w:val="auto"/>
        </w:rPr>
        <w:t>restricted stock and restricted stock unit awards (excluding performance-based vesting awards) and 256,172 shares were subject to stock options (excluding performance-based vesting options);</w:t>
      </w:r>
    </w:p>
    <w:p>
      <w:pPr>
        <w:spacing w:after="0" w:line="158" w:lineRule="exact"/>
        <w:rPr>
          <w:sz w:val="20"/>
          <w:szCs w:val="20"/>
          <w:color w:val="auto"/>
        </w:rPr>
      </w:pPr>
    </w:p>
    <w:p>
      <w:pPr>
        <w:ind w:left="1300" w:right="299" w:hanging="310"/>
        <w:spacing w:after="0" w:line="254" w:lineRule="auto"/>
        <w:tabs>
          <w:tab w:leader="none" w:pos="1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729,568 shares in 2022 (which was 2.0% of the weighted-average number of shares of the Company’s common stock issued and outstanding in 2022), of which 356,610 shares were subject to restricted stock and restricted stock unit awards (excluding performance-based vesting awards), and 372,958 shares were subject to stock options (excluding performance-based vesting options);</w:t>
      </w:r>
    </w:p>
    <w:p>
      <w:pPr>
        <w:spacing w:after="0" w:line="172" w:lineRule="exact"/>
        <w:rPr>
          <w:rFonts w:ascii="Times New Roman" w:cs="Times New Roman" w:eastAsia="Times New Roman" w:hAnsi="Times New Roman"/>
          <w:sz w:val="17"/>
          <w:szCs w:val="17"/>
          <w:color w:val="auto"/>
        </w:rPr>
      </w:pPr>
    </w:p>
    <w:p>
      <w:pPr>
        <w:ind w:left="1300" w:right="439" w:hanging="310"/>
        <w:spacing w:after="0" w:line="254" w:lineRule="auto"/>
        <w:tabs>
          <w:tab w:leader="none" w:pos="13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1,016,425 shares in 2023 (which was 3.0% of the weighted-average number of shares of the Company’s common stock issued and outstanding in 2023), of which 454,081 shares were subject to restricted stock and restricted stock unit awards (excluding performance-based vesting awards) and 562,344 were subject to stock options (excluding performance-based vesting options).</w:t>
      </w:r>
    </w:p>
    <w:p>
      <w:pPr>
        <w:spacing w:after="0" w:line="172" w:lineRule="exact"/>
        <w:rPr>
          <w:sz w:val="20"/>
          <w:szCs w:val="20"/>
          <w:color w:val="auto"/>
        </w:rPr>
      </w:pPr>
    </w:p>
    <w:p>
      <w:pPr>
        <w:jc w:val="both"/>
        <w:ind w:left="200" w:right="219" w:firstLine="600"/>
        <w:spacing w:after="0" w:line="254" w:lineRule="auto"/>
        <w:rPr>
          <w:sz w:val="20"/>
          <w:szCs w:val="20"/>
          <w:color w:val="auto"/>
        </w:rPr>
      </w:pPr>
      <w:r>
        <w:rPr>
          <w:rFonts w:ascii="Times New Roman" w:cs="Times New Roman" w:eastAsia="Times New Roman" w:hAnsi="Times New Roman"/>
          <w:sz w:val="17"/>
          <w:szCs w:val="17"/>
          <w:color w:val="auto"/>
        </w:rPr>
        <w:t>Thus, the total number of shares of the Company’s common stock subject to awards granted under the Equity Incentive Plan and Prior Plan per year over the last three fiscal years (2021, 2022 and 2023) has been, on average, 2.1% of the weighted-average number of shares of the Company’s common stock issued and outstanding for the corresponding year. Performance-based vesting awards have been included above in the year in which the award was granted.</w:t>
      </w:r>
    </w:p>
    <w:p>
      <w:pPr>
        <w:spacing w:after="0" w:line="172" w:lineRule="exact"/>
        <w:rPr>
          <w:sz w:val="20"/>
          <w:szCs w:val="20"/>
          <w:color w:val="auto"/>
        </w:rPr>
      </w:pPr>
    </w:p>
    <w:p>
      <w:pPr>
        <w:jc w:val="both"/>
        <w:ind w:left="200" w:right="219" w:firstLine="600"/>
        <w:spacing w:after="0" w:line="250" w:lineRule="auto"/>
        <w:rPr>
          <w:sz w:val="20"/>
          <w:szCs w:val="20"/>
          <w:color w:val="auto"/>
        </w:rPr>
      </w:pPr>
      <w:r>
        <w:rPr>
          <w:rFonts w:ascii="Times New Roman" w:cs="Times New Roman" w:eastAsia="Times New Roman" w:hAnsi="Times New Roman"/>
          <w:sz w:val="17"/>
          <w:szCs w:val="17"/>
          <w:color w:val="auto"/>
        </w:rPr>
        <w:t>The total number of shares of our common stock that were subject to awards granted under the Equity Incentive Plan that terminated or expired, and thus became available for new award grants under the Equity Incentive Plan, in each of the last three fiscal years, and to date (as of March 31, 2024) in 2024, are as follows: 397,310 in 2021, 202,926 in 2022, 839,108 in 2023, and 59,938 in 2024. Shares subject to Equity Incentive Plan awards that terminated or expired and became available for new award grants under the Equity Incentive Plan have been included when information is presented in this Equity Incentive Plan proposal on the number of shares available for new award grants under the Equity Incentive Plan.</w:t>
      </w:r>
    </w:p>
    <w:p>
      <w:pPr>
        <w:spacing w:after="0" w:line="178" w:lineRule="exact"/>
        <w:rPr>
          <w:sz w:val="20"/>
          <w:szCs w:val="20"/>
          <w:color w:val="auto"/>
        </w:rPr>
      </w:pPr>
    </w:p>
    <w:p>
      <w:pPr>
        <w:jc w:val="both"/>
        <w:ind w:left="200" w:right="219" w:firstLine="600"/>
        <w:spacing w:after="0" w:line="247" w:lineRule="auto"/>
        <w:rPr>
          <w:sz w:val="20"/>
          <w:szCs w:val="20"/>
          <w:color w:val="auto"/>
        </w:rPr>
      </w:pPr>
      <w:r>
        <w:rPr>
          <w:rFonts w:ascii="Times New Roman" w:cs="Times New Roman" w:eastAsia="Times New Roman" w:hAnsi="Times New Roman"/>
          <w:sz w:val="17"/>
          <w:szCs w:val="17"/>
          <w:color w:val="auto"/>
        </w:rPr>
        <w:t>Our Compensation Committee anticipates that the 1,250,000 additional shares requested for the Equity Incentive Plan (together with the shares available for new award grants under the Equity Incentive Plan on the annual meeting date and assuming usual levels of shares becoming available for new awards as a result of forfeitures of outstanding awards) will provide the Company with flexibility to continue to grant equity awards under the Equity Incentive Plan through approximately the end of 2026 (reserving sufficient shares to cover potential payment of performance-based awards at maximum payment levels). However, this is only an estimate, in the Company’s judgment, based on current circumstances. The total number of shares that are subject to the Company’s award grants in any one year or from year-to-year may change based on a number of variables, including, without limitation, the value of the Company’s common stock (since higher stock prices generally require that fewer shares be issued to produce awards of the same grant date fair value), changes in competitors’ compensation practices or changes in compensation practices in the market generally, changes in the number of employees, changes in the number of directors and officers, whether and the extent to which vesting conditions applicable to equity-based awards are satisfied, acquisition activity and the need to grant awards to new employees in connection with acquisitions, the need to attract, retain and incentivize key talent, the type of awards the Company grants, and how the Company chooses to balance total compensation between cash and equity-based awards.</w:t>
      </w:r>
    </w:p>
    <w:p>
      <w:pPr>
        <w:spacing w:after="0" w:line="183" w:lineRule="exact"/>
        <w:rPr>
          <w:sz w:val="20"/>
          <w:szCs w:val="20"/>
          <w:color w:val="auto"/>
        </w:rPr>
      </w:pPr>
    </w:p>
    <w:p>
      <w:pPr>
        <w:jc w:val="both"/>
        <w:ind w:left="200" w:right="219" w:firstLine="600"/>
        <w:spacing w:after="0" w:line="267" w:lineRule="auto"/>
        <w:rPr>
          <w:sz w:val="20"/>
          <w:szCs w:val="20"/>
          <w:color w:val="auto"/>
        </w:rPr>
      </w:pPr>
      <w:r>
        <w:rPr>
          <w:rFonts w:ascii="Times New Roman" w:cs="Times New Roman" w:eastAsia="Times New Roman" w:hAnsi="Times New Roman"/>
          <w:sz w:val="17"/>
          <w:szCs w:val="17"/>
          <w:color w:val="auto"/>
        </w:rPr>
        <w:t>The closing market price for a share of the Company’s common stock as of March 31, 2024 was $9.74 per share. The Company used the closing market price for a share as of March 28, 2024 due to the stock marker being closed from March 29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through March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7"/>
          <w:szCs w:val="17"/>
          <w:color w:val="auto"/>
        </w:rPr>
        <w:t>.</w:t>
      </w:r>
    </w:p>
    <w:p>
      <w:pPr>
        <w:spacing w:after="0" w:line="5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b w:val="1"/>
          <w:bCs w:val="1"/>
          <w:color w:val="auto"/>
        </w:rPr>
        <w:t>Aggregate Equity Awards Previously Granted Under the Equity Incentive Plan</w:t>
      </w:r>
    </w:p>
    <w:p>
      <w:pPr>
        <w:spacing w:after="0" w:line="208" w:lineRule="exact"/>
        <w:rPr>
          <w:sz w:val="20"/>
          <w:szCs w:val="20"/>
          <w:color w:val="auto"/>
        </w:rPr>
      </w:pPr>
    </w:p>
    <w:p>
      <w:pPr>
        <w:ind w:left="200" w:right="319" w:firstLine="600"/>
        <w:spacing w:after="0" w:line="254" w:lineRule="auto"/>
        <w:rPr>
          <w:sz w:val="20"/>
          <w:szCs w:val="20"/>
          <w:color w:val="auto"/>
        </w:rPr>
      </w:pPr>
      <w:r>
        <w:rPr>
          <w:rFonts w:ascii="Times New Roman" w:cs="Times New Roman" w:eastAsia="Times New Roman" w:hAnsi="Times New Roman"/>
          <w:sz w:val="17"/>
          <w:szCs w:val="17"/>
          <w:color w:val="auto"/>
        </w:rPr>
        <w:t>As of March 31, 2024, awards covering 4,891,732 shares of the Company’s common stock had been granted under the Equity Incentive Plan. (This number of shares includes shares subject to awards that expired or terminated without having been exercised and paid and became available for new award grants under the Equity Incentive Plan.) The following table shows information regarding the distribution of all awards among the persons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28" w:name="page29"/>
    <w:bookmarkEnd w:id="28"/>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 w:right="239"/>
        <w:spacing w:after="0" w:line="271" w:lineRule="auto"/>
        <w:rPr>
          <w:sz w:val="20"/>
          <w:szCs w:val="20"/>
          <w:color w:val="auto"/>
        </w:rPr>
      </w:pPr>
      <w:r>
        <w:rPr>
          <w:rFonts w:ascii="Times New Roman" w:cs="Times New Roman" w:eastAsia="Times New Roman" w:hAnsi="Times New Roman"/>
          <w:sz w:val="17"/>
          <w:szCs w:val="17"/>
          <w:color w:val="auto"/>
        </w:rPr>
        <w:t>and groups identified below, option exercises and restricted stock unit or other stock awards vesting prior to that date, and option and unvested restricted stock unit or other stock award holdings as of that date.</w:t>
      </w:r>
    </w:p>
    <w:p>
      <w:pPr>
        <w:sectPr>
          <w:pgSz w:w="11900" w:h="16838" w:orient="portrait"/>
          <w:cols w:equalWidth="0" w:num="1">
            <w:col w:w="9019"/>
          </w:cols>
          <w:pgMar w:left="1440" w:top="6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Named Executive Officers:</w:t>
      </w:r>
    </w:p>
    <w:p>
      <w:pPr>
        <w:ind w:left="200"/>
        <w:spacing w:after="0"/>
        <w:rPr>
          <w:sz w:val="20"/>
          <w:szCs w:val="20"/>
          <w:color w:val="auto"/>
        </w:rPr>
      </w:pPr>
      <w:r>
        <w:rPr>
          <w:rFonts w:ascii="Times New Roman" w:cs="Times New Roman" w:eastAsia="Times New Roman" w:hAnsi="Times New Roman"/>
          <w:sz w:val="12"/>
          <w:szCs w:val="12"/>
          <w:color w:val="auto"/>
        </w:rPr>
        <w:t>Maria Hollandsworth</w:t>
      </w:r>
    </w:p>
    <w:p>
      <w:pPr>
        <w:ind w:left="200" w:right="620"/>
        <w:spacing w:after="0" w:line="217" w:lineRule="auto"/>
        <w:rPr>
          <w:sz w:val="20"/>
          <w:szCs w:val="20"/>
          <w:color w:val="auto"/>
        </w:rPr>
      </w:pPr>
      <w:r>
        <w:rPr>
          <w:rFonts w:ascii="Times New Roman" w:cs="Times New Roman" w:eastAsia="Times New Roman" w:hAnsi="Times New Roman"/>
          <w:sz w:val="12"/>
          <w:szCs w:val="12"/>
          <w:color w:val="auto"/>
        </w:rPr>
        <w:t>President and Chief Operating Officer Ira Fils</w:t>
      </w:r>
    </w:p>
    <w:p>
      <w:pPr>
        <w:ind w:left="200"/>
        <w:spacing w:after="0" w:line="218" w:lineRule="auto"/>
        <w:rPr>
          <w:sz w:val="20"/>
          <w:szCs w:val="20"/>
          <w:color w:val="auto"/>
        </w:rPr>
      </w:pPr>
      <w:r>
        <w:rPr>
          <w:rFonts w:ascii="Times New Roman" w:cs="Times New Roman" w:eastAsia="Times New Roman" w:hAnsi="Times New Roman"/>
          <w:sz w:val="12"/>
          <w:szCs w:val="12"/>
          <w:color w:val="auto"/>
        </w:rPr>
        <w:t>Chief Financial Officer</w:t>
      </w:r>
    </w:p>
    <w:p>
      <w:pPr>
        <w:ind w:left="200"/>
        <w:spacing w:after="0" w:line="217" w:lineRule="auto"/>
        <w:rPr>
          <w:sz w:val="20"/>
          <w:szCs w:val="20"/>
          <w:color w:val="auto"/>
        </w:rPr>
      </w:pPr>
      <w:r>
        <w:rPr>
          <w:rFonts w:ascii="Times New Roman" w:cs="Times New Roman" w:eastAsia="Times New Roman" w:hAnsi="Times New Roman"/>
          <w:sz w:val="12"/>
          <w:szCs w:val="12"/>
          <w:color w:val="auto"/>
        </w:rPr>
        <w:t>Laurance Roberts</w:t>
      </w:r>
    </w:p>
    <w:p>
      <w:pPr>
        <w:ind w:left="200"/>
        <w:spacing w:after="0" w:line="217" w:lineRule="auto"/>
        <w:rPr>
          <w:sz w:val="20"/>
          <w:szCs w:val="20"/>
          <w:color w:val="auto"/>
        </w:rPr>
      </w:pPr>
      <w:r>
        <w:rPr>
          <w:rFonts w:ascii="Times New Roman" w:cs="Times New Roman" w:eastAsia="Times New Roman" w:hAnsi="Times New Roman"/>
          <w:sz w:val="12"/>
          <w:szCs w:val="12"/>
          <w:color w:val="auto"/>
        </w:rPr>
        <w:t>Former Chief Executive Officer</w:t>
      </w:r>
    </w:p>
    <w:p>
      <w:pPr>
        <w:ind w:left="200"/>
        <w:spacing w:after="0" w:line="228" w:lineRule="auto"/>
        <w:rPr>
          <w:sz w:val="20"/>
          <w:szCs w:val="20"/>
          <w:color w:val="auto"/>
        </w:rPr>
      </w:pPr>
      <w:r>
        <w:rPr>
          <w:rFonts w:ascii="Times New Roman" w:cs="Times New Roman" w:eastAsia="Times New Roman" w:hAnsi="Times New Roman"/>
          <w:sz w:val="12"/>
          <w:szCs w:val="12"/>
          <w:color w:val="auto"/>
        </w:rPr>
        <w:t>Total for All Current Executive Officers as a Group (3 persons)</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Michael G. Maselli</w:t>
      </w:r>
    </w:p>
    <w:p>
      <w:pPr>
        <w:spacing w:after="0" w:line="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Samuel N. Borgese</w:t>
      </w:r>
    </w:p>
    <w:p>
      <w:pPr>
        <w:spacing w:after="0" w:line="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Mark Buller</w:t>
      </w:r>
    </w:p>
    <w:p>
      <w:pPr>
        <w:spacing w:after="0" w:line="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William R. Floyd</w:t>
      </w:r>
    </w:p>
    <w:p>
      <w:pPr>
        <w:spacing w:after="0" w:line="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Dean C. Kehler</w:t>
      </w:r>
    </w:p>
    <w:p>
      <w:pPr>
        <w:spacing w:after="0" w:line="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Carol ("Lili") Lynton</w:t>
      </w:r>
    </w:p>
    <w:p>
      <w:pPr>
        <w:spacing w:after="0" w:line="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Deborah Gonzalez</w:t>
      </w:r>
    </w:p>
    <w:p>
      <w:pPr>
        <w:spacing w:after="0" w:line="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Nancy Faginas-Cody</w:t>
      </w:r>
    </w:p>
    <w:p>
      <w:pPr>
        <w:spacing w:after="0" w:line="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Douglass Babb</w:t>
      </w:r>
    </w:p>
    <w:p>
      <w:pPr>
        <w:spacing w:after="0" w:line="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John M. Roth</w:t>
      </w:r>
    </w:p>
    <w:p>
      <w:pPr>
        <w:spacing w:after="0" w:line="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0"/>
          <w:szCs w:val="10"/>
          <w:color w:val="auto"/>
        </w:rPr>
        <w:t>Total for all Current Non-Executive Directors as a</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Group (10 persons):</w:t>
      </w:r>
    </w:p>
    <w:p>
      <w:pPr>
        <w:ind w:left="200" w:right="20"/>
        <w:spacing w:after="0" w:line="217" w:lineRule="auto"/>
        <w:rPr>
          <w:sz w:val="20"/>
          <w:szCs w:val="20"/>
          <w:color w:val="auto"/>
        </w:rPr>
      </w:pPr>
      <w:r>
        <w:rPr>
          <w:rFonts w:ascii="Times New Roman" w:cs="Times New Roman" w:eastAsia="Times New Roman" w:hAnsi="Times New Roman"/>
          <w:sz w:val="12"/>
          <w:szCs w:val="12"/>
          <w:color w:val="auto"/>
        </w:rPr>
        <w:t>Each other person who has received 5% or more of the options, warrants or rights under the Equity Incentive Plan</w:t>
      </w:r>
    </w:p>
    <w:p>
      <w:pPr>
        <w:spacing w:after="0" w:line="1" w:lineRule="exact"/>
        <w:rPr>
          <w:sz w:val="20"/>
          <w:szCs w:val="20"/>
          <w:color w:val="auto"/>
        </w:rPr>
      </w:pPr>
    </w:p>
    <w:p>
      <w:pPr>
        <w:ind w:left="200" w:right="100"/>
        <w:spacing w:after="0" w:line="287" w:lineRule="auto"/>
        <w:rPr>
          <w:sz w:val="20"/>
          <w:szCs w:val="20"/>
          <w:color w:val="auto"/>
        </w:rPr>
      </w:pPr>
      <w:r>
        <w:rPr>
          <w:rFonts w:ascii="Times New Roman" w:cs="Times New Roman" w:eastAsia="Times New Roman" w:hAnsi="Times New Roman"/>
          <w:sz w:val="10"/>
          <w:szCs w:val="10"/>
          <w:color w:val="auto"/>
        </w:rPr>
        <w:t>All employees, including all current officers who are not executive officers or directors, as a group</w:t>
      </w:r>
    </w:p>
    <w:p>
      <w:pPr>
        <w:ind w:left="200"/>
        <w:spacing w:after="0"/>
        <w:rPr>
          <w:sz w:val="20"/>
          <w:szCs w:val="20"/>
          <w:color w:val="auto"/>
        </w:rPr>
      </w:pPr>
      <w:r>
        <w:rPr>
          <w:rFonts w:ascii="Times New Roman" w:cs="Times New Roman" w:eastAsia="Times New Roman" w:hAnsi="Times New Roman"/>
          <w:sz w:val="12"/>
          <w:szCs w:val="12"/>
          <w:color w:val="auto"/>
        </w:rPr>
        <w:t>Total</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20"/>
                <w:szCs w:val="20"/>
                <w:b w:val="1"/>
                <w:bCs w:val="1"/>
                <w:color w:val="auto"/>
              </w:rPr>
              <w:t>Option Awards</w:t>
            </w:r>
          </w:p>
        </w:tc>
        <w:tc>
          <w:tcPr>
            <w:tcW w:w="7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gridSpan w:val="3"/>
          </w:tcPr>
          <w:p>
            <w:pPr>
              <w:jc w:val="right"/>
              <w:ind w:right="582"/>
              <w:spacing w:after="0"/>
              <w:rPr>
                <w:sz w:val="20"/>
                <w:szCs w:val="20"/>
                <w:color w:val="auto"/>
              </w:rPr>
            </w:pPr>
            <w:r>
              <w:rPr>
                <w:rFonts w:ascii="Times New Roman" w:cs="Times New Roman" w:eastAsia="Times New Roman" w:hAnsi="Times New Roman"/>
                <w:sz w:val="20"/>
                <w:szCs w:val="20"/>
                <w:b w:val="1"/>
                <w:bCs w:val="1"/>
                <w:color w:val="auto"/>
              </w:rPr>
              <w:t>Stock Awards</w:t>
            </w:r>
          </w:p>
        </w:tc>
        <w:tc>
          <w:tcPr>
            <w:tcW w:w="1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07"/>
        </w:trPr>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140"/>
              <w:spacing w:after="0" w:line="107" w:lineRule="exact"/>
              <w:rPr>
                <w:sz w:val="20"/>
                <w:szCs w:val="20"/>
                <w:color w:val="auto"/>
              </w:rPr>
            </w:pPr>
            <w:r>
              <w:rPr>
                <w:rFonts w:ascii="Times New Roman" w:cs="Times New Roman" w:eastAsia="Times New Roman" w:hAnsi="Times New Roman"/>
                <w:sz w:val="12"/>
                <w:szCs w:val="12"/>
                <w:b w:val="1"/>
                <w:bCs w:val="1"/>
                <w:color w:val="auto"/>
                <w:w w:val="98"/>
              </w:rPr>
              <w:t>Number</w:t>
            </w:r>
          </w:p>
        </w:tc>
        <w:tc>
          <w:tcPr>
            <w:tcW w:w="1000" w:type="dxa"/>
            <w:vAlign w:val="bottom"/>
            <w:gridSpan w:val="2"/>
          </w:tcPr>
          <w:p>
            <w:pPr>
              <w:jc w:val="center"/>
              <w:ind w:right="140"/>
              <w:spacing w:after="0" w:line="107" w:lineRule="exact"/>
              <w:rPr>
                <w:sz w:val="20"/>
                <w:szCs w:val="20"/>
                <w:color w:val="auto"/>
              </w:rPr>
            </w:pPr>
            <w:r>
              <w:rPr>
                <w:rFonts w:ascii="Times New Roman" w:cs="Times New Roman" w:eastAsia="Times New Roman" w:hAnsi="Times New Roman"/>
                <w:sz w:val="12"/>
                <w:szCs w:val="12"/>
                <w:b w:val="1"/>
                <w:bCs w:val="1"/>
                <w:color w:val="auto"/>
                <w:w w:val="98"/>
              </w:rPr>
              <w:t>Number</w:t>
            </w:r>
          </w:p>
        </w:tc>
        <w:tc>
          <w:tcPr>
            <w:tcW w:w="86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w w:val="98"/>
              </w:rPr>
              <w:t>Number</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40"/>
              <w:spacing w:after="0" w:line="125" w:lineRule="exact"/>
              <w:rPr>
                <w:sz w:val="20"/>
                <w:szCs w:val="20"/>
                <w:color w:val="auto"/>
              </w:rPr>
            </w:pPr>
            <w:r>
              <w:rPr>
                <w:rFonts w:ascii="Times New Roman" w:cs="Times New Roman" w:eastAsia="Times New Roman" w:hAnsi="Times New Roman"/>
                <w:sz w:val="12"/>
                <w:szCs w:val="12"/>
                <w:b w:val="1"/>
                <w:bCs w:val="1"/>
                <w:color w:val="auto"/>
                <w:w w:val="99"/>
              </w:rPr>
              <w:t>of</w:t>
            </w:r>
          </w:p>
        </w:tc>
        <w:tc>
          <w:tcPr>
            <w:tcW w:w="1000" w:type="dxa"/>
            <w:vAlign w:val="bottom"/>
            <w:gridSpan w:val="2"/>
          </w:tcPr>
          <w:p>
            <w:pPr>
              <w:jc w:val="center"/>
              <w:ind w:right="140"/>
              <w:spacing w:after="0" w:line="125" w:lineRule="exact"/>
              <w:rPr>
                <w:sz w:val="20"/>
                <w:szCs w:val="20"/>
                <w:color w:val="auto"/>
              </w:rPr>
            </w:pPr>
            <w:r>
              <w:rPr>
                <w:rFonts w:ascii="Times New Roman" w:cs="Times New Roman" w:eastAsia="Times New Roman" w:hAnsi="Times New Roman"/>
                <w:sz w:val="12"/>
                <w:szCs w:val="12"/>
                <w:b w:val="1"/>
                <w:bCs w:val="1"/>
                <w:color w:val="auto"/>
                <w:w w:val="99"/>
              </w:rPr>
              <w:t>of</w:t>
            </w:r>
          </w:p>
        </w:tc>
        <w:tc>
          <w:tcPr>
            <w:tcW w:w="8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9"/>
              </w:rPr>
              <w:t>of</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60" w:type="dxa"/>
            <w:vAlign w:val="bottom"/>
            <w:gridSpan w:val="2"/>
          </w:tcPr>
          <w:p>
            <w:pPr>
              <w:jc w:val="center"/>
              <w:ind w:right="140"/>
              <w:spacing w:after="0" w:line="12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72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2"/>
                <w:szCs w:val="12"/>
                <w:b w:val="1"/>
                <w:bCs w:val="1"/>
                <w:color w:val="auto"/>
                <w:w w:val="94"/>
              </w:rPr>
              <w:t>Shares/</w:t>
            </w:r>
          </w:p>
        </w:tc>
        <w:tc>
          <w:tcPr>
            <w:tcW w:w="1000" w:type="dxa"/>
            <w:vAlign w:val="bottom"/>
            <w:gridSpan w:val="2"/>
          </w:tcPr>
          <w:p>
            <w:pPr>
              <w:jc w:val="center"/>
              <w:ind w:right="140"/>
              <w:spacing w:after="0" w:line="125" w:lineRule="exact"/>
              <w:rPr>
                <w:sz w:val="20"/>
                <w:szCs w:val="20"/>
                <w:color w:val="auto"/>
              </w:rPr>
            </w:pPr>
            <w:r>
              <w:rPr>
                <w:rFonts w:ascii="Times New Roman" w:cs="Times New Roman" w:eastAsia="Times New Roman" w:hAnsi="Times New Roman"/>
                <w:sz w:val="12"/>
                <w:szCs w:val="12"/>
                <w:b w:val="1"/>
                <w:bCs w:val="1"/>
                <w:color w:val="auto"/>
                <w:w w:val="99"/>
              </w:rPr>
              <w:t>Shares/</w:t>
            </w:r>
          </w:p>
        </w:tc>
        <w:tc>
          <w:tcPr>
            <w:tcW w:w="8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Shares/Units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2"/>
              </w:rPr>
              <w:t>Shares</w:t>
            </w:r>
          </w:p>
        </w:tc>
        <w:tc>
          <w:tcPr>
            <w:tcW w:w="184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Number of Shares Underlying</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Units</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Units</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Outstanding</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6"/>
              </w:rPr>
              <w:t>Subject to</w:t>
            </w: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Acquired</w:t>
            </w:r>
          </w:p>
        </w:tc>
        <w:tc>
          <w:tcPr>
            <w:tcW w:w="1840" w:type="dxa"/>
            <w:vAlign w:val="bottom"/>
            <w:gridSpan w:val="5"/>
            <w:vMerge w:val="continue"/>
          </w:tcPr>
          <w:p>
            <w:pPr>
              <w:spacing w:after="0"/>
              <w:rPr>
                <w:sz w:val="8"/>
                <w:szCs w:val="8"/>
                <w:color w:val="auto"/>
              </w:rPr>
            </w:pP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Subject</w:t>
            </w: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Vested</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and Unvested</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76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840" w:type="dxa"/>
            <w:vAlign w:val="bottom"/>
            <w:gridSpan w:val="5"/>
            <w:vMerge w:val="restart"/>
          </w:tcPr>
          <w:p>
            <w:pPr>
              <w:jc w:val="center"/>
              <w:ind w:right="240"/>
              <w:spacing w:after="0" w:line="125"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72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gridSpan w:val="5"/>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76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2"/>
                <w:szCs w:val="12"/>
                <w:b w:val="1"/>
                <w:bCs w:val="1"/>
                <w:color w:val="auto"/>
                <w:w w:val="98"/>
              </w:rPr>
              <w:t>Past Option</w:t>
            </w:r>
          </w:p>
        </w:tc>
        <w:tc>
          <w:tcPr>
            <w:tcW w:w="72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2"/>
                <w:szCs w:val="12"/>
                <w:b w:val="1"/>
                <w:bCs w:val="1"/>
                <w:color w:val="auto"/>
                <w:w w:val="99"/>
              </w:rPr>
              <w:t>On</w:t>
            </w:r>
          </w:p>
        </w:tc>
        <w:tc>
          <w:tcPr>
            <w:tcW w:w="1840" w:type="dxa"/>
            <w:vAlign w:val="bottom"/>
            <w:gridSpan w:val="5"/>
          </w:tcPr>
          <w:p>
            <w:pPr>
              <w:jc w:val="center"/>
              <w:ind w:right="260"/>
              <w:spacing w:after="0" w:line="125" w:lineRule="exact"/>
              <w:rPr>
                <w:sz w:val="20"/>
                <w:szCs w:val="20"/>
                <w:color w:val="auto"/>
              </w:rPr>
            </w:pPr>
            <w:r>
              <w:rPr>
                <w:rFonts w:ascii="Times New Roman" w:cs="Times New Roman" w:eastAsia="Times New Roman" w:hAnsi="Times New Roman"/>
                <w:sz w:val="12"/>
                <w:szCs w:val="12"/>
                <w:b w:val="1"/>
                <w:bCs w:val="1"/>
                <w:color w:val="auto"/>
                <w:w w:val="95"/>
              </w:rPr>
              <w:t>as of March 31, 2024</w:t>
            </w:r>
          </w:p>
        </w:tc>
        <w:tc>
          <w:tcPr>
            <w:tcW w:w="720" w:type="dxa"/>
            <w:vAlign w:val="bottom"/>
            <w:gridSpan w:val="2"/>
          </w:tcPr>
          <w:p>
            <w:pPr>
              <w:jc w:val="center"/>
              <w:ind w:right="140"/>
              <w:spacing w:after="0" w:line="125" w:lineRule="exact"/>
              <w:rPr>
                <w:sz w:val="20"/>
                <w:szCs w:val="20"/>
                <w:color w:val="auto"/>
              </w:rPr>
            </w:pPr>
            <w:r>
              <w:rPr>
                <w:rFonts w:ascii="Times New Roman" w:cs="Times New Roman" w:eastAsia="Times New Roman" w:hAnsi="Times New Roman"/>
                <w:sz w:val="12"/>
                <w:szCs w:val="12"/>
                <w:b w:val="1"/>
                <w:bCs w:val="1"/>
                <w:color w:val="auto"/>
                <w:w w:val="97"/>
              </w:rPr>
              <w:t>to Past</w:t>
            </w:r>
          </w:p>
        </w:tc>
        <w:tc>
          <w:tcPr>
            <w:tcW w:w="1000" w:type="dxa"/>
            <w:vAlign w:val="bottom"/>
            <w:gridSpan w:val="2"/>
          </w:tcPr>
          <w:p>
            <w:pPr>
              <w:jc w:val="center"/>
              <w:ind w:right="140"/>
              <w:spacing w:after="0" w:line="125" w:lineRule="exact"/>
              <w:rPr>
                <w:sz w:val="20"/>
                <w:szCs w:val="20"/>
                <w:color w:val="auto"/>
              </w:rPr>
            </w:pPr>
            <w:r>
              <w:rPr>
                <w:rFonts w:ascii="Times New Roman" w:cs="Times New Roman" w:eastAsia="Times New Roman" w:hAnsi="Times New Roman"/>
                <w:sz w:val="12"/>
                <w:szCs w:val="12"/>
                <w:b w:val="1"/>
                <w:bCs w:val="1"/>
                <w:color w:val="auto"/>
                <w:w w:val="92"/>
              </w:rPr>
              <w:t>as of</w:t>
            </w:r>
          </w:p>
        </w:tc>
        <w:tc>
          <w:tcPr>
            <w:tcW w:w="8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2"/>
              </w:rPr>
              <w:t>as of</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Grants</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Exercise</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Exercisable</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Unexercisable</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Awards</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March 31, 2024</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March 31, 2024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6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28,802</w:t>
            </w:r>
          </w:p>
        </w:tc>
        <w:tc>
          <w:tcPr>
            <w:tcW w:w="12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28,802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41,934</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4,496</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37,438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95,876</w:t>
            </w:r>
          </w:p>
        </w:tc>
        <w:tc>
          <w:tcPr>
            <w:tcW w:w="120" w:type="dxa"/>
            <w:vAlign w:val="bottom"/>
          </w:tcPr>
          <w:p>
            <w:pPr>
              <w:spacing w:after="0"/>
              <w:rPr>
                <w:sz w:val="21"/>
                <w:szCs w:val="21"/>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95,876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99,392</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13,369</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86,023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244,809</w:t>
            </w:r>
          </w:p>
        </w:tc>
        <w:tc>
          <w:tcPr>
            <w:tcW w:w="120" w:type="dxa"/>
            <w:vAlign w:val="bottom"/>
          </w:tcPr>
          <w:p>
            <w:pPr>
              <w:spacing w:after="0"/>
              <w:rPr>
                <w:sz w:val="21"/>
                <w:szCs w:val="21"/>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152,846</w:t>
            </w:r>
          </w:p>
        </w:tc>
        <w:tc>
          <w:tcPr>
            <w:tcW w:w="200" w:type="dxa"/>
            <w:vAlign w:val="bottom"/>
          </w:tcPr>
          <w:p>
            <w:pPr>
              <w:spacing w:after="0"/>
              <w:rPr>
                <w:sz w:val="21"/>
                <w:szCs w:val="21"/>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265,270</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129,126</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369,487</w:t>
            </w:r>
          </w:p>
        </w:tc>
        <w:tc>
          <w:tcPr>
            <w:tcW w:w="120" w:type="dxa"/>
            <w:vAlign w:val="bottom"/>
          </w:tcPr>
          <w:p>
            <w:pPr>
              <w:spacing w:after="0"/>
              <w:rPr>
                <w:sz w:val="21"/>
                <w:szCs w:val="21"/>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152,846</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124,678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406,596</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146,991</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123,461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44,772</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25,790</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18,982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47,635</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32,765</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44,302</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29,432</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47,389</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27,000</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20,389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24,448</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14,869</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41,870</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27,000</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15,627</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1,897</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15,627</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1,897</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34,382</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19,512</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36,974</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22,104</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353,026</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202,266</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126,311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625,277</w:t>
            </w:r>
          </w:p>
        </w:tc>
        <w:tc>
          <w:tcPr>
            <w:tcW w:w="120" w:type="dxa"/>
            <w:vAlign w:val="bottom"/>
          </w:tcPr>
          <w:p>
            <w:pPr>
              <w:spacing w:after="0"/>
              <w:rPr>
                <w:sz w:val="24"/>
                <w:szCs w:val="2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222,566</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292,075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409,326</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154,193</w:t>
            </w:r>
          </w:p>
        </w:tc>
        <w:tc>
          <w:tcPr>
            <w:tcW w:w="140" w:type="dxa"/>
            <w:vAlign w:val="bottom"/>
          </w:tcPr>
          <w:p>
            <w:pPr>
              <w:spacing w:after="0"/>
              <w:rPr>
                <w:sz w:val="24"/>
                <w:szCs w:val="24"/>
                <w:color w:val="auto"/>
              </w:rPr>
            </w:pPr>
          </w:p>
        </w:tc>
        <w:tc>
          <w:tcPr>
            <w:tcW w:w="860" w:type="dxa"/>
            <w:vAlign w:val="bottom"/>
          </w:tcPr>
          <w:p>
            <w:pPr>
              <w:jc w:val="right"/>
              <w:ind w:right="402"/>
              <w:spacing w:after="0"/>
              <w:rPr>
                <w:sz w:val="20"/>
                <w:szCs w:val="20"/>
                <w:color w:val="auto"/>
              </w:rPr>
            </w:pPr>
            <w:r>
              <w:rPr>
                <w:rFonts w:ascii="Times New Roman" w:cs="Times New Roman" w:eastAsia="Times New Roman" w:hAnsi="Times New Roman"/>
                <w:sz w:val="12"/>
                <w:szCs w:val="12"/>
                <w:color w:val="auto"/>
                <w:w w:val="97"/>
              </w:rPr>
              <w:t>250,931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994,764</w:t>
            </w:r>
          </w:p>
        </w:tc>
        <w:tc>
          <w:tcPr>
            <w:tcW w:w="120" w:type="dxa"/>
            <w:vAlign w:val="bottom"/>
          </w:tcPr>
          <w:p>
            <w:pPr>
              <w:spacing w:after="0"/>
              <w:rPr>
                <w:sz w:val="19"/>
                <w:szCs w:val="19"/>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375,412</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416,753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1,168,948</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503,450</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500,703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-1621790</wp:posOffset>
            </wp:positionH>
            <wp:positionV relativeFrom="paragraph">
              <wp:posOffset>-2251075</wp:posOffset>
            </wp:positionV>
            <wp:extent cx="5459730" cy="158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459730" cy="158750"/>
                    </a:xfrm>
                    <a:prstGeom prst="rect">
                      <a:avLst/>
                    </a:prstGeom>
                    <a:noFill/>
                  </pic:spPr>
                </pic:pic>
              </a:graphicData>
            </a:graphic>
          </wp:anchor>
        </w:drawing>
        <w:drawing>
          <wp:anchor simplePos="0" relativeHeight="251657728" behindDoc="1" locked="0" layoutInCell="0" allowOverlap="1">
            <wp:simplePos x="0" y="0"/>
            <wp:positionH relativeFrom="column">
              <wp:posOffset>-1621790</wp:posOffset>
            </wp:positionH>
            <wp:positionV relativeFrom="paragraph">
              <wp:posOffset>-1933575</wp:posOffset>
            </wp:positionV>
            <wp:extent cx="5459730" cy="1270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459730" cy="127000"/>
                    </a:xfrm>
                    <a:prstGeom prst="rect">
                      <a:avLst/>
                    </a:prstGeom>
                    <a:noFill/>
                  </pic:spPr>
                </pic:pic>
              </a:graphicData>
            </a:graphic>
          </wp:anchor>
        </w:drawing>
        <w:drawing>
          <wp:anchor simplePos="0" relativeHeight="251657728" behindDoc="1" locked="0" layoutInCell="0" allowOverlap="1">
            <wp:simplePos x="0" y="0"/>
            <wp:positionH relativeFrom="column">
              <wp:posOffset>-1621790</wp:posOffset>
            </wp:positionH>
            <wp:positionV relativeFrom="paragraph">
              <wp:posOffset>-1679575</wp:posOffset>
            </wp:positionV>
            <wp:extent cx="5459730" cy="1270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459730" cy="127000"/>
                    </a:xfrm>
                    <a:prstGeom prst="rect">
                      <a:avLst/>
                    </a:prstGeom>
                    <a:noFill/>
                  </pic:spPr>
                </pic:pic>
              </a:graphicData>
            </a:graphic>
          </wp:anchor>
        </w:drawing>
        <w:drawing>
          <wp:anchor simplePos="0" relativeHeight="251657728" behindDoc="1" locked="0" layoutInCell="0" allowOverlap="1">
            <wp:simplePos x="0" y="0"/>
            <wp:positionH relativeFrom="column">
              <wp:posOffset>-1621790</wp:posOffset>
            </wp:positionH>
            <wp:positionV relativeFrom="paragraph">
              <wp:posOffset>-1425575</wp:posOffset>
            </wp:positionV>
            <wp:extent cx="5459730" cy="127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459730" cy="127000"/>
                    </a:xfrm>
                    <a:prstGeom prst="rect">
                      <a:avLst/>
                    </a:prstGeom>
                    <a:noFill/>
                  </pic:spPr>
                </pic:pic>
              </a:graphicData>
            </a:graphic>
          </wp:anchor>
        </w:drawing>
        <w:drawing>
          <wp:anchor simplePos="0" relativeHeight="251657728" behindDoc="1" locked="0" layoutInCell="0" allowOverlap="1">
            <wp:simplePos x="0" y="0"/>
            <wp:positionH relativeFrom="column">
              <wp:posOffset>-1621790</wp:posOffset>
            </wp:positionH>
            <wp:positionV relativeFrom="paragraph">
              <wp:posOffset>-1171575</wp:posOffset>
            </wp:positionV>
            <wp:extent cx="5459730" cy="1270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459730" cy="127000"/>
                    </a:xfrm>
                    <a:prstGeom prst="rect">
                      <a:avLst/>
                    </a:prstGeom>
                    <a:noFill/>
                  </pic:spPr>
                </pic:pic>
              </a:graphicData>
            </a:graphic>
          </wp:anchor>
        </w:drawing>
        <w:drawing>
          <wp:anchor simplePos="0" relativeHeight="251657728" behindDoc="1" locked="0" layoutInCell="0" allowOverlap="1">
            <wp:simplePos x="0" y="0"/>
            <wp:positionH relativeFrom="column">
              <wp:posOffset>-1621790</wp:posOffset>
            </wp:positionH>
            <wp:positionV relativeFrom="paragraph">
              <wp:posOffset>-917575</wp:posOffset>
            </wp:positionV>
            <wp:extent cx="5459730" cy="1270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459730" cy="127000"/>
                    </a:xfrm>
                    <a:prstGeom prst="rect">
                      <a:avLst/>
                    </a:prstGeom>
                    <a:noFill/>
                  </pic:spPr>
                </pic:pic>
              </a:graphicData>
            </a:graphic>
          </wp:anchor>
        </w:drawing>
        <w:drawing>
          <wp:anchor simplePos="0" relativeHeight="251657728" behindDoc="1" locked="0" layoutInCell="0" allowOverlap="1">
            <wp:simplePos x="0" y="0"/>
            <wp:positionH relativeFrom="column">
              <wp:posOffset>-1621790</wp:posOffset>
            </wp:positionH>
            <wp:positionV relativeFrom="paragraph">
              <wp:posOffset>-663575</wp:posOffset>
            </wp:positionV>
            <wp:extent cx="5459730" cy="158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459730" cy="158750"/>
                    </a:xfrm>
                    <a:prstGeom prst="rect">
                      <a:avLst/>
                    </a:prstGeom>
                    <a:noFill/>
                  </pic:spPr>
                </pic:pic>
              </a:graphicData>
            </a:graphic>
          </wp:anchor>
        </w:drawing>
        <w:drawing>
          <wp:anchor simplePos="0" relativeHeight="251657728" behindDoc="1" locked="0" layoutInCell="0" allowOverlap="1">
            <wp:simplePos x="0" y="0"/>
            <wp:positionH relativeFrom="column">
              <wp:posOffset>-1621790</wp:posOffset>
            </wp:positionH>
            <wp:positionV relativeFrom="paragraph">
              <wp:posOffset>-266700</wp:posOffset>
            </wp:positionV>
            <wp:extent cx="5459730" cy="158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459730" cy="158750"/>
                    </a:xfrm>
                    <a:prstGeom prst="rect">
                      <a:avLst/>
                    </a:prstGeom>
                    <a:noFill/>
                  </pic:spPr>
                </pic:pic>
              </a:graphicData>
            </a:graphic>
          </wp:anchor>
        </w:drawing>
        <w:drawing>
          <wp:anchor simplePos="0" relativeHeight="251657728" behindDoc="1" locked="0" layoutInCell="0" allowOverlap="1">
            <wp:simplePos x="0" y="0"/>
            <wp:positionH relativeFrom="column">
              <wp:posOffset>-1621790</wp:posOffset>
            </wp:positionH>
            <wp:positionV relativeFrom="paragraph">
              <wp:posOffset>17780</wp:posOffset>
            </wp:positionV>
            <wp:extent cx="5459730" cy="23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459730" cy="23495"/>
                    </a:xfrm>
                    <a:prstGeom prst="rect">
                      <a:avLst/>
                    </a:prstGeom>
                    <a:noFill/>
                  </pic:spPr>
                </pic:pic>
              </a:graphicData>
            </a:graphic>
          </wp:anchor>
        </w:drawing>
        <w:drawing>
          <wp:anchor simplePos="0" relativeHeight="251657728" behindDoc="1" locked="0" layoutInCell="0" allowOverlap="1">
            <wp:simplePos x="0" y="0"/>
            <wp:positionH relativeFrom="column">
              <wp:posOffset>-1621790</wp:posOffset>
            </wp:positionH>
            <wp:positionV relativeFrom="paragraph">
              <wp:posOffset>-2576195</wp:posOffset>
            </wp:positionV>
            <wp:extent cx="5459730" cy="166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459730" cy="166370"/>
                    </a:xfrm>
                    <a:prstGeom prst="rect">
                      <a:avLst/>
                    </a:prstGeom>
                    <a:noFill/>
                  </pic:spPr>
                </pic:pic>
              </a:graphicData>
            </a:graphic>
          </wp:anchor>
        </w:drawing>
        <w:drawing>
          <wp:anchor simplePos="0" relativeHeight="251657728" behindDoc="1" locked="0" layoutInCell="0" allowOverlap="1">
            <wp:simplePos x="0" y="0"/>
            <wp:positionH relativeFrom="column">
              <wp:posOffset>-1621790</wp:posOffset>
            </wp:positionH>
            <wp:positionV relativeFrom="paragraph">
              <wp:posOffset>-3465195</wp:posOffset>
            </wp:positionV>
            <wp:extent cx="545973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459730" cy="7620"/>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2600" w:space="160"/>
            <w:col w:w="6259"/>
          </w:cols>
          <w:pgMar w:left="1440" w:top="623"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b w:val="1"/>
          <w:bCs w:val="1"/>
          <w:color w:val="auto"/>
        </w:rPr>
        <w:t>Vote Required for Approval of the Amendments to the Equity Incentive Plan</w:t>
      </w:r>
    </w:p>
    <w:p>
      <w:pPr>
        <w:spacing w:after="0" w:line="208" w:lineRule="exact"/>
        <w:rPr>
          <w:sz w:val="20"/>
          <w:szCs w:val="20"/>
          <w:color w:val="auto"/>
        </w:rPr>
      </w:pPr>
    </w:p>
    <w:p>
      <w:pPr>
        <w:jc w:val="both"/>
        <w:ind w:left="200" w:right="219" w:firstLine="600"/>
        <w:spacing w:after="0" w:line="258" w:lineRule="auto"/>
        <w:rPr>
          <w:sz w:val="20"/>
          <w:szCs w:val="20"/>
          <w:color w:val="auto"/>
        </w:rPr>
      </w:pPr>
      <w:r>
        <w:rPr>
          <w:rFonts w:ascii="Times New Roman" w:cs="Times New Roman" w:eastAsia="Times New Roman" w:hAnsi="Times New Roman"/>
          <w:sz w:val="17"/>
          <w:szCs w:val="17"/>
          <w:color w:val="auto"/>
        </w:rPr>
        <w:t>Our Board believes that adoption of the amendments to the Equity Incentive Plan will promote the interests of the Company and its stockholders and will help the Company and its subsidiaries continue to be able to attract, retain and reward persons important to our success.</w:t>
      </w:r>
    </w:p>
    <w:p>
      <w:pPr>
        <w:spacing w:after="0" w:line="169" w:lineRule="exact"/>
        <w:rPr>
          <w:sz w:val="20"/>
          <w:szCs w:val="20"/>
          <w:color w:val="auto"/>
        </w:rPr>
      </w:pPr>
    </w:p>
    <w:p>
      <w:pPr>
        <w:jc w:val="both"/>
        <w:ind w:left="200" w:right="219" w:firstLine="600"/>
        <w:spacing w:after="0" w:line="271" w:lineRule="auto"/>
        <w:rPr>
          <w:sz w:val="20"/>
          <w:szCs w:val="20"/>
          <w:color w:val="auto"/>
        </w:rPr>
      </w:pPr>
      <w:r>
        <w:rPr>
          <w:rFonts w:ascii="Times New Roman" w:cs="Times New Roman" w:eastAsia="Times New Roman" w:hAnsi="Times New Roman"/>
          <w:sz w:val="17"/>
          <w:szCs w:val="17"/>
          <w:color w:val="auto"/>
        </w:rPr>
        <w:t>All members of our Board and all of the Company’s executive officers are eligible for awards under the Equity Incentive Plan and thus have a personal interest in the approval of the Equity Incentive Plan.</w:t>
      </w:r>
    </w:p>
    <w:p>
      <w:pPr>
        <w:spacing w:after="0" w:line="158" w:lineRule="exact"/>
        <w:rPr>
          <w:sz w:val="20"/>
          <w:szCs w:val="20"/>
          <w:color w:val="auto"/>
        </w:rPr>
      </w:pPr>
    </w:p>
    <w:p>
      <w:pPr>
        <w:jc w:val="both"/>
        <w:ind w:left="200" w:right="219" w:firstLine="600"/>
        <w:spacing w:after="0" w:line="258" w:lineRule="auto"/>
        <w:rPr>
          <w:sz w:val="20"/>
          <w:szCs w:val="20"/>
          <w:color w:val="auto"/>
        </w:rPr>
      </w:pPr>
      <w:r>
        <w:rPr>
          <w:rFonts w:ascii="Times New Roman" w:cs="Times New Roman" w:eastAsia="Times New Roman" w:hAnsi="Times New Roman"/>
          <w:sz w:val="17"/>
          <w:szCs w:val="17"/>
          <w:color w:val="auto"/>
        </w:rPr>
        <w:t>You may vote “FOR” or “AGAINST” or “ABSTAIN” on the approval of the amendments to the Equity Incentive Plan. This proposal shall be approved if it receives the affirmative vote of a majority of the shares of common stock present in person or represented at the annual meeting and entitled to vote on this proposal.</w:t>
      </w:r>
    </w:p>
    <w:p>
      <w:pPr>
        <w:spacing w:after="0" w:line="165" w:lineRule="exact"/>
        <w:rPr>
          <w:sz w:val="20"/>
          <w:szCs w:val="20"/>
          <w:color w:val="auto"/>
        </w:rPr>
      </w:pPr>
    </w:p>
    <w:p>
      <w:pPr>
        <w:jc w:val="center"/>
        <w:ind w:left="200" w:right="219"/>
        <w:spacing w:after="0" w:line="276" w:lineRule="auto"/>
        <w:rPr>
          <w:sz w:val="20"/>
          <w:szCs w:val="20"/>
          <w:color w:val="auto"/>
        </w:rPr>
      </w:pPr>
      <w:r>
        <w:rPr>
          <w:rFonts w:ascii="Times New Roman" w:cs="Times New Roman" w:eastAsia="Times New Roman" w:hAnsi="Times New Roman"/>
          <w:sz w:val="17"/>
          <w:szCs w:val="17"/>
          <w:b w:val="1"/>
          <w:bCs w:val="1"/>
          <w:color w:val="auto"/>
        </w:rPr>
        <w:t>THE BOARD RECOMMENDS THAT YOU VOTE “FOR” THE APPROVAL OF THE EQUITY INCENTIVE PLAN AS DESCRIBED ABOVE AND SET FORTH IN APPENDIX C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type w:val="continuous"/>
        </w:sectPr>
      </w:pPr>
    </w:p>
    <w:bookmarkStart w:id="29" w:name="page30"/>
    <w:bookmarkEnd w:id="29"/>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DIRECTOR COMPENSATION</w:t>
      </w:r>
    </w:p>
    <w:p>
      <w:pPr>
        <w:spacing w:after="0" w:line="221"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All non-employee directors received both restricted shares and cash compensation. Any directors who are also our employees do not receive compensation for their service as directors. The following table provides compensation information for fiscal 2023 for each of our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125730</wp:posOffset>
            </wp:positionV>
            <wp:extent cx="436499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4364990" cy="7620"/>
                    </a:xfrm>
                    <a:prstGeom prst="rect">
                      <a:avLst/>
                    </a:prstGeom>
                    <a:noFill/>
                  </pic:spPr>
                </pic:pic>
              </a:graphicData>
            </a:graphic>
          </wp:anchor>
        </w:drawing>
      </w:r>
    </w:p>
    <w:p>
      <w:pPr>
        <w:spacing w:after="0" w:line="187" w:lineRule="exact"/>
        <w:rPr>
          <w:sz w:val="20"/>
          <w:szCs w:val="20"/>
          <w:color w:val="auto"/>
        </w:rPr>
      </w:pPr>
    </w:p>
    <w:tbl>
      <w:tblPr>
        <w:tblLayout w:type="fixed"/>
        <w:tblInd w:w="1060" w:type="dxa"/>
        <w:tblCellMar>
          <w:top w:w="0" w:type="dxa"/>
          <w:left w:w="0" w:type="dxa"/>
          <w:bottom w:w="0" w:type="dxa"/>
          <w:right w:w="0" w:type="dxa"/>
        </w:tblCellMar>
      </w:tblPr>
      <w:tr>
        <w:trPr>
          <w:trHeight w:val="250"/>
        </w:trPr>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13"/>
              <w:spacing w:after="0"/>
              <w:rPr>
                <w:sz w:val="20"/>
                <w:szCs w:val="20"/>
                <w:color w:val="auto"/>
              </w:rPr>
            </w:pPr>
            <w:r>
              <w:rPr>
                <w:rFonts w:ascii="Times New Roman" w:cs="Times New Roman" w:eastAsia="Times New Roman" w:hAnsi="Times New Roman"/>
                <w:sz w:val="20"/>
                <w:szCs w:val="20"/>
                <w:b w:val="1"/>
                <w:bCs w:val="1"/>
                <w:color w:val="auto"/>
              </w:rPr>
              <w:t>Fees Earned</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25"/>
        </w:trPr>
        <w:tc>
          <w:tcPr>
            <w:tcW w:w="3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13"/>
              <w:spacing w:after="0" w:line="225" w:lineRule="exact"/>
              <w:rPr>
                <w:sz w:val="20"/>
                <w:szCs w:val="20"/>
                <w:color w:val="auto"/>
              </w:rPr>
            </w:pPr>
            <w:r>
              <w:rPr>
                <w:rFonts w:ascii="Times New Roman" w:cs="Times New Roman" w:eastAsia="Times New Roman" w:hAnsi="Times New Roman"/>
                <w:sz w:val="20"/>
                <w:szCs w:val="20"/>
                <w:b w:val="1"/>
                <w:bCs w:val="1"/>
                <w:color w:val="auto"/>
              </w:rPr>
              <w:t>or Paid in</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ind w:right="320"/>
              <w:spacing w:after="0" w:line="225" w:lineRule="exact"/>
              <w:rPr>
                <w:sz w:val="20"/>
                <w:szCs w:val="20"/>
                <w:color w:val="auto"/>
              </w:rPr>
            </w:pPr>
            <w:r>
              <w:rPr>
                <w:rFonts w:ascii="Times New Roman" w:cs="Times New Roman" w:eastAsia="Times New Roman" w:hAnsi="Times New Roman"/>
                <w:sz w:val="20"/>
                <w:szCs w:val="20"/>
                <w:b w:val="1"/>
                <w:bCs w:val="1"/>
                <w:color w:val="auto"/>
              </w:rPr>
              <w:t>Stock</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50"/>
        </w:trPr>
        <w:tc>
          <w:tcPr>
            <w:tcW w:w="3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20"/>
                <w:szCs w:val="20"/>
                <w:b w:val="1"/>
                <w:bCs w:val="1"/>
                <w:color w:val="auto"/>
              </w:rPr>
              <w:t>Cash</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8"/>
              </w:rPr>
              <w:t>Awards</w:t>
            </w:r>
          </w:p>
        </w:tc>
        <w:tc>
          <w:tcPr>
            <w:tcW w:w="140" w:type="dxa"/>
            <w:vAlign w:val="bottom"/>
          </w:tcPr>
          <w:p>
            <w:pPr>
              <w:spacing w:after="0"/>
              <w:rPr>
                <w:sz w:val="21"/>
                <w:szCs w:val="21"/>
                <w:color w:val="auto"/>
              </w:rPr>
            </w:pP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72"/>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2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20"/>
                <w:szCs w:val="20"/>
                <w:b w:val="1"/>
                <w:bCs w:val="1"/>
                <w:color w:val="auto"/>
              </w:rPr>
              <w:t>($)</w:t>
            </w:r>
          </w:p>
        </w:tc>
        <w:tc>
          <w:tcPr>
            <w:tcW w:w="22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(1) (2)</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42"/>
        </w:trPr>
        <w:tc>
          <w:tcPr>
            <w:tcW w:w="3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R. Floyd (3)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100,605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240,605</w:t>
            </w:r>
          </w:p>
        </w:tc>
      </w:tr>
      <w:tr>
        <w:trPr>
          <w:trHeight w:val="237"/>
        </w:trPr>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Douglas J. Babb</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71,986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90,000</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161,986</w:t>
            </w:r>
          </w:p>
        </w:tc>
      </w:tr>
      <w:tr>
        <w:trPr>
          <w:trHeight w:val="37"/>
        </w:trPr>
        <w:tc>
          <w:tcPr>
            <w:tcW w:w="3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5"/>
        </w:trPr>
        <w:tc>
          <w:tcPr>
            <w:tcW w:w="3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N. Borgese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70,632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160,632</w:t>
            </w:r>
          </w:p>
        </w:tc>
      </w:tr>
      <w:tr>
        <w:trPr>
          <w:trHeight w:val="237"/>
        </w:trPr>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 Buller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72,349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90,000</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162,349</w:t>
            </w:r>
          </w:p>
        </w:tc>
      </w:tr>
      <w:tr>
        <w:trPr>
          <w:trHeight w:val="37"/>
        </w:trPr>
        <w:tc>
          <w:tcPr>
            <w:tcW w:w="3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5"/>
        </w:trPr>
        <w:tc>
          <w:tcPr>
            <w:tcW w:w="3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Nancy Faginas-Cody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71,868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161,868</w:t>
            </w:r>
          </w:p>
        </w:tc>
      </w:tr>
      <w:tr>
        <w:trPr>
          <w:trHeight w:val="237"/>
        </w:trPr>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Deborah Gonzalez</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90,000</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155,000</w:t>
            </w:r>
          </w:p>
        </w:tc>
      </w:tr>
      <w:tr>
        <w:trPr>
          <w:trHeight w:val="37"/>
        </w:trPr>
        <w:tc>
          <w:tcPr>
            <w:tcW w:w="3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5"/>
        </w:trPr>
        <w:tc>
          <w:tcPr>
            <w:tcW w:w="3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Dean C. Kehler (4)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r>
      <w:tr>
        <w:trPr>
          <w:trHeight w:val="237"/>
        </w:trPr>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Carol ("Lili") Lynton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75,302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90,000</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165,302</w:t>
            </w:r>
          </w:p>
        </w:tc>
      </w:tr>
      <w:tr>
        <w:trPr>
          <w:trHeight w:val="37"/>
        </w:trPr>
        <w:tc>
          <w:tcPr>
            <w:tcW w:w="3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5"/>
        </w:trPr>
        <w:tc>
          <w:tcPr>
            <w:tcW w:w="3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G. Maselli (3)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75,659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165,659</w:t>
            </w:r>
          </w:p>
        </w:tc>
      </w:tr>
      <w:tr>
        <w:trPr>
          <w:trHeight w:val="237"/>
        </w:trPr>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M. Roth (5)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90,000</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138,750</w:t>
            </w:r>
          </w:p>
        </w:tc>
      </w:tr>
      <w:tr>
        <w:trPr>
          <w:trHeight w:val="42"/>
        </w:trPr>
        <w:tc>
          <w:tcPr>
            <w:tcW w:w="3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bl>
    <w:p>
      <w:pPr>
        <w:spacing w:after="0" w:line="100" w:lineRule="exact"/>
        <w:rPr>
          <w:sz w:val="20"/>
          <w:szCs w:val="20"/>
          <w:color w:val="auto"/>
        </w:rPr>
      </w:pPr>
    </w:p>
    <w:p>
      <w:pPr>
        <w:jc w:val="both"/>
        <w:ind w:left="500" w:right="219" w:hanging="297"/>
        <w:spacing w:after="0" w:line="275" w:lineRule="auto"/>
        <w:tabs>
          <w:tab w:leader="none" w:pos="5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grant date fair value of restricted shares granted in 2023, computed in accordance with Financial Accounting Standards Board Accounting Standards Codification Topic 718 (FASB ASC Topic 718). Please see Note 11 to our consolidated financial statements in our Annual Report for assumptions made in the valuation of the equity awards.</w:t>
      </w:r>
    </w:p>
    <w:p>
      <w:pPr>
        <w:spacing w:after="0" w:line="19" w:lineRule="exact"/>
        <w:rPr>
          <w:rFonts w:ascii="Times New Roman" w:cs="Times New Roman" w:eastAsia="Times New Roman" w:hAnsi="Times New Roman"/>
          <w:sz w:val="15"/>
          <w:szCs w:val="15"/>
          <w:color w:val="auto"/>
        </w:rPr>
      </w:pPr>
    </w:p>
    <w:p>
      <w:pPr>
        <w:ind w:left="500" w:right="219" w:hanging="297"/>
        <w:spacing w:after="0" w:line="290" w:lineRule="auto"/>
        <w:tabs>
          <w:tab w:leader="none" w:pos="5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27, 2023, MMs/Mme. Maselli, Babb, Borgese, Buller, Floyd, Lynton, Gonzalez and Faginas-Cody had 18,982, 14,870, 14,870, 14,870, 20,389, 14,870, 13,730 and 13,730 unvested restricted shares in the aggregate outstanding, respectively.</w:t>
      </w:r>
    </w:p>
    <w:p>
      <w:pPr>
        <w:spacing w:after="0" w:line="158" w:lineRule="exact"/>
        <w:rPr>
          <w:rFonts w:ascii="Times New Roman" w:cs="Times New Roman" w:eastAsia="Times New Roman" w:hAnsi="Times New Roman"/>
          <w:sz w:val="15"/>
          <w:szCs w:val="15"/>
          <w:color w:val="auto"/>
        </w:rPr>
      </w:pPr>
    </w:p>
    <w:p>
      <w:pPr>
        <w:ind w:left="500" w:hanging="297"/>
        <w:spacing w:after="0"/>
        <w:tabs>
          <w:tab w:leader="none" w:pos="5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Floyd was elected Chairperson of our Board on April 18, 2023, following Mr. Maselli’s resignation as Chairperson on the same date.</w:t>
      </w:r>
    </w:p>
    <w:p>
      <w:pPr>
        <w:spacing w:after="0" w:line="214" w:lineRule="exact"/>
        <w:rPr>
          <w:rFonts w:ascii="Times New Roman" w:cs="Times New Roman" w:eastAsia="Times New Roman" w:hAnsi="Times New Roman"/>
          <w:sz w:val="15"/>
          <w:szCs w:val="15"/>
          <w:color w:val="auto"/>
        </w:rPr>
      </w:pPr>
    </w:p>
    <w:p>
      <w:pPr>
        <w:ind w:left="500" w:hanging="297"/>
        <w:spacing w:after="0"/>
        <w:tabs>
          <w:tab w:leader="none" w:pos="5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Kehler resigned from the Board on March 27, 2023, and did not hold any unvested equity awards as of December 27, 2023.</w:t>
      </w:r>
    </w:p>
    <w:p>
      <w:pPr>
        <w:spacing w:after="0" w:line="214" w:lineRule="exact"/>
        <w:rPr>
          <w:rFonts w:ascii="Times New Roman" w:cs="Times New Roman" w:eastAsia="Times New Roman" w:hAnsi="Times New Roman"/>
          <w:sz w:val="15"/>
          <w:szCs w:val="15"/>
          <w:color w:val="auto"/>
        </w:rPr>
      </w:pPr>
    </w:p>
    <w:p>
      <w:pPr>
        <w:ind w:left="500" w:hanging="297"/>
        <w:spacing w:after="0"/>
        <w:tabs>
          <w:tab w:leader="none" w:pos="5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Roth resigned from the Board on August 16, 2023, and did not hold any unvested equity awards as of December 27, 2023.</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Director Compensation Policy</w:t>
      </w:r>
    </w:p>
    <w:p>
      <w:pPr>
        <w:spacing w:after="0" w:line="208"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color w:val="auto"/>
        </w:rPr>
        <w:t>Each non-employee director except for Mr. Floyd, as Chairperson of the Board in 2023, received an annual grant of 9,934 restricted shares, calculated by dividing $90,000 by the closing price of our stock on May 9, 2023. Mr. Floyd, as Chairperson of the Board in 2023, received 15,453 restricted shares, calculated by dividing $140,000 by the closing price of our stock on May 9, 2023. These grants vest in full on the first anniversary of the grant date and accelerate and fully vest upon a termination of the director’s service by the Company without “cause” or due to the director’s death or “disability.”</w:t>
      </w:r>
    </w:p>
    <w:p>
      <w:pPr>
        <w:spacing w:after="0" w:line="178"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In addition, each of our non-employee directors except the Chairperson of the Board, received an annual cash retainer fee of $60,000 in 2023, which was paid quarterly. Mr. Floyd, as Chairperson of the Board in 2023, received an annual cash retainer fee of $100,605 in 2023, which was also paid quarterly.</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30" w:name="page31"/>
    <w:bookmarkEnd w:id="30"/>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Also, we provided the following annual fees for non-employee directors for committee service, which were paid quarterly:</w:t>
      </w:r>
    </w:p>
    <w:p>
      <w:pPr>
        <w:spacing w:after="0" w:line="204" w:lineRule="exact"/>
        <w:rPr>
          <w:sz w:val="20"/>
          <w:szCs w:val="20"/>
          <w:color w:val="auto"/>
        </w:rPr>
      </w:pPr>
    </w:p>
    <w:p>
      <w:pPr>
        <w:ind w:left="1120" w:hanging="293"/>
        <w:spacing w:after="0"/>
        <w:tabs>
          <w:tab w:leader="none" w:pos="11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Committee chairperson: $15,000</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Committee chairperson: $12,500</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Nominating and Corporate Governance Committee chairperson $10,000</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committee members: $5,000</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Stock Ownership Guidelines Applicable to our Non-Employee Directors</w:t>
      </w:r>
    </w:p>
    <w:p>
      <w:pPr>
        <w:spacing w:after="0" w:line="208"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17"/>
          <w:szCs w:val="17"/>
          <w:color w:val="auto"/>
        </w:rPr>
        <w:t>Our Board has adopted Stock Ownership Guidelines that require each of our non-employee directors to own shares of our common stock equal in value to five times the annual Board cash retainer. Shares subject to stock options and unvested stock or stock unit awards subject to performance-based vesting are not considered owned for purposes of these guidelines. The non-employee directors are required to be in compliance with the required ownership level within five years from the date such person first becomes subject to the guidelines. Each of the non-employee directors is currently in compliance with the required ownership levels or is within the five-year transition period.</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GOVERNANCE OF THE COMPANY</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Board Composition</w:t>
      </w:r>
    </w:p>
    <w:p>
      <w:pPr>
        <w:spacing w:after="0" w:line="208"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Our certificate of incorporation provides that the number of directors on our Board is to be fixed exclusively pursuant to Board resolution. The exact size of our Board shall be determined from time to time by the Board. Our Board currently consists of nine directors.</w:t>
      </w:r>
    </w:p>
    <w:p>
      <w:pPr>
        <w:spacing w:after="0" w:line="169"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17"/>
          <w:szCs w:val="17"/>
          <w:color w:val="auto"/>
        </w:rPr>
        <w:t>Our Board is divided into three classes as set forth below, with each director serving a three-year term and with one class to be elected at each year’s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118745</wp:posOffset>
            </wp:positionV>
            <wp:extent cx="2833370" cy="23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833370" cy="23495"/>
                    </a:xfrm>
                    <a:prstGeom prst="rect">
                      <a:avLst/>
                    </a:prstGeom>
                    <a:noFill/>
                  </pic:spPr>
                </pic:pic>
              </a:graphicData>
            </a:graphic>
          </wp:anchor>
        </w:drawing>
      </w:r>
    </w:p>
    <w:p>
      <w:pPr>
        <w:spacing w:after="0" w:line="201" w:lineRule="exact"/>
        <w:rPr>
          <w:sz w:val="20"/>
          <w:szCs w:val="20"/>
          <w:color w:val="auto"/>
        </w:rPr>
      </w:pPr>
    </w:p>
    <w:tbl>
      <w:tblPr>
        <w:tblLayout w:type="fixed"/>
        <w:tblInd w:w="2280" w:type="dxa"/>
        <w:tblCellMar>
          <w:top w:w="0" w:type="dxa"/>
          <w:left w:w="0" w:type="dxa"/>
          <w:bottom w:w="0" w:type="dxa"/>
          <w:right w:w="0" w:type="dxa"/>
        </w:tblCellMar>
      </w:tblPr>
      <w:tr>
        <w:trPr>
          <w:trHeight w:val="272"/>
        </w:trPr>
        <w:tc>
          <w:tcPr>
            <w:tcW w:w="17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24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Class</w:t>
            </w:r>
          </w:p>
        </w:tc>
        <w:tc>
          <w:tcPr>
            <w:tcW w:w="1760" w:type="dxa"/>
            <w:vAlign w:val="bottom"/>
            <w:gridSpan w:val="2"/>
          </w:tcPr>
          <w:p>
            <w:pPr>
              <w:jc w:val="right"/>
              <w:ind w:right="357"/>
              <w:spacing w:after="0"/>
              <w:rPr>
                <w:sz w:val="20"/>
                <w:szCs w:val="20"/>
                <w:color w:val="auto"/>
              </w:rPr>
            </w:pPr>
            <w:r>
              <w:rPr>
                <w:rFonts w:ascii="Times New Roman" w:cs="Times New Roman" w:eastAsia="Times New Roman" w:hAnsi="Times New Roman"/>
                <w:sz w:val="20"/>
                <w:szCs w:val="20"/>
                <w:b w:val="1"/>
                <w:bCs w:val="1"/>
                <w:color w:val="auto"/>
              </w:rPr>
              <w:t>Term Expires</w:t>
            </w:r>
          </w:p>
        </w:tc>
      </w:tr>
      <w:tr>
        <w:trPr>
          <w:trHeight w:val="242"/>
        </w:trPr>
        <w:tc>
          <w:tcPr>
            <w:tcW w:w="17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Michael G. Maselli (1)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rPr>
              <w:t>2024</w:t>
            </w:r>
          </w:p>
        </w:tc>
      </w:tr>
      <w:tr>
        <w:trPr>
          <w:trHeight w:val="23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Deborah Gonzalez</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w:t>
            </w:r>
          </w:p>
        </w:tc>
        <w:tc>
          <w:tcPr>
            <w:tcW w:w="1760" w:type="dxa"/>
            <w:vAlign w:val="bottom"/>
            <w:gridSpan w:val="2"/>
          </w:tcPr>
          <w:p>
            <w:pPr>
              <w:jc w:val="right"/>
              <w:ind w:right="557"/>
              <w:spacing w:after="0"/>
              <w:rPr>
                <w:sz w:val="20"/>
                <w:szCs w:val="20"/>
                <w:color w:val="auto"/>
              </w:rPr>
            </w:pPr>
            <w:r>
              <w:rPr>
                <w:rFonts w:ascii="Times New Roman" w:cs="Times New Roman" w:eastAsia="Times New Roman" w:hAnsi="Times New Roman"/>
                <w:sz w:val="17"/>
                <w:szCs w:val="17"/>
                <w:color w:val="auto"/>
              </w:rPr>
              <w:t>2024</w:t>
            </w:r>
          </w:p>
        </w:tc>
      </w:tr>
      <w:tr>
        <w:trPr>
          <w:trHeight w:val="37"/>
        </w:trPr>
        <w:tc>
          <w:tcPr>
            <w:tcW w:w="1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5"/>
        </w:trPr>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Carol (“Lili”) Lynton (1)</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w:t>
            </w:r>
          </w:p>
        </w:tc>
        <w:tc>
          <w:tcPr>
            <w:tcW w:w="1760" w:type="dxa"/>
            <w:vAlign w:val="bottom"/>
            <w:tcBorders>
              <w:bottom w:val="single" w:sz="8" w:color="CCEEFF"/>
            </w:tcBorders>
            <w:gridSpan w:val="2"/>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rPr>
              <w:t>2024</w:t>
            </w:r>
          </w:p>
        </w:tc>
      </w:tr>
      <w:tr>
        <w:trPr>
          <w:trHeight w:val="23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Elizabeth Williams (2)</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w:t>
            </w:r>
          </w:p>
        </w:tc>
        <w:tc>
          <w:tcPr>
            <w:tcW w:w="1760" w:type="dxa"/>
            <w:vAlign w:val="bottom"/>
            <w:gridSpan w:val="2"/>
          </w:tcPr>
          <w:p>
            <w:pPr>
              <w:jc w:val="right"/>
              <w:ind w:right="557"/>
              <w:spacing w:after="0"/>
              <w:rPr>
                <w:sz w:val="20"/>
                <w:szCs w:val="20"/>
                <w:color w:val="auto"/>
              </w:rPr>
            </w:pPr>
            <w:r>
              <w:rPr>
                <w:rFonts w:ascii="Times New Roman" w:cs="Times New Roman" w:eastAsia="Times New Roman" w:hAnsi="Times New Roman"/>
                <w:sz w:val="17"/>
                <w:szCs w:val="17"/>
                <w:color w:val="auto"/>
              </w:rPr>
              <w:t>2024</w:t>
            </w:r>
          </w:p>
        </w:tc>
      </w:tr>
      <w:tr>
        <w:trPr>
          <w:trHeight w:val="37"/>
        </w:trPr>
        <w:tc>
          <w:tcPr>
            <w:tcW w:w="1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5"/>
        </w:trPr>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William R. Floyd</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II</w:t>
            </w:r>
          </w:p>
        </w:tc>
        <w:tc>
          <w:tcPr>
            <w:tcW w:w="1760" w:type="dxa"/>
            <w:vAlign w:val="bottom"/>
            <w:tcBorders>
              <w:bottom w:val="single" w:sz="8" w:color="CCEEFF"/>
            </w:tcBorders>
            <w:gridSpan w:val="2"/>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rPr>
              <w:t>2025</w:t>
            </w:r>
          </w:p>
        </w:tc>
      </w:tr>
      <w:tr>
        <w:trPr>
          <w:trHeight w:val="23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Douglas J. Babb</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II</w:t>
            </w:r>
          </w:p>
        </w:tc>
        <w:tc>
          <w:tcPr>
            <w:tcW w:w="1760" w:type="dxa"/>
            <w:vAlign w:val="bottom"/>
            <w:gridSpan w:val="2"/>
          </w:tcPr>
          <w:p>
            <w:pPr>
              <w:jc w:val="right"/>
              <w:ind w:right="557"/>
              <w:spacing w:after="0"/>
              <w:rPr>
                <w:sz w:val="20"/>
                <w:szCs w:val="20"/>
                <w:color w:val="auto"/>
              </w:rPr>
            </w:pPr>
            <w:r>
              <w:rPr>
                <w:rFonts w:ascii="Times New Roman" w:cs="Times New Roman" w:eastAsia="Times New Roman" w:hAnsi="Times New Roman"/>
                <w:sz w:val="17"/>
                <w:szCs w:val="17"/>
                <w:color w:val="auto"/>
              </w:rPr>
              <w:t>2025</w:t>
            </w:r>
          </w:p>
        </w:tc>
      </w:tr>
      <w:tr>
        <w:trPr>
          <w:trHeight w:val="37"/>
        </w:trPr>
        <w:tc>
          <w:tcPr>
            <w:tcW w:w="1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5"/>
        </w:trPr>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Nancy Faginas-Cody</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II</w:t>
            </w:r>
          </w:p>
        </w:tc>
        <w:tc>
          <w:tcPr>
            <w:tcW w:w="1760" w:type="dxa"/>
            <w:vAlign w:val="bottom"/>
            <w:tcBorders>
              <w:bottom w:val="single" w:sz="8" w:color="CCEEFF"/>
            </w:tcBorders>
            <w:gridSpan w:val="2"/>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rPr>
              <w:t>2025</w:t>
            </w:r>
          </w:p>
        </w:tc>
      </w:tr>
      <w:tr>
        <w:trPr>
          <w:trHeight w:val="23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Samuel N. Borgese</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III</w:t>
            </w:r>
          </w:p>
        </w:tc>
        <w:tc>
          <w:tcPr>
            <w:tcW w:w="1760" w:type="dxa"/>
            <w:vAlign w:val="bottom"/>
            <w:gridSpan w:val="2"/>
          </w:tcPr>
          <w:p>
            <w:pPr>
              <w:jc w:val="right"/>
              <w:ind w:right="557"/>
              <w:spacing w:after="0"/>
              <w:rPr>
                <w:sz w:val="20"/>
                <w:szCs w:val="20"/>
                <w:color w:val="auto"/>
              </w:rPr>
            </w:pPr>
            <w:r>
              <w:rPr>
                <w:rFonts w:ascii="Times New Roman" w:cs="Times New Roman" w:eastAsia="Times New Roman" w:hAnsi="Times New Roman"/>
                <w:sz w:val="17"/>
                <w:szCs w:val="17"/>
                <w:color w:val="auto"/>
              </w:rPr>
              <w:t>2026</w:t>
            </w:r>
          </w:p>
        </w:tc>
      </w:tr>
      <w:tr>
        <w:trPr>
          <w:trHeight w:val="37"/>
        </w:trPr>
        <w:tc>
          <w:tcPr>
            <w:tcW w:w="1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37"/>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 Buller</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III</w:t>
            </w:r>
          </w:p>
        </w:tc>
        <w:tc>
          <w:tcPr>
            <w:tcW w:w="1760" w:type="dxa"/>
            <w:vAlign w:val="bottom"/>
            <w:gridSpan w:val="2"/>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rPr>
              <w:t>2026</w:t>
            </w:r>
          </w:p>
        </w:tc>
      </w:tr>
      <w:tr>
        <w:trPr>
          <w:trHeight w:val="37"/>
        </w:trPr>
        <w:tc>
          <w:tcPr>
            <w:tcW w:w="17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r>
    </w:tbl>
    <w:p>
      <w:pPr>
        <w:spacing w:after="0" w:line="88" w:lineRule="exact"/>
        <w:rPr>
          <w:sz w:val="20"/>
          <w:szCs w:val="20"/>
          <w:color w:val="auto"/>
        </w:rPr>
      </w:pPr>
    </w:p>
    <w:p>
      <w:pPr>
        <w:ind w:left="1120" w:right="219" w:hanging="293"/>
        <w:spacing w:after="0" w:line="290" w:lineRule="auto"/>
        <w:tabs>
          <w:tab w:leader="none" w:pos="112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directors Mr. Maselli and Ms. Lynton will end at the 2024 annual meeting. They will each not be nominees for director and will retire from the Board immediately prior to the 2024 annual meeting.</w:t>
      </w:r>
    </w:p>
    <w:p>
      <w:pPr>
        <w:spacing w:after="0" w:line="158" w:lineRule="exact"/>
        <w:rPr>
          <w:rFonts w:ascii="Times New Roman" w:cs="Times New Roman" w:eastAsia="Times New Roman" w:hAnsi="Times New Roman"/>
          <w:sz w:val="15"/>
          <w:szCs w:val="15"/>
          <w:color w:val="auto"/>
        </w:rPr>
      </w:pPr>
    </w:p>
    <w:p>
      <w:pPr>
        <w:jc w:val="both"/>
        <w:ind w:left="1120" w:right="219" w:hanging="293"/>
        <w:spacing w:after="0" w:line="275" w:lineRule="auto"/>
        <w:tabs>
          <w:tab w:leader="none" w:pos="112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director classes that consist, as nearly as may be possible, of one-third of the total number of directors constituting the Board of Directors (i.e., seven at and immediately after the annual meeting), Ms. Williams was appointed to the Board as a Class I director in March 2024 and has been nominated for election as a Class I director at the 2024 annual meeting.</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31" w:name="page32"/>
    <w:bookmarkEnd w:id="31"/>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17"/>
          <w:szCs w:val="17"/>
          <w:color w:val="auto"/>
        </w:rPr>
        <w:t>On March 27, 2023, Dean C. Kehler, a member of our Board since 2005, resigned as a director of the Board. Mr. Kehler’s resignation was in connection with the distribution on March 28, 2023, by Trimaran Pollo Partners L.L.C. (“LLC”) and certain of LLC’s affiliates (collectively, the “Trimaran Group”) of substantially all of the shares of the Company’s common stock held by the Trimaran Group to their respective investors, members and limited partners (the “Distribution”) and planned liquidation of the Trimaran Group. Mr. Kehler is the managing member of Trimaran Capital, L.L.C., which is the managing member of LLC. On April 21, 2023, the Board resolved to reduce the size of the Board from eleven to ten directors.</w:t>
      </w:r>
    </w:p>
    <w:p>
      <w:pPr>
        <w:spacing w:after="0" w:line="178" w:lineRule="exact"/>
        <w:rPr>
          <w:sz w:val="20"/>
          <w:szCs w:val="20"/>
          <w:color w:val="auto"/>
        </w:rPr>
      </w:pPr>
    </w:p>
    <w:p>
      <w:pPr>
        <w:jc w:val="both"/>
        <w:ind w:left="200" w:right="219"/>
        <w:spacing w:after="0" w:line="274" w:lineRule="auto"/>
        <w:rPr>
          <w:sz w:val="20"/>
          <w:szCs w:val="20"/>
          <w:color w:val="auto"/>
        </w:rPr>
      </w:pPr>
      <w:r>
        <w:rPr>
          <w:rFonts w:ascii="Times New Roman" w:cs="Times New Roman" w:eastAsia="Times New Roman" w:hAnsi="Times New Roman"/>
          <w:sz w:val="16"/>
          <w:szCs w:val="16"/>
          <w:color w:val="auto"/>
        </w:rPr>
        <w:t>On August 16, 2023, John M. Roth resigned as a director of the Board. Mr. Roth was a member of our Board since 2007 and his resignation was in connection with the Company’s previously-announced repurchase of shares of the Company’s common stock from certain affiliates of Freeman Spogli &amp; Co. (“Freeman Spogli”). Mr. Roth is a general partner and the chief executive officer of Freeman Spogli. In connection with Mr. Roth’s resignation, the Board reduced the size of the Board to nine directors.</w:t>
      </w:r>
    </w:p>
    <w:p>
      <w:pPr>
        <w:spacing w:after="0" w:line="160"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17"/>
          <w:szCs w:val="17"/>
          <w:color w:val="auto"/>
        </w:rPr>
        <w:t>Effective as of November 3, 2023, Laurance Roberts resigned from his position as Chief Executive Officer and President and as a member of the Board.</w:t>
      </w:r>
    </w:p>
    <w:p>
      <w:pPr>
        <w:spacing w:after="0" w:line="158"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17"/>
          <w:szCs w:val="17"/>
          <w:color w:val="auto"/>
        </w:rPr>
        <w:t xml:space="preserve">We are a party to a stockholders’ agreement with the LLC, whose members are investment funds managed by affiliates of Trimaran Capital Partners (with its predecessors and affiliates and certain funds managed by it, collectively, “Trimaran Capital”) and Freeman Spogli, certain members of our management, and other third-party investors (“Stockholders’ Agreement”). The Stockholders’ Agreement provides certain rights to LLC, including registration rights for common stock owned by LLC. The limited liability company operating agreement of LLC also provided rights to Trimaran Capital and Freeman Spogli, including certain registration rights. See </w:t>
      </w:r>
      <w:r>
        <w:rPr>
          <w:rFonts w:ascii="Times New Roman" w:cs="Times New Roman" w:eastAsia="Times New Roman" w:hAnsi="Times New Roman"/>
          <w:sz w:val="17"/>
          <w:szCs w:val="17"/>
          <w:i w:val="1"/>
          <w:iCs w:val="1"/>
          <w:color w:val="auto"/>
        </w:rPr>
        <w:t>“Certain Relationships and Related Party Transactions – Stockholders Agreement”</w:t>
      </w:r>
      <w:r>
        <w:rPr>
          <w:rFonts w:ascii="Times New Roman" w:cs="Times New Roman" w:eastAsia="Times New Roman" w:hAnsi="Times New Roman"/>
          <w:sz w:val="17"/>
          <w:szCs w:val="17"/>
          <w:color w:val="auto"/>
        </w:rPr>
        <w:t xml:space="preserve"> for additional information. Thus, pursuant to the Stockholders Agreement, the Company filed a registration statement on Form S-3 (File No. 333-269807) (the “Registration Statement”), which was declared effective on March 1, 2023. The Registration Statement registered the resale of up to 16,818,465 shares of the Company’s common stock by the selling stockholders named therein, including LLC, and pursuant to which LLC could sell any of the shares that it continued to hold following the Distribution. As disclosed in the Registration Statement, certain of the selling stockholders named in the Registration Statement were permitted to distribute their shares to their limited partners, general partners, stockholders or others and any subsequent sales were at the new holder’s discretion. The shares distributed in the Distribution are generally freely tradable by the recipients under the Securities Act, following the completion of the Distribution.</w:t>
      </w:r>
    </w:p>
    <w:p>
      <w:pPr>
        <w:spacing w:after="0" w:line="183" w:lineRule="exact"/>
        <w:rPr>
          <w:sz w:val="20"/>
          <w:szCs w:val="20"/>
          <w:color w:val="auto"/>
        </w:rPr>
      </w:pPr>
    </w:p>
    <w:p>
      <w:pPr>
        <w:ind w:left="200" w:right="599"/>
        <w:spacing w:after="0" w:line="271" w:lineRule="auto"/>
        <w:rPr>
          <w:sz w:val="20"/>
          <w:szCs w:val="20"/>
          <w:color w:val="auto"/>
        </w:rPr>
      </w:pPr>
      <w:r>
        <w:rPr>
          <w:rFonts w:ascii="Times New Roman" w:cs="Times New Roman" w:eastAsia="Times New Roman" w:hAnsi="Times New Roman"/>
          <w:sz w:val="17"/>
          <w:szCs w:val="17"/>
          <w:color w:val="auto"/>
        </w:rPr>
        <w:t>On March 28, 2023, Trimaran Group distributed substantially all of the shares of the Company’s common stock held by the Trimaran Group to their respective investors, members and limited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32" w:name="page33"/>
    <w:bookmarkEnd w:id="32"/>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Board Diversity Matrix</w:t>
      </w:r>
    </w:p>
    <w:p>
      <w:pPr>
        <w:spacing w:after="0" w:line="108" w:lineRule="exact"/>
        <w:rPr>
          <w:sz w:val="20"/>
          <w:szCs w:val="20"/>
          <w:color w:val="auto"/>
        </w:rPr>
      </w:pPr>
    </w:p>
    <w:p>
      <w:pPr>
        <w:ind w:left="200" w:right="219"/>
        <w:spacing w:after="0" w:line="271" w:lineRule="auto"/>
        <w:rPr>
          <w:sz w:val="20"/>
          <w:szCs w:val="20"/>
          <w:color w:val="auto"/>
        </w:rPr>
      </w:pPr>
      <w:r>
        <w:rPr>
          <w:rFonts w:ascii="Times New Roman" w:cs="Times New Roman" w:eastAsia="Times New Roman" w:hAnsi="Times New Roman"/>
          <w:sz w:val="17"/>
          <w:szCs w:val="17"/>
          <w:color w:val="auto"/>
        </w:rPr>
        <w:t>We are committed to creating a diverse and inclusive culture and have furthered these efforts by focusing on increasing diversity, both within our management team as well as on the Board of Directors.</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223"/>
        </w:trPr>
        <w:tc>
          <w:tcPr>
            <w:tcW w:w="3300" w:type="dxa"/>
            <w:vAlign w:val="bottom"/>
            <w:tcBorders>
              <w:top w:val="single" w:sz="8" w:color="auto"/>
            </w:tcBorders>
            <w:shd w:val="clear" w:color="auto" w:fill="CCEEFF"/>
          </w:tcPr>
          <w:p>
            <w:pPr>
              <w:ind w:left="100"/>
              <w:spacing w:after="0" w:line="223" w:lineRule="exact"/>
              <w:rPr>
                <w:sz w:val="20"/>
                <w:szCs w:val="20"/>
                <w:color w:val="auto"/>
              </w:rPr>
            </w:pPr>
            <w:r>
              <w:rPr>
                <w:rFonts w:ascii="Times New Roman" w:cs="Times New Roman" w:eastAsia="Times New Roman" w:hAnsi="Times New Roman"/>
                <w:sz w:val="20"/>
                <w:szCs w:val="20"/>
                <w:b w:val="1"/>
                <w:bCs w:val="1"/>
                <w:color w:val="auto"/>
              </w:rPr>
              <w:t>Total Number of Directors</w:t>
            </w:r>
          </w:p>
        </w:tc>
        <w:tc>
          <w:tcPr>
            <w:tcW w:w="1840" w:type="dxa"/>
            <w:vAlign w:val="bottom"/>
            <w:tcBorders>
              <w:top w:val="single" w:sz="8" w:color="auto"/>
            </w:tcBorders>
            <w:shd w:val="clear" w:color="auto" w:fill="CCEEFF"/>
          </w:tcPr>
          <w:p>
            <w:pPr>
              <w:spacing w:after="0"/>
              <w:rPr>
                <w:sz w:val="19"/>
                <w:szCs w:val="19"/>
                <w:color w:val="auto"/>
              </w:rPr>
            </w:pPr>
          </w:p>
        </w:tc>
        <w:tc>
          <w:tcPr>
            <w:tcW w:w="3460" w:type="dxa"/>
            <w:vAlign w:val="bottom"/>
            <w:tcBorders>
              <w:top w:val="single" w:sz="8" w:color="auto"/>
            </w:tcBorders>
            <w:vMerge w:val="restart"/>
            <w:shd w:val="clear" w:color="auto" w:fill="CCEEFF"/>
          </w:tcPr>
          <w:p>
            <w:pPr>
              <w:jc w:val="right"/>
              <w:ind w:right="2733"/>
              <w:spacing w:after="0"/>
              <w:rPr>
                <w:sz w:val="20"/>
                <w:szCs w:val="20"/>
                <w:color w:val="auto"/>
              </w:rPr>
            </w:pPr>
            <w:r>
              <w:rPr>
                <w:rFonts w:ascii="Times New Roman" w:cs="Times New Roman" w:eastAsia="Times New Roman" w:hAnsi="Times New Roman"/>
                <w:sz w:val="20"/>
                <w:szCs w:val="20"/>
                <w:b w:val="1"/>
                <w:bCs w:val="1"/>
                <w:color w:val="auto"/>
              </w:rPr>
              <w:t>7</w:t>
            </w:r>
          </w:p>
        </w:tc>
        <w:tc>
          <w:tcPr>
            <w:tcW w:w="0" w:type="dxa"/>
            <w:vAlign w:val="bottom"/>
          </w:tcPr>
          <w:p>
            <w:pPr>
              <w:spacing w:after="0"/>
              <w:rPr>
                <w:sz w:val="1"/>
                <w:szCs w:val="1"/>
                <w:color w:val="auto"/>
              </w:rPr>
            </w:pPr>
          </w:p>
        </w:tc>
      </w:tr>
      <w:tr>
        <w:trPr>
          <w:trHeight w:val="137"/>
        </w:trPr>
        <w:tc>
          <w:tcPr>
            <w:tcW w:w="3300" w:type="dxa"/>
            <w:vAlign w:val="bottom"/>
            <w:vMerge w:val="restart"/>
            <w:shd w:val="clear" w:color="auto" w:fill="CCEEFF"/>
          </w:tcPr>
          <w:p>
            <w:pPr>
              <w:ind w:left="100"/>
              <w:spacing w:after="0" w:line="227" w:lineRule="exact"/>
              <w:rPr>
                <w:sz w:val="20"/>
                <w:szCs w:val="20"/>
                <w:color w:val="auto"/>
              </w:rPr>
            </w:pPr>
            <w:r>
              <w:rPr>
                <w:rFonts w:ascii="Times New Roman" w:cs="Times New Roman" w:eastAsia="Times New Roman" w:hAnsi="Times New Roman"/>
                <w:sz w:val="17"/>
                <w:szCs w:val="17"/>
                <w:i w:val="1"/>
                <w:iCs w:val="1"/>
                <w:color w:val="auto"/>
              </w:rPr>
              <w:t xml:space="preserve">as of April 16, 2024 </w:t>
            </w:r>
            <w:r>
              <w:rPr>
                <w:rFonts w:ascii="Times New Roman" w:cs="Times New Roman" w:eastAsia="Times New Roman" w:hAnsi="Times New Roman"/>
                <w:sz w:val="24"/>
                <w:szCs w:val="24"/>
                <w:i w:val="1"/>
                <w:iCs w:val="1"/>
                <w:color w:val="auto"/>
                <w:vertAlign w:val="superscript"/>
              </w:rPr>
              <w:t>(1)</w:t>
            </w:r>
          </w:p>
        </w:tc>
        <w:tc>
          <w:tcPr>
            <w:tcW w:w="1840" w:type="dxa"/>
            <w:vAlign w:val="bottom"/>
            <w:shd w:val="clear" w:color="auto" w:fill="CCEEFF"/>
          </w:tcPr>
          <w:p>
            <w:pPr>
              <w:spacing w:after="0"/>
              <w:rPr>
                <w:sz w:val="11"/>
                <w:szCs w:val="11"/>
                <w:color w:val="auto"/>
              </w:rPr>
            </w:pPr>
          </w:p>
        </w:tc>
        <w:tc>
          <w:tcPr>
            <w:tcW w:w="34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300" w:type="dxa"/>
            <w:vAlign w:val="bottom"/>
            <w:tcBorders>
              <w:bottom w:val="single" w:sz="8" w:color="auto"/>
            </w:tcBorders>
            <w:vMerge w:val="continue"/>
            <w:shd w:val="clear" w:color="auto" w:fill="CCEEFF"/>
          </w:tcPr>
          <w:p>
            <w:pPr>
              <w:spacing w:after="0"/>
              <w:rPr>
                <w:sz w:val="8"/>
                <w:szCs w:val="8"/>
                <w:color w:val="auto"/>
              </w:rPr>
            </w:pPr>
          </w:p>
        </w:tc>
        <w:tc>
          <w:tcPr>
            <w:tcW w:w="1840" w:type="dxa"/>
            <w:vAlign w:val="bottom"/>
            <w:tcBorders>
              <w:bottom w:val="single" w:sz="8" w:color="auto"/>
            </w:tcBorders>
            <w:shd w:val="clear" w:color="auto" w:fill="CCEEFF"/>
          </w:tcPr>
          <w:p>
            <w:pPr>
              <w:spacing w:after="0"/>
              <w:rPr>
                <w:sz w:val="8"/>
                <w:szCs w:val="8"/>
                <w:color w:val="auto"/>
              </w:rPr>
            </w:pPr>
          </w:p>
        </w:tc>
        <w:tc>
          <w:tcPr>
            <w:tcW w:w="346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3300" w:type="dxa"/>
            <w:vAlign w:val="bottom"/>
          </w:tcPr>
          <w:p>
            <w:pPr>
              <w:spacing w:after="0"/>
              <w:rPr>
                <w:sz w:val="17"/>
                <w:szCs w:val="17"/>
                <w:color w:val="auto"/>
              </w:rPr>
            </w:pPr>
          </w:p>
        </w:tc>
        <w:tc>
          <w:tcPr>
            <w:tcW w:w="1840" w:type="dxa"/>
            <w:vAlign w:val="bottom"/>
          </w:tcPr>
          <w:p>
            <w:pPr>
              <w:jc w:val="center"/>
              <w:ind w:left="117"/>
              <w:spacing w:after="0"/>
              <w:rPr>
                <w:sz w:val="20"/>
                <w:szCs w:val="20"/>
                <w:color w:val="auto"/>
              </w:rPr>
            </w:pPr>
            <w:r>
              <w:rPr>
                <w:rFonts w:ascii="Times New Roman" w:cs="Times New Roman" w:eastAsia="Times New Roman" w:hAnsi="Times New Roman"/>
                <w:sz w:val="17"/>
                <w:szCs w:val="17"/>
                <w:b w:val="1"/>
                <w:bCs w:val="1"/>
                <w:color w:val="auto"/>
                <w:w w:val="98"/>
              </w:rPr>
              <w:t>Female</w:t>
            </w:r>
          </w:p>
        </w:tc>
        <w:tc>
          <w:tcPr>
            <w:tcW w:w="3460" w:type="dxa"/>
            <w:vAlign w:val="bottom"/>
          </w:tcPr>
          <w:p>
            <w:pPr>
              <w:jc w:val="center"/>
              <w:ind w:left="533"/>
              <w:spacing w:after="0"/>
              <w:rPr>
                <w:sz w:val="20"/>
                <w:szCs w:val="20"/>
                <w:color w:val="auto"/>
              </w:rPr>
            </w:pPr>
            <w:r>
              <w:rPr>
                <w:rFonts w:ascii="Times New Roman" w:cs="Times New Roman" w:eastAsia="Times New Roman" w:hAnsi="Times New Roman"/>
                <w:sz w:val="17"/>
                <w:szCs w:val="17"/>
                <w:b w:val="1"/>
                <w:bCs w:val="1"/>
                <w:color w:val="auto"/>
                <w:w w:val="97"/>
              </w:rPr>
              <w:t>Male</w:t>
            </w:r>
          </w:p>
        </w:tc>
        <w:tc>
          <w:tcPr>
            <w:tcW w:w="0" w:type="dxa"/>
            <w:vAlign w:val="bottom"/>
          </w:tcPr>
          <w:p>
            <w:pPr>
              <w:spacing w:after="0"/>
              <w:rPr>
                <w:sz w:val="1"/>
                <w:szCs w:val="1"/>
                <w:color w:val="auto"/>
              </w:rPr>
            </w:pPr>
          </w:p>
        </w:tc>
      </w:tr>
      <w:tr>
        <w:trPr>
          <w:trHeight w:val="200"/>
        </w:trPr>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Part I: Gender Identity</w:t>
            </w:r>
          </w:p>
        </w:tc>
        <w:tc>
          <w:tcPr>
            <w:tcW w:w="184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Directors</w:t>
            </w:r>
          </w:p>
        </w:tc>
        <w:tc>
          <w:tcPr>
            <w:tcW w:w="1840" w:type="dxa"/>
            <w:vAlign w:val="bottom"/>
          </w:tcPr>
          <w:p>
            <w:pPr>
              <w:jc w:val="center"/>
              <w:ind w:left="117"/>
              <w:spacing w:after="0"/>
              <w:rPr>
                <w:sz w:val="20"/>
                <w:szCs w:val="20"/>
                <w:color w:val="auto"/>
              </w:rPr>
            </w:pPr>
            <w:r>
              <w:rPr>
                <w:rFonts w:ascii="Times New Roman" w:cs="Times New Roman" w:eastAsia="Times New Roman" w:hAnsi="Times New Roman"/>
                <w:sz w:val="17"/>
                <w:szCs w:val="17"/>
                <w:color w:val="auto"/>
                <w:w w:val="93"/>
              </w:rPr>
              <w:t>3</w:t>
            </w:r>
          </w:p>
        </w:tc>
        <w:tc>
          <w:tcPr>
            <w:tcW w:w="3460" w:type="dxa"/>
            <w:vAlign w:val="bottom"/>
          </w:tcPr>
          <w:p>
            <w:pPr>
              <w:jc w:val="center"/>
              <w:ind w:left="533"/>
              <w:spacing w:after="0"/>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200"/>
        </w:trPr>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Part II: Demographic Background</w:t>
            </w:r>
          </w:p>
        </w:tc>
        <w:tc>
          <w:tcPr>
            <w:tcW w:w="184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Hispanic or Latinx</w:t>
            </w:r>
          </w:p>
        </w:tc>
        <w:tc>
          <w:tcPr>
            <w:tcW w:w="1840" w:type="dxa"/>
            <w:vAlign w:val="bottom"/>
          </w:tcPr>
          <w:p>
            <w:pPr>
              <w:jc w:val="center"/>
              <w:ind w:left="117"/>
              <w:spacing w:after="0"/>
              <w:rPr>
                <w:sz w:val="20"/>
                <w:szCs w:val="20"/>
                <w:color w:val="auto"/>
              </w:rPr>
            </w:pPr>
            <w:r>
              <w:rPr>
                <w:rFonts w:ascii="Times New Roman" w:cs="Times New Roman" w:eastAsia="Times New Roman" w:hAnsi="Times New Roman"/>
                <w:sz w:val="17"/>
                <w:szCs w:val="17"/>
                <w:color w:val="auto"/>
                <w:w w:val="93"/>
              </w:rPr>
              <w:t>2</w:t>
            </w:r>
          </w:p>
        </w:tc>
        <w:tc>
          <w:tcPr>
            <w:tcW w:w="3460" w:type="dxa"/>
            <w:vAlign w:val="bottom"/>
          </w:tcPr>
          <w:p>
            <w:pPr>
              <w:jc w:val="center"/>
              <w:ind w:left="533"/>
              <w:spacing w:after="0"/>
              <w:rPr>
                <w:sz w:val="20"/>
                <w:szCs w:val="20"/>
                <w:color w:val="auto"/>
              </w:rPr>
            </w:pPr>
            <w:r>
              <w:rPr>
                <w:rFonts w:ascii="Times New Roman" w:cs="Times New Roman" w:eastAsia="Times New Roman" w:hAnsi="Times New Roman"/>
                <w:sz w:val="17"/>
                <w:szCs w:val="17"/>
                <w:color w:val="auto"/>
                <w:w w:val="93"/>
              </w:rPr>
              <w:t>0</w:t>
            </w:r>
          </w:p>
        </w:tc>
        <w:tc>
          <w:tcPr>
            <w:tcW w:w="0" w:type="dxa"/>
            <w:vAlign w:val="bottom"/>
          </w:tcPr>
          <w:p>
            <w:pPr>
              <w:spacing w:after="0"/>
              <w:rPr>
                <w:sz w:val="1"/>
                <w:szCs w:val="1"/>
                <w:color w:val="auto"/>
              </w:rPr>
            </w:pPr>
          </w:p>
        </w:tc>
      </w:tr>
      <w:tr>
        <w:trPr>
          <w:trHeight w:val="205"/>
        </w:trPr>
        <w:tc>
          <w:tcPr>
            <w:tcW w:w="33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White</w:t>
            </w:r>
          </w:p>
        </w:tc>
        <w:tc>
          <w:tcPr>
            <w:tcW w:w="1840" w:type="dxa"/>
            <w:vAlign w:val="bottom"/>
            <w:tcBorders>
              <w:bottom w:val="single" w:sz="8" w:color="auto"/>
            </w:tcBorders>
            <w:shd w:val="clear" w:color="auto" w:fill="CCEEFF"/>
          </w:tcPr>
          <w:p>
            <w:pPr>
              <w:jc w:val="center"/>
              <w:ind w:left="117"/>
              <w:spacing w:after="0"/>
              <w:rPr>
                <w:sz w:val="20"/>
                <w:szCs w:val="20"/>
                <w:color w:val="auto"/>
              </w:rPr>
            </w:pPr>
            <w:r>
              <w:rPr>
                <w:rFonts w:ascii="Times New Roman" w:cs="Times New Roman" w:eastAsia="Times New Roman" w:hAnsi="Times New Roman"/>
                <w:sz w:val="17"/>
                <w:szCs w:val="17"/>
                <w:color w:val="auto"/>
                <w:w w:val="93"/>
              </w:rPr>
              <w:t>1</w:t>
            </w:r>
          </w:p>
        </w:tc>
        <w:tc>
          <w:tcPr>
            <w:tcW w:w="3460" w:type="dxa"/>
            <w:vAlign w:val="bottom"/>
            <w:tcBorders>
              <w:bottom w:val="single" w:sz="8" w:color="auto"/>
            </w:tcBorders>
            <w:shd w:val="clear" w:color="auto" w:fill="CCEEFF"/>
          </w:tcPr>
          <w:p>
            <w:pPr>
              <w:jc w:val="center"/>
              <w:ind w:left="533"/>
              <w:spacing w:after="0"/>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00" w:right="219" w:firstLine="3"/>
        <w:spacing w:after="0" w:line="206" w:lineRule="auto"/>
        <w:tabs>
          <w:tab w:leader="none" w:pos="408" w:val="left"/>
        </w:tabs>
        <w:numPr>
          <w:ilvl w:val="0"/>
          <w:numId w:val="6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Excludes Mr. Maselli and Ms. Lynton, who are not standing for re-election to the Board at the 2024 annual meeting and will retire from the Board immediately prior to the 2024 annual meeting.</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Board Leadership Structure</w:t>
      </w:r>
    </w:p>
    <w:p>
      <w:pPr>
        <w:spacing w:after="0" w:line="108"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17"/>
          <w:szCs w:val="17"/>
          <w:color w:val="auto"/>
        </w:rPr>
        <w:t>Separate individuals serve as our Chairperson and our Chief Executive Officer. Ms. Williams currently serves as our Chief Executive Officer and Mr. Floyd currently serves as the Chairperson of the Board. We do not have a policy requiring the separation of these positions. Rather, as our corporate governance guidelines explain, the Board is free to choose its Chairperson in any way that it deems best for the Company at any given point in time. Under the circumstances, the Board has determined that having an independent director serve as non-executive Chairperson continues to be in the best interests of our shareholders at this time. In addition, we currently believe that this separation is appropriate in order to avoid a conflict of interest regarding CEO compensation, to have increased independent oversight of the Board regarding management’s strategic direction and results, and to provide a greater role for non-management director participation than would be the case if the Chairperson and Chief Executive Officer positions were combined.</w:t>
      </w:r>
    </w:p>
    <w:p>
      <w:pPr>
        <w:spacing w:after="0" w:line="182"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After serving as Chairperson of our Board for more than eleven years, Mr. Maselli resigned as Chairperson on April 18, 2023 in order to facilitate a transition in Board leadership. On April 18, 2023, the Board elected Mr. Floyd as Chairperson. Because Mr. Floyd is an independent director, the Board determined that a Lead Independent Director was no longer required.</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108"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 xml:space="preserve">The Board has adopted a code of business conduct and ethics that applies to our directors, executive officers, and employees, available at </w:t>
      </w:r>
      <w:r>
        <w:rPr>
          <w:rFonts w:ascii="Times New Roman" w:cs="Times New Roman" w:eastAsia="Times New Roman" w:hAnsi="Times New Roman"/>
          <w:sz w:val="17"/>
          <w:szCs w:val="17"/>
          <w:i w:val="1"/>
          <w:iCs w:val="1"/>
          <w:u w:val="single" w:color="auto"/>
          <w:color w:val="auto"/>
        </w:rPr>
        <w:t>http://investor.elpolloloco.com/corporate-governance</w:t>
      </w:r>
      <w:r>
        <w:rPr>
          <w:rFonts w:ascii="Times New Roman" w:cs="Times New Roman" w:eastAsia="Times New Roman" w:hAnsi="Times New Roman"/>
          <w:sz w:val="17"/>
          <w:szCs w:val="17"/>
          <w:color w:val="auto"/>
        </w:rPr>
        <w:t>. We expect that any amendments to the code, or any waivers thereto granted to a director or executive officer requiring disclosure under applicable SEC or Nasdaq rules, will be posted on our website.</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Corporate Governance Guidelines</w:t>
      </w:r>
    </w:p>
    <w:p>
      <w:pPr>
        <w:spacing w:after="0" w:line="108"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The Board has adopted corporate governance guidelines to assist it in the exercise of its fiduciary duties and responsibilities to us and to promote the effective functioning of the Board and its committees. Our corporate governance guidelines cover, among other topics:</w:t>
      </w:r>
    </w:p>
    <w:p>
      <w:pPr>
        <w:spacing w:after="0" w:line="169" w:lineRule="exact"/>
        <w:rPr>
          <w:sz w:val="20"/>
          <w:szCs w:val="20"/>
          <w:color w:val="auto"/>
        </w:rPr>
      </w:pPr>
    </w:p>
    <w:p>
      <w:pPr>
        <w:ind w:left="1120" w:hanging="293"/>
        <w:spacing w:after="0"/>
        <w:tabs>
          <w:tab w:leader="none" w:pos="11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independence and qualification requirements;</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leadership and executive sessions;</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other board and committee service;</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responsibilities;</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compensation;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33" w:name="page34"/>
    <w:bookmarkEnd w:id="33"/>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120" w:hanging="293"/>
        <w:spacing w:after="0"/>
        <w:tabs>
          <w:tab w:leader="none" w:pos="11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orientation and continuing education;</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and committee resources, including access to officers and employees;</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succession planning; and</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and committee self-evaluations.</w:t>
      </w:r>
    </w:p>
    <w:p>
      <w:pPr>
        <w:spacing w:after="0" w:line="202" w:lineRule="exact"/>
        <w:rPr>
          <w:sz w:val="20"/>
          <w:szCs w:val="20"/>
          <w:color w:val="auto"/>
        </w:rPr>
      </w:pPr>
    </w:p>
    <w:p>
      <w:pPr>
        <w:jc w:val="both"/>
        <w:ind w:left="200" w:right="219"/>
        <w:spacing w:after="0" w:line="273" w:lineRule="auto"/>
        <w:rPr>
          <w:sz w:val="20"/>
          <w:szCs w:val="20"/>
          <w:color w:val="auto"/>
        </w:rPr>
      </w:pPr>
      <w:r>
        <w:rPr>
          <w:rFonts w:ascii="Times New Roman" w:cs="Times New Roman" w:eastAsia="Times New Roman" w:hAnsi="Times New Roman"/>
          <w:sz w:val="17"/>
          <w:szCs w:val="17"/>
          <w:color w:val="auto"/>
        </w:rPr>
        <w:t xml:space="preserve">Our corporate governance guidelines are available on our website, at </w:t>
      </w:r>
      <w:r>
        <w:rPr>
          <w:rFonts w:ascii="Times New Roman" w:cs="Times New Roman" w:eastAsia="Times New Roman" w:hAnsi="Times New Roman"/>
          <w:sz w:val="17"/>
          <w:szCs w:val="17"/>
          <w:i w:val="1"/>
          <w:iCs w:val="1"/>
          <w:u w:val="single" w:color="auto"/>
          <w:color w:val="auto"/>
        </w:rPr>
        <w:t>http://investor.elpolloloco.com/corporate-governance</w:t>
      </w:r>
      <w:r>
        <w:rPr>
          <w:rFonts w:ascii="Times New Roman" w:cs="Times New Roman" w:eastAsia="Times New Roman" w:hAnsi="Times New Roman"/>
          <w:sz w:val="17"/>
          <w:szCs w:val="17"/>
          <w:color w:val="auto"/>
        </w:rPr>
        <w:t>. We expect that any amendments to the guidelines will be disclosed on our website.</w:t>
      </w:r>
    </w:p>
    <w:p>
      <w:pPr>
        <w:spacing w:after="0" w:line="1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Role in Risk Oversight</w:t>
      </w:r>
    </w:p>
    <w:p>
      <w:pPr>
        <w:spacing w:after="0" w:line="208" w:lineRule="exact"/>
        <w:rPr>
          <w:sz w:val="20"/>
          <w:szCs w:val="20"/>
          <w:color w:val="auto"/>
        </w:rPr>
      </w:pPr>
    </w:p>
    <w:p>
      <w:pPr>
        <w:jc w:val="both"/>
        <w:ind w:left="200" w:right="219"/>
        <w:spacing w:after="0" w:line="264" w:lineRule="auto"/>
        <w:rPr>
          <w:sz w:val="20"/>
          <w:szCs w:val="20"/>
          <w:color w:val="auto"/>
        </w:rPr>
      </w:pPr>
      <w:r>
        <w:rPr>
          <w:rFonts w:ascii="Times New Roman" w:cs="Times New Roman" w:eastAsia="Times New Roman" w:hAnsi="Times New Roman"/>
          <w:sz w:val="16"/>
          <w:szCs w:val="16"/>
          <w:color w:val="auto"/>
        </w:rPr>
        <w:t>The Board oversees a company-wide approach to risk management that is carried out by management, which is designed to enhance stockholder value, support the achievement of strategic objectives and improve long-term organizational performance. The Board determines the appropriate risk levels for the Company generally, assesses the specific risks faced by the Company, and reviews the steps taken by management to manage those risks. The Board’s involvement in setting the Company’s business strategy facilitates these assessments and reviews, culminating in the development of a strategy that reflects both the Board’s and management’s consensus as to appropriate levels of risk and the appropriate measures to manage those risks. Pursuant to this structure, risk is assessed throughout the enterprise, focusing on risks arising out of various aspects of the Company’s strategy and the implementation of that strategy, including financial, legal/compliance, operational/strategic, health and safety, and compensation risks. The Board considers and makes determinations on any action warranted with respect to such risks, which include short-, intermediate- and long-term risks, as well as both existing risks and emerging risks. The Board’s oversight standards apply regardless of the immediacy of the risk assessed. The Board also considers risk when evaluating proposed transactions and other matters presented to the Board, including acquisitions and financial matters. Any director may propose a meeting agenda item related to risk or any other topic for consideration and discussion by the Board.</w:t>
      </w:r>
    </w:p>
    <w:p>
      <w:pPr>
        <w:spacing w:after="0" w:line="169"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color w:val="auto"/>
        </w:rPr>
        <w:t>While the Board maintains ultimate oversight responsibility for the risk management process, its committees oversee risk in specific areas. Our Audit Committee oversees management of risks involving accounting and financial reporting, including internal controls and disclosure controls and procedures. In addition, the Audit Committee oversees the Company’s compliance program with respect to legal and regulatory requirements, including the Company’s codes of conduct and policies and procedures for monitoring compliance. The Audit Committee also receives regular reports on the Company’s cybersecurity compliance and risk management practices. The Audit Committee regularly discusses disclosure controls and procedures, and the resulting assessments and determinations regarding disclosure of risks, with management and with the Board as part of its risk oversight function.</w:t>
      </w:r>
    </w:p>
    <w:p>
      <w:pPr>
        <w:spacing w:after="0" w:line="177"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color w:val="auto"/>
        </w:rPr>
        <w:t>The Compensation Committee periodically reviews compensation practices and policies to determine whether they encourage excessive risk taking, including an annual review of management’s assessment of the risk associated with the Company’s compensation programs covering its employees, including executives. The Compensation Committee also has responsibilities regarding risk related to succession planning. Our Nominating and Corporate Governance Committee oversees management of risks associated with corporate governance and conflicts of interest. At the Board’s instruction, management regularly reports on applicable risks to the Board or to a relevant committee, with additional review or reporting on risks conducted as needed or as requested by the Board and by its committees.</w:t>
      </w:r>
    </w:p>
    <w:p>
      <w:pPr>
        <w:spacing w:after="0" w:line="180"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 xml:space="preserve">Our Board believes that the process it has established to administer the Board’s risk oversight function would be effective under a variety of leadership frameworks and, therefore, does not have a material effect on our choice of the Board’s leadership structure described above under </w:t>
      </w:r>
      <w:r>
        <w:rPr>
          <w:rFonts w:ascii="Times New Roman" w:cs="Times New Roman" w:eastAsia="Times New Roman" w:hAnsi="Times New Roman"/>
          <w:sz w:val="17"/>
          <w:szCs w:val="17"/>
          <w:i w:val="1"/>
          <w:iCs w:val="1"/>
          <w:color w:val="auto"/>
        </w:rPr>
        <w:t>“Board Leadership Structure.”</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208"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color w:val="auto"/>
        </w:rPr>
        <w:t>Under the applicable listing requirements and rules of Nasdaq, independent directors must comprise a majority of our Board, subject to certain specified exceptions. In addition, applicable Nasdaq rules require that, subject to specified exceptions, each member of our Audit, Compensation and Nominating and Corporate Governance Committees must be independent within the meaning of applicable Nasdaq rules. Audit Committee members must also satisfy the independence criteria set forth in Rule 10A-3 under the Exchange Act. The Board has reviewed the independence 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34" w:name="page35"/>
    <w:bookmarkEnd w:id="34"/>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17"/>
          <w:szCs w:val="17"/>
          <w:color w:val="auto"/>
        </w:rPr>
        <w:t>our directors under the applicable rules of Nasdaq. Based on this review, the Board determined that each of Messrs. Babb, Borgese, Buller, Floyd, and Mss. Lynton, Faginas-Cody and Gonzalez are independent under the applicable listing standards of Nasdaq. The Board also previously determined that each of Messrs. Kehler and Roth were independent directors during the periods of their respective service on our Board (until March 2023 and August 2023, respectively). In making these determinations, our Board considered its relationship and other related transactions with each of these non-employee directors and all other facts and circumstances our Board deemed relevant in determining their independence, including the beneficial ownership of our capital stock held by each non-employee director. Ms. Williams is not an independent director due to serving as our Chief Executive Officer, Mr. Maselli is not an independent director due to his role as Managing Director of a fund affiliated with Freeman Spogli, formerly our largest shareholder, and Mr. Roberts is not an independent director due to serving as our President and Chief Executive Officer.</w:t>
      </w:r>
    </w:p>
    <w:p>
      <w:pPr>
        <w:spacing w:after="0" w:line="180"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As required under applicable Nasdaq rules, our independent directors meet in regularly scheduled executive sessions at which only independent directors are present. Our independent directors held executive sessions four times in 2023 in conjunction with our Board meetings.</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Board Committees</w:t>
      </w:r>
    </w:p>
    <w:p>
      <w:pPr>
        <w:spacing w:after="0" w:line="208"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17"/>
          <w:szCs w:val="17"/>
          <w:color w:val="auto"/>
        </w:rPr>
        <w:t xml:space="preserve">Our Board has established standing committees in connection with the discharge of its responsibilities. These committees include an Audit Committee, a Compensation Committee, and a Nominating and Corporate Governance Committee. All Audit, Compensation, and Nominating and Corporate Governance Committee members are independent, under applicable Nasdaq listing standards. Our Board has adopted written charters for each of these committees, current copies of which are available at </w:t>
      </w:r>
      <w:r>
        <w:rPr>
          <w:rFonts w:ascii="Times New Roman" w:cs="Times New Roman" w:eastAsia="Times New Roman" w:hAnsi="Times New Roman"/>
          <w:sz w:val="17"/>
          <w:szCs w:val="17"/>
          <w:i w:val="1"/>
          <w:iCs w:val="1"/>
          <w:u w:val="single" w:color="auto"/>
          <w:color w:val="auto"/>
        </w:rPr>
        <w:t>http://investor.elpolloloco.com/corporate-governance</w:t>
      </w:r>
      <w:r>
        <w:rPr>
          <w:rFonts w:ascii="Times New Roman" w:cs="Times New Roman" w:eastAsia="Times New Roman" w:hAnsi="Times New Roman"/>
          <w:sz w:val="17"/>
          <w:szCs w:val="17"/>
          <w:color w:val="auto"/>
        </w:rPr>
        <w:t>. Our Board may establish other committees as it deems necessary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appropriate from time to time.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35" w:name="page36"/>
    <w:bookmarkEnd w:id="35"/>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composition of each of our three standing committees is set forth below:</w:t>
      </w:r>
    </w:p>
    <w:p>
      <w:pPr>
        <w:spacing w:after="0" w:line="31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1920" w:type="dxa"/>
            <w:vAlign w:val="bottom"/>
            <w:tcBorders>
              <w:top w:val="single" w:sz="8" w:color="auto"/>
            </w:tcBorders>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Compensation</w:t>
            </w:r>
          </w:p>
        </w:tc>
        <w:tc>
          <w:tcPr>
            <w:tcW w:w="2520" w:type="dxa"/>
            <w:vAlign w:val="bottom"/>
            <w:tcBorders>
              <w:top w:val="single" w:sz="8" w:color="auto"/>
            </w:tcBorders>
          </w:tcPr>
          <w:p>
            <w:pPr>
              <w:jc w:val="center"/>
              <w:ind w:left="50"/>
              <w:spacing w:after="0" w:line="221" w:lineRule="exact"/>
              <w:rPr>
                <w:sz w:val="20"/>
                <w:szCs w:val="20"/>
                <w:color w:val="auto"/>
              </w:rPr>
            </w:pPr>
            <w:r>
              <w:rPr>
                <w:rFonts w:ascii="Times New Roman" w:cs="Times New Roman" w:eastAsia="Times New Roman" w:hAnsi="Times New Roman"/>
                <w:sz w:val="20"/>
                <w:szCs w:val="20"/>
                <w:b w:val="1"/>
                <w:bCs w:val="1"/>
                <w:color w:val="auto"/>
                <w:w w:val="99"/>
              </w:rPr>
              <w:t>Nominating and</w:t>
            </w:r>
          </w:p>
        </w:tc>
        <w:tc>
          <w:tcPr>
            <w:tcW w:w="0" w:type="dxa"/>
            <w:vAlign w:val="bottom"/>
          </w:tcPr>
          <w:p>
            <w:pPr>
              <w:spacing w:after="0"/>
              <w:rPr>
                <w:sz w:val="1"/>
                <w:szCs w:val="1"/>
                <w:color w:val="auto"/>
              </w:rPr>
            </w:pPr>
          </w:p>
        </w:tc>
      </w:tr>
      <w:tr>
        <w:trPr>
          <w:trHeight w:val="112"/>
        </w:trPr>
        <w:tc>
          <w:tcPr>
            <w:tcW w:w="1920" w:type="dxa"/>
            <w:vAlign w:val="bottom"/>
          </w:tcPr>
          <w:p>
            <w:pPr>
              <w:spacing w:after="0"/>
              <w:rPr>
                <w:sz w:val="9"/>
                <w:szCs w:val="9"/>
                <w:color w:val="auto"/>
              </w:rPr>
            </w:pPr>
          </w:p>
        </w:tc>
        <w:tc>
          <w:tcPr>
            <w:tcW w:w="2240" w:type="dxa"/>
            <w:vAlign w:val="bottom"/>
            <w:vMerge w:val="restart"/>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9"/>
              </w:rPr>
              <w:t>Audit Committee</w:t>
            </w:r>
          </w:p>
        </w:tc>
        <w:tc>
          <w:tcPr>
            <w:tcW w:w="1920" w:type="dxa"/>
            <w:vAlign w:val="bottom"/>
            <w:vMerge w:val="continue"/>
          </w:tcPr>
          <w:p>
            <w:pPr>
              <w:spacing w:after="0"/>
              <w:rPr>
                <w:sz w:val="9"/>
                <w:szCs w:val="9"/>
                <w:color w:val="auto"/>
              </w:rPr>
            </w:pPr>
          </w:p>
        </w:tc>
        <w:tc>
          <w:tcPr>
            <w:tcW w:w="2520" w:type="dxa"/>
            <w:vAlign w:val="bottom"/>
            <w:vMerge w:val="restart"/>
          </w:tcPr>
          <w:p>
            <w:pPr>
              <w:jc w:val="center"/>
              <w:ind w:left="50"/>
              <w:spacing w:after="0" w:line="225" w:lineRule="exact"/>
              <w:rPr>
                <w:sz w:val="20"/>
                <w:szCs w:val="20"/>
                <w:color w:val="auto"/>
              </w:rPr>
            </w:pPr>
            <w:r>
              <w:rPr>
                <w:rFonts w:ascii="Times New Roman" w:cs="Times New Roman" w:eastAsia="Times New Roman" w:hAnsi="Times New Roman"/>
                <w:sz w:val="20"/>
                <w:szCs w:val="20"/>
                <w:b w:val="1"/>
                <w:bCs w:val="1"/>
                <w:color w:val="auto"/>
              </w:rPr>
              <w:t>Corporate Governance</w:t>
            </w:r>
          </w:p>
        </w:tc>
        <w:tc>
          <w:tcPr>
            <w:tcW w:w="0" w:type="dxa"/>
            <w:vAlign w:val="bottom"/>
          </w:tcPr>
          <w:p>
            <w:pPr>
              <w:spacing w:after="0"/>
              <w:rPr>
                <w:sz w:val="1"/>
                <w:szCs w:val="1"/>
                <w:color w:val="auto"/>
              </w:rPr>
            </w:pPr>
          </w:p>
        </w:tc>
      </w:tr>
      <w:tr>
        <w:trPr>
          <w:trHeight w:val="112"/>
        </w:trPr>
        <w:tc>
          <w:tcPr>
            <w:tcW w:w="192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Committee</w:t>
            </w:r>
          </w:p>
        </w:tc>
        <w:tc>
          <w:tcPr>
            <w:tcW w:w="2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9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920" w:type="dxa"/>
            <w:vAlign w:val="bottom"/>
            <w:vMerge w:val="continue"/>
          </w:tcPr>
          <w:p>
            <w:pPr>
              <w:spacing w:after="0"/>
              <w:rPr>
                <w:sz w:val="13"/>
                <w:szCs w:val="13"/>
                <w:color w:val="auto"/>
              </w:rPr>
            </w:pPr>
          </w:p>
        </w:tc>
        <w:tc>
          <w:tcPr>
            <w:tcW w:w="2520" w:type="dxa"/>
            <w:vAlign w:val="bottom"/>
            <w:vMerge w:val="restart"/>
          </w:tcPr>
          <w:p>
            <w:pPr>
              <w:jc w:val="center"/>
              <w:ind w:left="50"/>
              <w:spacing w:after="0"/>
              <w:rPr>
                <w:sz w:val="20"/>
                <w:szCs w:val="20"/>
                <w:color w:val="auto"/>
              </w:rPr>
            </w:pPr>
            <w:r>
              <w:rPr>
                <w:rFonts w:ascii="Times New Roman" w:cs="Times New Roman" w:eastAsia="Times New Roman" w:hAnsi="Times New Roman"/>
                <w:sz w:val="20"/>
                <w:szCs w:val="20"/>
                <w:b w:val="1"/>
                <w:bCs w:val="1"/>
                <w:color w:val="auto"/>
                <w:w w:val="99"/>
              </w:rPr>
              <w:t>Committee</w:t>
            </w:r>
          </w:p>
        </w:tc>
        <w:tc>
          <w:tcPr>
            <w:tcW w:w="0" w:type="dxa"/>
            <w:vAlign w:val="bottom"/>
          </w:tcPr>
          <w:p>
            <w:pPr>
              <w:spacing w:after="0"/>
              <w:rPr>
                <w:sz w:val="1"/>
                <w:szCs w:val="1"/>
                <w:color w:val="auto"/>
              </w:rPr>
            </w:pPr>
          </w:p>
        </w:tc>
      </w:tr>
      <w:tr>
        <w:trPr>
          <w:trHeight w:val="107"/>
        </w:trPr>
        <w:tc>
          <w:tcPr>
            <w:tcW w:w="192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Douglas J. Babb</w:t>
            </w:r>
          </w:p>
        </w:tc>
        <w:tc>
          <w:tcPr>
            <w:tcW w:w="2240" w:type="dxa"/>
            <w:vAlign w:val="bottom"/>
            <w:shd w:val="clear" w:color="auto" w:fill="CCEEFF"/>
          </w:tcPr>
          <w:p>
            <w:pPr>
              <w:spacing w:after="0"/>
              <w:rPr>
                <w:sz w:val="17"/>
                <w:szCs w:val="17"/>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w:t>
            </w:r>
          </w:p>
        </w:tc>
        <w:tc>
          <w:tcPr>
            <w:tcW w:w="2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0"/>
        </w:trPr>
        <w:tc>
          <w:tcPr>
            <w:tcW w:w="1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Samuel N. Borgese</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Mark Buller</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2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Nancy Faginas-Cody</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1920" w:type="dxa"/>
            <w:vAlign w:val="bottom"/>
          </w:tcPr>
          <w:p>
            <w:pPr>
              <w:spacing w:after="0"/>
              <w:rPr>
                <w:sz w:val="17"/>
                <w:szCs w:val="17"/>
                <w:color w:val="auto"/>
              </w:rPr>
            </w:pPr>
          </w:p>
        </w:tc>
        <w:tc>
          <w:tcPr>
            <w:tcW w:w="2520" w:type="dxa"/>
            <w:vAlign w:val="bottom"/>
          </w:tcPr>
          <w:p>
            <w:pPr>
              <w:jc w:val="center"/>
              <w:ind w:left="50"/>
              <w:spacing w:after="0"/>
              <w:rPr>
                <w:sz w:val="20"/>
                <w:szCs w:val="20"/>
                <w:color w:val="auto"/>
              </w:rPr>
            </w:pPr>
            <w:r>
              <w:rPr>
                <w:rFonts w:ascii="Times New Roman" w:cs="Times New Roman" w:eastAsia="Times New Roman" w:hAnsi="Times New Roman"/>
                <w:sz w:val="17"/>
                <w:szCs w:val="17"/>
                <w:color w:val="auto"/>
                <w:w w:val="87"/>
              </w:rPr>
              <w:t>C</w:t>
            </w:r>
          </w:p>
        </w:tc>
        <w:tc>
          <w:tcPr>
            <w:tcW w:w="0" w:type="dxa"/>
            <w:vAlign w:val="bottom"/>
          </w:tcPr>
          <w:p>
            <w:pPr>
              <w:spacing w:after="0"/>
              <w:rPr>
                <w:sz w:val="1"/>
                <w:szCs w:val="1"/>
                <w:color w:val="auto"/>
              </w:rPr>
            </w:pPr>
          </w:p>
        </w:tc>
      </w:tr>
      <w:tr>
        <w:trPr>
          <w:trHeight w:val="200"/>
        </w:trPr>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Deborah Gonzalez</w:t>
            </w:r>
          </w:p>
        </w:tc>
        <w:tc>
          <w:tcPr>
            <w:tcW w:w="22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0"/>
        </w:trPr>
        <w:tc>
          <w:tcPr>
            <w:tcW w:w="1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Carol Lynton</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87"/>
              </w:rPr>
              <w:t>C</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2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920" w:type="dxa"/>
            <w:vAlign w:val="bottom"/>
            <w:tcBorders>
              <w:bottom w:val="single" w:sz="8" w:color="auto"/>
            </w:tcBorders>
          </w:tcPr>
          <w:p>
            <w:pPr>
              <w:ind w:left="100"/>
              <w:spacing w:after="0" w:line="190" w:lineRule="exact"/>
              <w:rPr>
                <w:sz w:val="20"/>
                <w:szCs w:val="20"/>
                <w:color w:val="auto"/>
              </w:rPr>
            </w:pPr>
            <w:r>
              <w:rPr>
                <w:rFonts w:ascii="Times New Roman" w:cs="Times New Roman" w:eastAsia="Times New Roman" w:hAnsi="Times New Roman"/>
                <w:sz w:val="17"/>
                <w:szCs w:val="17"/>
                <w:i w:val="1"/>
                <w:iCs w:val="1"/>
                <w:color w:val="auto"/>
              </w:rPr>
              <w:t>Meetings in 2023:</w:t>
            </w:r>
          </w:p>
        </w:tc>
        <w:tc>
          <w:tcPr>
            <w:tcW w:w="224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7"/>
                <w:szCs w:val="17"/>
                <w:color w:val="auto"/>
                <w:w w:val="93"/>
              </w:rPr>
              <w:t>5</w:t>
            </w:r>
          </w:p>
        </w:tc>
        <w:tc>
          <w:tcPr>
            <w:tcW w:w="1920" w:type="dxa"/>
            <w:vAlign w:val="bottom"/>
            <w:tcBorders>
              <w:bottom w:val="single" w:sz="8" w:color="auto"/>
            </w:tcBorders>
          </w:tcPr>
          <w:p>
            <w:pPr>
              <w:jc w:val="center"/>
              <w:spacing w:after="0" w:line="190" w:lineRule="exact"/>
              <w:rPr>
                <w:sz w:val="20"/>
                <w:szCs w:val="20"/>
                <w:color w:val="auto"/>
              </w:rPr>
            </w:pPr>
            <w:r>
              <w:rPr>
                <w:rFonts w:ascii="Times New Roman" w:cs="Times New Roman" w:eastAsia="Times New Roman" w:hAnsi="Times New Roman"/>
                <w:sz w:val="17"/>
                <w:szCs w:val="17"/>
                <w:color w:val="auto"/>
                <w:w w:val="93"/>
              </w:rPr>
              <w:t>7</w:t>
            </w:r>
          </w:p>
        </w:tc>
        <w:tc>
          <w:tcPr>
            <w:tcW w:w="2520" w:type="dxa"/>
            <w:vAlign w:val="bottom"/>
            <w:tcBorders>
              <w:bottom w:val="single" w:sz="8" w:color="auto"/>
            </w:tcBorders>
          </w:tcPr>
          <w:p>
            <w:pPr>
              <w:jc w:val="center"/>
              <w:ind w:left="50"/>
              <w:spacing w:after="0" w:line="190" w:lineRule="exact"/>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312"/>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C = Chairperson</w:t>
            </w:r>
          </w:p>
        </w:tc>
        <w:tc>
          <w:tcPr>
            <w:tcW w:w="2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1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functions of the Audit Committee, among other things, include:</w:t>
      </w:r>
    </w:p>
    <w:p>
      <w:pPr>
        <w:spacing w:after="0" w:line="204" w:lineRule="exact"/>
        <w:rPr>
          <w:sz w:val="20"/>
          <w:szCs w:val="20"/>
          <w:color w:val="auto"/>
        </w:rPr>
      </w:pPr>
    </w:p>
    <w:p>
      <w:pPr>
        <w:ind w:left="1120" w:right="219" w:hanging="293"/>
        <w:spacing w:after="0" w:line="271" w:lineRule="auto"/>
        <w:tabs>
          <w:tab w:leader="none" w:pos="11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financial statements, including any significant financial items and changes in accounting policies, with our senior management and our independent registered public accounting firm;</w:t>
      </w:r>
    </w:p>
    <w:p>
      <w:pPr>
        <w:spacing w:after="0" w:line="58" w:lineRule="exact"/>
        <w:rPr>
          <w:rFonts w:ascii="Times New Roman" w:cs="Times New Roman" w:eastAsia="Times New Roman" w:hAnsi="Times New Roman"/>
          <w:sz w:val="17"/>
          <w:szCs w:val="17"/>
          <w:color w:val="auto"/>
        </w:rPr>
      </w:pPr>
    </w:p>
    <w:p>
      <w:pPr>
        <w:ind w:left="1120" w:right="219" w:hanging="293"/>
        <w:spacing w:after="0" w:line="271" w:lineRule="auto"/>
        <w:tabs>
          <w:tab w:leader="none" w:pos="11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reviewing our financial risk and control procedures, our compliance and </w:t>
      </w:r>
      <w:r>
        <w:rPr>
          <w:rFonts w:ascii="Times New Roman" w:cs="Times New Roman" w:eastAsia="Times New Roman" w:hAnsi="Times New Roman"/>
          <w:sz w:val="17"/>
          <w:szCs w:val="17"/>
          <w:color w:val="231F20"/>
        </w:rPr>
        <w:t>Environmental, Social and Governance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(“ESG”) </w:t>
      </w:r>
      <w:r>
        <w:rPr>
          <w:rFonts w:ascii="Times New Roman" w:cs="Times New Roman" w:eastAsia="Times New Roman" w:hAnsi="Times New Roman"/>
          <w:sz w:val="17"/>
          <w:szCs w:val="17"/>
          <w:color w:val="000000"/>
        </w:rPr>
        <w:t>programs, and significant tax, legal, and regulatory matters;</w:t>
      </w:r>
    </w:p>
    <w:p>
      <w:pPr>
        <w:spacing w:after="0" w:line="58" w:lineRule="exact"/>
        <w:rPr>
          <w:rFonts w:ascii="Times New Roman" w:cs="Times New Roman" w:eastAsia="Times New Roman" w:hAnsi="Times New Roman"/>
          <w:sz w:val="17"/>
          <w:szCs w:val="17"/>
          <w:color w:val="auto"/>
        </w:rPr>
      </w:pPr>
    </w:p>
    <w:p>
      <w:pPr>
        <w:ind w:left="1120" w:right="219" w:hanging="293"/>
        <w:spacing w:after="0" w:line="271" w:lineRule="auto"/>
        <w:tabs>
          <w:tab w:leader="none" w:pos="11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external auditors and other appropriate professionals the adequacy and effectiveness of the Company’s data privacy and cybersecurity programs;</w:t>
      </w:r>
    </w:p>
    <w:p>
      <w:pPr>
        <w:spacing w:after="0" w:line="58"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and determining the compensation for our independent registered public accounting firm;</w:t>
      </w:r>
    </w:p>
    <w:p>
      <w:pPr>
        <w:spacing w:after="0" w:line="104" w:lineRule="exact"/>
        <w:rPr>
          <w:rFonts w:ascii="Times New Roman" w:cs="Times New Roman" w:eastAsia="Times New Roman" w:hAnsi="Times New Roman"/>
          <w:sz w:val="17"/>
          <w:szCs w:val="17"/>
          <w:color w:val="auto"/>
        </w:rPr>
      </w:pPr>
    </w:p>
    <w:p>
      <w:pPr>
        <w:ind w:left="1120" w:right="219" w:hanging="293"/>
        <w:spacing w:after="0" w:line="271" w:lineRule="auto"/>
        <w:tabs>
          <w:tab w:leader="none" w:pos="11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procedures established for the receipt, retention, and treatment of complaints regarding accounting, internal accounting controls, and auditing matters;</w:t>
      </w:r>
    </w:p>
    <w:p>
      <w:pPr>
        <w:spacing w:after="0" w:line="58"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adequacy and effectiveness of our data privacy and cybersecurity programs; and</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overseeing our independent registered public accounting firm.</w:t>
      </w:r>
    </w:p>
    <w:p>
      <w:pPr>
        <w:spacing w:after="0" w:line="204"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color w:val="auto"/>
        </w:rPr>
        <w:t>On April 21, 2023, our Board elected Ms. Lynton as Chairperson of the Audit Committee after Mr. Floyd resigned as Chairperson of the Audit Committee in order to serve as Chairperson of the Board. The Board has determined that Ms. Lynton qualifies as an “Audit Committee financial expert” as such term is defined in Item 407(d)(5) of Regulation S-K. The Board intends to confirm the designation of a new Audit Committee financial expert as of the date of the annual meeting as a result of Ms. Lynton’s departure.</w:t>
      </w:r>
    </w:p>
    <w:p>
      <w:pPr>
        <w:spacing w:after="0" w:line="178"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Additionally, our Board has determined that each of Messrs. Borgese and Buller and Ms. Faginas-Cody and Lynton qualifies as independent as independence for Audit Committee members is defined under Nasdaq listing standards, and under Rule 10A-3 of the Exchange Act.</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functions of the Compensation Committee, among other things, include:</w:t>
      </w:r>
    </w:p>
    <w:p>
      <w:pPr>
        <w:spacing w:after="0" w:line="204" w:lineRule="exact"/>
        <w:rPr>
          <w:sz w:val="20"/>
          <w:szCs w:val="20"/>
          <w:color w:val="auto"/>
        </w:rPr>
      </w:pPr>
    </w:p>
    <w:p>
      <w:pPr>
        <w:jc w:val="both"/>
        <w:ind w:left="1120" w:right="219" w:hanging="293"/>
        <w:spacing w:after="0" w:line="258" w:lineRule="auto"/>
        <w:tabs>
          <w:tab w:leader="none" w:pos="11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and reviewing the Company’s overall compensation policies, plans and programs, and assessing whether the Company’s compensation philosophy establishes appropriate incentives for management and employees;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36" w:name="page37"/>
    <w:bookmarkEnd w:id="36"/>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1120" w:right="219" w:hanging="293"/>
        <w:spacing w:after="0" w:line="258" w:lineRule="auto"/>
        <w:tabs>
          <w:tab w:leader="none" w:pos="11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at least annually the goals and objectives relevant to the compensation of certain of our key executives, evaluating the performance of these executives in light of those goals and objectives, and determining the compensation of these executives based on that evaluation;</w:t>
      </w:r>
    </w:p>
    <w:p>
      <w:pPr>
        <w:spacing w:after="0" w:line="69"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director compensation for service on the Board and Committees;</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terms and grant of equity awards;</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overall compensation programs;</w:t>
      </w:r>
    </w:p>
    <w:p>
      <w:pPr>
        <w:spacing w:after="0" w:line="104" w:lineRule="exact"/>
        <w:rPr>
          <w:rFonts w:ascii="Times New Roman" w:cs="Times New Roman" w:eastAsia="Times New Roman" w:hAnsi="Times New Roman"/>
          <w:sz w:val="17"/>
          <w:szCs w:val="17"/>
          <w:color w:val="auto"/>
        </w:rPr>
      </w:pPr>
    </w:p>
    <w:p>
      <w:pPr>
        <w:ind w:left="1120" w:right="219" w:hanging="293"/>
        <w:spacing w:after="0" w:line="271" w:lineRule="auto"/>
        <w:tabs>
          <w:tab w:leader="none" w:pos="11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the Board employment and severance arrangements for executive officers, including employment agreements and change-in-control provisions, plans or agreements;</w:t>
      </w:r>
    </w:p>
    <w:p>
      <w:pPr>
        <w:spacing w:after="0" w:line="58"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administering our incentive compensation and equity-based plans;</w:t>
      </w:r>
    </w:p>
    <w:p>
      <w:pPr>
        <w:spacing w:after="0" w:line="104" w:lineRule="exact"/>
        <w:rPr>
          <w:rFonts w:ascii="Times New Roman" w:cs="Times New Roman" w:eastAsia="Times New Roman" w:hAnsi="Times New Roman"/>
          <w:sz w:val="17"/>
          <w:szCs w:val="17"/>
          <w:color w:val="auto"/>
        </w:rPr>
      </w:pPr>
    </w:p>
    <w:p>
      <w:pPr>
        <w:ind w:left="1120" w:right="219" w:hanging="293"/>
        <w:spacing w:after="0" w:line="271" w:lineRule="auto"/>
        <w:tabs>
          <w:tab w:leader="none" w:pos="11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overseeing human capital programs, including those which promote employee development and retention and focus on workforce diversity and inclusion;</w:t>
      </w:r>
    </w:p>
    <w:p>
      <w:pPr>
        <w:spacing w:after="0" w:line="58"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assessment of risks related to the Company’s compensation policies and programs; and</w:t>
      </w:r>
    </w:p>
    <w:p>
      <w:pPr>
        <w:spacing w:after="0" w:line="104" w:lineRule="exact"/>
        <w:rPr>
          <w:rFonts w:ascii="Times New Roman" w:cs="Times New Roman" w:eastAsia="Times New Roman" w:hAnsi="Times New Roman"/>
          <w:sz w:val="17"/>
          <w:szCs w:val="17"/>
          <w:color w:val="auto"/>
        </w:rPr>
      </w:pPr>
    </w:p>
    <w:p>
      <w:pPr>
        <w:ind w:left="1120" w:right="219" w:hanging="293"/>
        <w:spacing w:after="0" w:line="271" w:lineRule="auto"/>
        <w:tabs>
          <w:tab w:leader="none" w:pos="11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annually reviewing an assessment of any potential conflicts of interest raised by the work of any compensation consultants.</w:t>
      </w:r>
    </w:p>
    <w:p>
      <w:pPr>
        <w:spacing w:after="0" w:line="58"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In order to comply with certain SEC requirements, the committee (or a subcommittee thereof) must consist of at least two directors that qualify as “non-employee directors” for the purposes of Rule 16b-3 under the Exchange Act. The Board has determined that each of Messrs. Babb, Borgese and Buller, and Ms. Lynton qualifies as a “non-employee director” and as “independent” as such term for Compensation Committee members is defined under Nasdaq listing standards.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Human Capital Oversight</w:t>
      </w:r>
    </w:p>
    <w:p>
      <w:pPr>
        <w:spacing w:after="0" w:line="106"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 xml:space="preserve">In overseeing our human capital programs, the committee works with management to foster a work environment that includes and embraces a diversity of backgrounds and perspectives. </w:t>
      </w:r>
      <w:r>
        <w:rPr>
          <w:rFonts w:ascii="Times New Roman" w:cs="Times New Roman" w:eastAsia="Times New Roman" w:hAnsi="Times New Roman"/>
          <w:sz w:val="17"/>
          <w:szCs w:val="17"/>
          <w:color w:val="231F20"/>
        </w:rPr>
        <w:t>The Company has focused on increasing diversity and has made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great progress towards this goal, including within its leadership team and operational management. For example, as </w:t>
      </w:r>
      <w:r>
        <w:rPr>
          <w:rFonts w:ascii="Times New Roman" w:cs="Times New Roman" w:eastAsia="Times New Roman" w:hAnsi="Times New Roman"/>
          <w:sz w:val="17"/>
          <w:szCs w:val="17"/>
          <w:color w:val="000000"/>
        </w:rPr>
        <w:t>of the end of</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fiscal year 2023, approximately:</w:t>
      </w:r>
    </w:p>
    <w:p>
      <w:pPr>
        <w:spacing w:after="0" w:line="72" w:lineRule="exact"/>
        <w:rPr>
          <w:sz w:val="20"/>
          <w:szCs w:val="20"/>
          <w:color w:val="auto"/>
        </w:rPr>
      </w:pPr>
    </w:p>
    <w:p>
      <w:pPr>
        <w:ind w:left="860" w:right="219" w:hanging="307"/>
        <w:spacing w:after="0" w:line="271" w:lineRule="auto"/>
        <w:tabs>
          <w:tab w:leader="none" w:pos="8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63% of our General Managers, Area Leaders, and Regional Directors identify as female and 94% identify as Non-White or Hispanic/Latino;</w:t>
      </w:r>
    </w:p>
    <w:p>
      <w:pPr>
        <w:spacing w:after="0" w:line="58" w:lineRule="exact"/>
        <w:rPr>
          <w:rFonts w:ascii="Times New Roman" w:cs="Times New Roman" w:eastAsia="Times New Roman" w:hAnsi="Times New Roman"/>
          <w:sz w:val="17"/>
          <w:szCs w:val="17"/>
          <w:color w:val="auto"/>
        </w:rPr>
      </w:pPr>
    </w:p>
    <w:p>
      <w:pPr>
        <w:ind w:left="860" w:right="219" w:hanging="307"/>
        <w:spacing w:after="0" w:line="271" w:lineRule="auto"/>
        <w:tabs>
          <w:tab w:leader="none" w:pos="8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58% of our Support Center employees who are at or above director level identify as female and 39% identify as Non-White or Hispanic/Latino; and</w:t>
      </w:r>
    </w:p>
    <w:p>
      <w:pPr>
        <w:spacing w:after="0" w:line="58" w:lineRule="exact"/>
        <w:rPr>
          <w:rFonts w:ascii="Times New Roman" w:cs="Times New Roman" w:eastAsia="Times New Roman" w:hAnsi="Times New Roman"/>
          <w:sz w:val="17"/>
          <w:szCs w:val="17"/>
          <w:color w:val="auto"/>
        </w:rPr>
      </w:pPr>
    </w:p>
    <w:p>
      <w:pPr>
        <w:ind w:left="860" w:hanging="307"/>
        <w:spacing w:after="0"/>
        <w:tabs>
          <w:tab w:leader="none" w:pos="86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 of our executive team identifies as female and 20% identifies as Non-White or Hispanic/Latino.</w:t>
      </w:r>
    </w:p>
    <w:p>
      <w:pPr>
        <w:spacing w:after="0" w:line="104"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Management regularly reports to the committee regarding team member development, health and wellness benefits and programs, special incentives and recognition programs, 401(k) plans, flexible work schedules, and any other programs designed to meet the needs of our team members and their families. Management also regularly reviews with the committee retention and engagement of team members.</w:t>
      </w:r>
    </w:p>
    <w:p>
      <w:pPr>
        <w:spacing w:after="0" w:line="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Executive and Director Compensation</w:t>
      </w:r>
    </w:p>
    <w:p>
      <w:pPr>
        <w:spacing w:after="0" w:line="106"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17"/>
          <w:szCs w:val="17"/>
          <w:color w:val="auto"/>
        </w:rPr>
        <w:t>Our processes and procedures for considering and determining executive and director compensation begin with the compensation guidelines in our corporate governance guidelines, which are developed and reviewed by the Nominating and Corporate Governance Committee and approved by the Board. These guidelines state that directors who are also Company officers are not to receive additional compensation for director service, and that compensation for non-employee directors should be competitive and encourage stock ownership through payment of a portion of compensation in the form of stock, options, or similar securities. Our guidelines also task the Compensation Committee with periodically reviewing the level and form of director compensation, including compared to companies of similar size, industry, and complexity, with changes to director compensation to be proposed to the full Board for consideration. Moreover, regarding delegation of authority, under its charter, the committee may form subcommittees for any purpose that the committee deems appropriate and may delegate to such subcommittees such power and authority as the committee deems appropriate; provided, however, that the committee shall not delegate to 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37" w:name="page38"/>
    <w:bookmarkEnd w:id="37"/>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17"/>
          <w:szCs w:val="17"/>
          <w:color w:val="auto"/>
        </w:rPr>
        <w:t>subcommittee any power or authority required by any law, regulation, or listing standard to be exercised by the committee as a whole.</w:t>
      </w:r>
    </w:p>
    <w:p>
      <w:pPr>
        <w:spacing w:after="0" w:line="158"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In particular, the committee may delegate the approval of award grants and other transactions and responsibilities regarding the administration of compensatory programs to a subcommittee consisting solely of members of the committee who are “non-employee directors” for the purposes of Rule 16b-3 under the Exchange Act.</w:t>
      </w:r>
    </w:p>
    <w:p>
      <w:pPr>
        <w:spacing w:after="0" w:line="169"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In addition, the committee may delegate to one or more of our officers the authority to make grants and awards of stock rights or options to any non-section 16 officer of the Company under such of our incentive-compensation or other equity-based plans as the committee deems appropriate and in accordance with the terms of such plans.</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Engagement of Consultants and Advisors</w:t>
      </w:r>
    </w:p>
    <w:p>
      <w:pPr>
        <w:spacing w:after="0" w:line="206"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color w:val="auto"/>
        </w:rPr>
        <w:t>Under its charter, our committee may conduct or authorize investigations into or studies of matters within its scope of responsibilities and may retain or obtain the advice of a compensation consultant, legal counsel, or other advisor in its sole discretion. The committee is directly responsible for the appointment, compensation, and oversight of the work of any compensation consultant, legal counsel, or other advisor that it retains. The Company bears all expenses. The committee may select, or receive advice from, a compensation consultant, legal counsel, or other advisor to the committee, other than in-house legal counsel, only after conducting an assessment of, and determining, the advisor’s independence, including whether the advisor’s work has raised any questions of independence or conflicts of interest, taking into consideration the Exchange Act, the factors set forth in the rules of the Nasdaq, and any other factors that the committee deems relevant.</w:t>
      </w:r>
    </w:p>
    <w:p>
      <w:pPr>
        <w:spacing w:after="0" w:line="177"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17"/>
          <w:szCs w:val="17"/>
          <w:color w:val="auto"/>
        </w:rPr>
        <w:t>In 2023, the committee engaged Semler Brossy Consulting Group, LLC (the “compensation consultant”), to advise the committee on an ongoing basis as an independent compensation consultant. The compensation consultant reports directly to the committee. While conducting assignments, the compensation consultant interacts with our management when appropriate. Specifically, our Chief People Officer and Chief Legal Officer, worked with the compensation consultant to provide information regarding the Company and its executive compensation policies and practices. In addition, the compensation consultant may seek feedback from the committee chairperson and other Board members regarding its work before presenting study results or recommendations to the committee. The compensation consultant may be invited to attend committee meetings. The committee determines when to hire, terminate, or replace the compensation consultant, and the projects to be performed by the compensation consultant. In 2023, as in prior years, the committee requested the compensation consultant to assist in review of Board compensation and executive compensation review and benchmarking against the Company’s peers. Except as described in this paragraph, the compensation consultant did not perform any other services to the Company or its management during fiscal 2023.</w:t>
      </w:r>
    </w:p>
    <w:p>
      <w:pPr>
        <w:spacing w:after="0" w:line="185"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After review and consultation with the compensation consultant, the committee determined that there was no conflict of interest resulting from retaining the consultant in fiscal 2023. The committee is retaining the compensation consultant to advise the committee on certain compensation matters in 2024, but under its charter the committee has the discretion to retain, or not to retain, compensation consultants and other advisors in its sole discretion.</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p>
      <w:pPr>
        <w:spacing w:after="0" w:line="208"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17"/>
          <w:szCs w:val="17"/>
          <w:color w:val="auto"/>
        </w:rPr>
        <w:t>The functions of the Nominating and Corporate Governance Committee for identifying and evaluating nominees for director, among other things, include:</w:t>
      </w:r>
    </w:p>
    <w:p>
      <w:pPr>
        <w:spacing w:after="0" w:line="158" w:lineRule="exact"/>
        <w:rPr>
          <w:sz w:val="20"/>
          <w:szCs w:val="20"/>
          <w:color w:val="auto"/>
        </w:rPr>
      </w:pPr>
    </w:p>
    <w:p>
      <w:pPr>
        <w:ind w:left="1120" w:right="219" w:hanging="293"/>
        <w:spacing w:after="0" w:line="271" w:lineRule="auto"/>
        <w:tabs>
          <w:tab w:leader="none" w:pos="11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recruiting, and, if appropriate, interviewing candidates to fill positions on the Board, including persons suggested by stockholders or others;</w:t>
      </w:r>
    </w:p>
    <w:p>
      <w:pPr>
        <w:spacing w:after="0" w:line="58"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backgrounds and qualifications of individuals being considered as director candidates;</w:t>
      </w:r>
    </w:p>
    <w:p>
      <w:pPr>
        <w:spacing w:after="0" w:line="104" w:lineRule="exact"/>
        <w:rPr>
          <w:rFonts w:ascii="Times New Roman" w:cs="Times New Roman" w:eastAsia="Times New Roman" w:hAnsi="Times New Roman"/>
          <w:sz w:val="17"/>
          <w:szCs w:val="17"/>
          <w:color w:val="auto"/>
        </w:rPr>
      </w:pPr>
    </w:p>
    <w:p>
      <w:pPr>
        <w:ind w:left="1120" w:right="219" w:hanging="293"/>
        <w:spacing w:after="0" w:line="271" w:lineRule="auto"/>
        <w:tabs>
          <w:tab w:leader="none" w:pos="11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the Board the director nominees for election by the stockholders or appointment by the Board, as the case may be, pursuant to our bylaws;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38" w:name="page39"/>
    <w:bookmarkEnd w:id="38"/>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1120" w:right="219" w:hanging="293"/>
        <w:spacing w:after="0" w:line="258" w:lineRule="auto"/>
        <w:tabs>
          <w:tab w:leader="none" w:pos="11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suitability for continued service as a director of each director when his or her term expires and when he or she has a change in status, including, but not limited to, an employment change, and to recommend whether or not the director should be re-nominated;</w:t>
      </w:r>
    </w:p>
    <w:p>
      <w:pPr>
        <w:spacing w:after="0" w:line="69"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director nominees and Board members for committee membership;</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corporate governance guidelines;</w:t>
      </w:r>
    </w:p>
    <w:p>
      <w:pPr>
        <w:spacing w:after="0" w:line="104" w:lineRule="exact"/>
        <w:rPr>
          <w:rFonts w:ascii="Times New Roman" w:cs="Times New Roman" w:eastAsia="Times New Roman" w:hAnsi="Times New Roman"/>
          <w:sz w:val="17"/>
          <w:szCs w:val="17"/>
          <w:color w:val="auto"/>
        </w:rPr>
      </w:pPr>
    </w:p>
    <w:p>
      <w:pPr>
        <w:ind w:left="1120" w:right="219" w:hanging="293"/>
        <w:spacing w:after="0" w:line="271" w:lineRule="auto"/>
        <w:tabs>
          <w:tab w:leader="none" w:pos="11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 xml:space="preserve">reviewing and assessing sustainability, environmental and social responsibility policies and goals as part of our ESG program; </w:t>
      </w:r>
      <w:r>
        <w:rPr>
          <w:rFonts w:ascii="Times New Roman" w:cs="Times New Roman" w:eastAsia="Times New Roman" w:hAnsi="Times New Roman"/>
          <w:sz w:val="17"/>
          <w:szCs w:val="17"/>
          <w:color w:val="000000"/>
        </w:rPr>
        <w:t>and</w:t>
      </w:r>
    </w:p>
    <w:p>
      <w:pPr>
        <w:spacing w:after="0" w:line="58"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evaluation of the Board and its committees.</w:t>
      </w:r>
    </w:p>
    <w:p>
      <w:pPr>
        <w:spacing w:after="0" w:line="204" w:lineRule="exact"/>
        <w:rPr>
          <w:sz w:val="20"/>
          <w:szCs w:val="20"/>
          <w:color w:val="auto"/>
        </w:rPr>
      </w:pPr>
    </w:p>
    <w:p>
      <w:pPr>
        <w:ind w:left="200" w:right="219"/>
        <w:spacing w:after="0" w:line="271" w:lineRule="auto"/>
        <w:rPr>
          <w:sz w:val="20"/>
          <w:szCs w:val="20"/>
          <w:color w:val="auto"/>
        </w:rPr>
      </w:pPr>
      <w:r>
        <w:rPr>
          <w:rFonts w:ascii="Times New Roman" w:cs="Times New Roman" w:eastAsia="Times New Roman" w:hAnsi="Times New Roman"/>
          <w:sz w:val="17"/>
          <w:szCs w:val="17"/>
          <w:color w:val="auto"/>
        </w:rPr>
        <w:t>As discussed above in the Q&amp;A, the committee will consider director candidates recommended by stockholders. The committee does not have any specific requirements for candidates and nominees, but is tasked by its charter to consider:</w:t>
      </w:r>
    </w:p>
    <w:p>
      <w:pPr>
        <w:spacing w:after="0" w:line="158" w:lineRule="exact"/>
        <w:rPr>
          <w:sz w:val="20"/>
          <w:szCs w:val="20"/>
          <w:color w:val="auto"/>
        </w:rPr>
      </w:pPr>
    </w:p>
    <w:p>
      <w:pPr>
        <w:ind w:left="1120" w:hanging="293"/>
        <w:spacing w:after="0"/>
        <w:tabs>
          <w:tab w:leader="none" w:pos="11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Skills,</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Expertise,</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Diversity,</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Personal and professional integrity,</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Character,</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judgment,</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 availability in light of other commitments,</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Dedication,</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Conflicts of interest, and</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relevant factors as the committee considers appropriate in the context of the needs of the Board.</w:t>
      </w:r>
    </w:p>
    <w:p>
      <w:pPr>
        <w:spacing w:after="0" w:line="204"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As a practical matter, the committee seeks candidates who contribute complimentary and relevant strengths, including diverse perspectives, diverse personal backgrounds, and diverse professional backgrounds encompassing retail, real estate, management, operations, finance, accounting, marketing, and law.</w:t>
      </w:r>
    </w:p>
    <w:p>
      <w:pPr>
        <w:spacing w:after="0" w:line="69"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17"/>
          <w:szCs w:val="17"/>
          <w:color w:val="auto"/>
        </w:rPr>
        <w:t>Similarly, under its corporate governance guidelines, the Board in evaluating nominees may apply all criteria it deems appropriate, including:</w:t>
      </w:r>
    </w:p>
    <w:p>
      <w:pPr>
        <w:spacing w:after="0" w:line="158" w:lineRule="exact"/>
        <w:rPr>
          <w:sz w:val="20"/>
          <w:szCs w:val="20"/>
          <w:color w:val="auto"/>
        </w:rPr>
      </w:pPr>
    </w:p>
    <w:p>
      <w:pPr>
        <w:ind w:left="1120" w:right="219" w:hanging="293"/>
        <w:spacing w:after="0" w:line="271" w:lineRule="auto"/>
        <w:tabs>
          <w:tab w:leader="none" w:pos="11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 nominee has the experience, knowledge and skills necessary to make a meaningful contribution to the Board’s oversight of the Company’s business and affairs,</w:t>
      </w:r>
    </w:p>
    <w:p>
      <w:pPr>
        <w:spacing w:after="0" w:line="58"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nominee’s reputation for honesty and ethical conduct in his or her personal and professional activities,</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candidate’s time availability in light of other commitments,</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Years of experience,</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conflicts of interest,</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relationships with the Company,</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Independence from the Company and its management, and</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diversity of backgrounds and experiences.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39" w:name="page40"/>
    <w:bookmarkEnd w:id="39"/>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spacing w:after="0" w:line="265" w:lineRule="auto"/>
        <w:rPr>
          <w:sz w:val="20"/>
          <w:szCs w:val="20"/>
          <w:color w:val="auto"/>
        </w:rPr>
      </w:pPr>
      <w:r>
        <w:rPr>
          <w:rFonts w:ascii="Times New Roman" w:cs="Times New Roman" w:eastAsia="Times New Roman" w:hAnsi="Times New Roman"/>
          <w:sz w:val="16"/>
          <w:szCs w:val="16"/>
          <w:color w:val="auto"/>
        </w:rPr>
        <w:t>As indicated, diversity in its many forms is important to the committee and to the Board in director selection as part of the holistic process of candidate and nominee evaluation. The committee’s responsibilities under its charter include (i) reviewing annually with the Board the composition of the Board as a whole and recommending, if necessary, measures to be taken so that the Board reflects the appropriate balance of knowledge, experience, skills, expertise, and diversity required for the Board as a whole, and (ii) annually evaluating the committee’s performance. Similarly, the Board is tasked under its corporate governance guidelines with conducting annual self-assessments of the performance of the Board and of each of its committees, the results of which will be discussed with the full Board and with each committee, including reviews of any areas where Board members or management believe that the Board can better contribute to the Company. The Board will use the results to determine the characteristics and skills required of prospective Board members and for committee assignments. Therefore, at both the committee and at the Board level, feedback mechanisms help assessment of diversity, recruitment, and other policies.</w:t>
      </w:r>
    </w:p>
    <w:p>
      <w:pPr>
        <w:spacing w:after="0" w:line="1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ESG Governance &amp; Leadership</w:t>
      </w:r>
    </w:p>
    <w:p>
      <w:pPr>
        <w:spacing w:after="0" w:line="206"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17"/>
          <w:szCs w:val="17"/>
          <w:color w:val="auto"/>
        </w:rPr>
        <w:t>El Pollo Loco recognizes that our employees and our communities are our greatest assets and have focused resources into building platforms to support them. In 2004, we created El Pollo Loco Charities, a non-profit charity, to support the communities surrounding our restaurants. Since that time, El Pollo Loco Charities, together with the Company, have provided over 15,000 meals per year to underprivileged families, through organizations like Food on Foot, Habitat for Humanity, Children’s Institute, and Court Appointed Special Advocates. Over the years we have increased our community outreach through initiatives such as food donation programs and community outreach and various revitalization programs, including painting murals across Southern California, supporting local schools and supporting programs that provide job opportunities, among other initiatives. In 2022, we launched our first Round Up for Charity campaign benefiting Feeding America. El Pollo Loco Charities committed to match the first 100,000 customer round ups in our effort to reach our goal of raising $400,000 for the charity. These efforts were continued the following year by raising $474,032. In 2023, El Pollo Loco launched the Familia Fund, a charitable fund from which team members experiencing financial hardships from unexpected personal crisis, can apply for grants.</w:t>
      </w:r>
    </w:p>
    <w:p>
      <w:pPr>
        <w:spacing w:after="0" w:line="185"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17"/>
          <w:szCs w:val="17"/>
          <w:color w:val="auto"/>
        </w:rPr>
        <w:t>ESG oversight is conducted from the highest levels of our organization. Our Board of Directors oversees our ESG and sustainability strategy, initiatives, and policies, including management’s assessment of these strategies, initiatives and policies, with assistance of our Nominating and Corporate Governance Committee, Audit Committee and Compensation Committee in their relative areas of expertise. At the management level, ESG oversight is provided by our Chief Executive Officer and our ESG Steering Committee. The ESG Steering Committee is made up of company employees with experience in relevant disciplines across our organization such as human resources, supply chain, quality assurance and legal.</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Compensation Committee Interlocks and Insider Participation</w:t>
      </w:r>
    </w:p>
    <w:p>
      <w:pPr>
        <w:spacing w:after="0" w:line="208"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color w:val="auto"/>
        </w:rPr>
        <w:t>During 2023, Compensation Committee members included Douglas J. Babb, Samuel N. Borgese, Mark Buller, and Carol (“Lili”) Lynton. None of these individuals during that year or otherwise formerly was our officer or employee or had any relationship requiring disclosure under Item 404 of Regulation S-K.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Board Meetings</w:t>
      </w:r>
    </w:p>
    <w:p>
      <w:pPr>
        <w:spacing w:after="0" w:line="208" w:lineRule="exact"/>
        <w:rPr>
          <w:sz w:val="20"/>
          <w:szCs w:val="20"/>
          <w:color w:val="auto"/>
        </w:rPr>
      </w:pPr>
    </w:p>
    <w:p>
      <w:pPr>
        <w:jc w:val="both"/>
        <w:ind w:left="200" w:right="219"/>
        <w:spacing w:after="0" w:line="303" w:lineRule="auto"/>
        <w:rPr>
          <w:sz w:val="20"/>
          <w:szCs w:val="20"/>
          <w:color w:val="auto"/>
        </w:rPr>
      </w:pPr>
      <w:r>
        <w:rPr>
          <w:rFonts w:ascii="Times New Roman" w:cs="Times New Roman" w:eastAsia="Times New Roman" w:hAnsi="Times New Roman"/>
          <w:sz w:val="16"/>
          <w:szCs w:val="16"/>
          <w:color w:val="auto"/>
        </w:rPr>
        <w:t>The Board held 16 meetings or special meetings in 2023. Each incumbent director attended at least 75% of the aggregate of the total number of board and committee meetings held in 2023 while that director served on the board and on those committees.</w:t>
      </w:r>
    </w:p>
    <w:p>
      <w:pPr>
        <w:spacing w:after="0" w:line="135"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This behavior is in accordance with our corporate governance guidelines, which state that directors are expected to spend the time and effort necessary to properly discharge their responsibilities, by regularly attending Board and committee meetings, and by reviewing, prior to meetings, material distributed in advance for those meetings.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40" w:name="page41"/>
    <w:bookmarkEnd w:id="40"/>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Annual Meeting Attendance</w:t>
      </w:r>
    </w:p>
    <w:p>
      <w:pPr>
        <w:spacing w:after="0" w:line="208"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Pursuant to our corporate governance guidelines, directors are expected to attend our annual meeting of stockholders, and a director who is unable to attend, which it is understood will occur on occasion, is expected to notify our Chairperson. In 2023, all directors then on the Board attended our annual meeting.</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Succession Planning</w:t>
      </w:r>
    </w:p>
    <w:p>
      <w:pPr>
        <w:spacing w:after="0" w:line="208"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color w:val="auto"/>
        </w:rPr>
        <w:t>The Board, led by the Compensation Committee, plans for Chief Executive Officer succession. To assist the Board and the Compensation Committee, the Chief Executive Officer provides to the Compensation Committee an annual assessment of each officer’s performance and discusses his or her ability to succeed the Chief Executive Officer or another senior officer, which assessments are used for succession planning purposes. In addition, the Chief Executive Officer and Chief Legal and People Officer prepare and maintain a short-term succession plan delineating temporary delegations of authority in the event that one or more senior officers unexpectedly become unavailable or incapacitated. This short-term succession plan is approved by the Board and effective in an emergency unless and until the Board takes other action.</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EXECUTIVE OFFICERS</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In addition to Elizabeth Williams, our Chief Executive Officer, whose biography is included under the heading “Director</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Biographies,” our other executive officers as of April 16, 2024,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137795</wp:posOffset>
            </wp:positionV>
            <wp:extent cx="436499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4364990" cy="15875"/>
                    </a:xfrm>
                    <a:prstGeom prst="rect">
                      <a:avLst/>
                    </a:prstGeom>
                    <a:noFill/>
                  </pic:spPr>
                </pic:pic>
              </a:graphicData>
            </a:graphic>
          </wp:anchor>
        </w:drawing>
      </w:r>
    </w:p>
    <w:p>
      <w:pPr>
        <w:spacing w:after="0" w:line="218" w:lineRule="exact"/>
        <w:rPr>
          <w:sz w:val="20"/>
          <w:szCs w:val="20"/>
          <w:color w:val="auto"/>
        </w:rPr>
      </w:pPr>
    </w:p>
    <w:tbl>
      <w:tblPr>
        <w:tblLayout w:type="fixed"/>
        <w:tblInd w:w="1060" w:type="dxa"/>
        <w:tblCellMar>
          <w:top w:w="0" w:type="dxa"/>
          <w:left w:w="0" w:type="dxa"/>
          <w:bottom w:w="0" w:type="dxa"/>
          <w:right w:w="0" w:type="dxa"/>
        </w:tblCellMar>
      </w:tblPr>
      <w:tr>
        <w:trPr>
          <w:trHeight w:val="272"/>
        </w:trPr>
        <w:tc>
          <w:tcPr>
            <w:tcW w:w="1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24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Age</w:t>
            </w:r>
          </w:p>
        </w:tc>
        <w:tc>
          <w:tcPr>
            <w:tcW w:w="322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20"/>
        </w:trPr>
        <w:tc>
          <w:tcPr>
            <w:tcW w:w="1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42"/>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Ira Fils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37"/>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Maria Hollandsworth</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Chief Operating Officer</w:t>
            </w:r>
          </w:p>
        </w:tc>
      </w:tr>
      <w:tr>
        <w:trPr>
          <w:trHeight w:val="42"/>
        </w:trPr>
        <w:tc>
          <w:tcPr>
            <w:tcW w:w="1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r>
    </w:tbl>
    <w:p>
      <w:pPr>
        <w:spacing w:after="0" w:line="180"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Ira Fils </w:t>
      </w:r>
      <w:r>
        <w:rPr>
          <w:rFonts w:ascii="Times New Roman" w:cs="Times New Roman" w:eastAsia="Times New Roman" w:hAnsi="Times New Roman"/>
          <w:sz w:val="17"/>
          <w:szCs w:val="17"/>
          <w:color w:val="auto"/>
        </w:rPr>
        <w:t>was appointed our Chief Financial Officer on June 27, 2022. Prior to joining El Pollo Loco, Mr. Fils joined The Habit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Restaurants, LLC (“Habit”) in August 2008 as Chief Financial Officer and Secretary, where he helped lead Habit’s successful IPO in 2014, and actively participated in the sale of Habit to YUM! Brands in 2020. During his tenure, he was a key member of the Executive Team that grew Habit restaurants from 20 locations to over 300 locations. Prior to his time at Habit, Mr. Fils served as Chief Financial Officer of Mimi’s Café from 2005 to 2008, after joining the company as Vice President of Finance in 2003. From 1998 to 2003, he served in various financial capacities with increasing responsibility which led to him becoming Chief Financial Officer at Rubio’s Restaurants, Inc. He holds an undergraduate degree in economics and an MBA from the University of California, Irvine.</w:t>
      </w:r>
    </w:p>
    <w:p>
      <w:pPr>
        <w:spacing w:after="0" w:line="177"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Maria Hollandsworth </w:t>
      </w:r>
      <w:r>
        <w:rPr>
          <w:rFonts w:ascii="Times New Roman" w:cs="Times New Roman" w:eastAsia="Times New Roman" w:hAnsi="Times New Roman"/>
          <w:sz w:val="17"/>
          <w:szCs w:val="17"/>
          <w:color w:val="auto"/>
        </w:rPr>
        <w:t>was appointed our Chief Operating Officer on October 31, 2022 and has served as our President since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March 2024. She previously served as our interim Chief Executive Officer and President from November 2023 to March 2024. Before joining El Pollo Loco, Ms. Hollandsworth was the Regional Vice President of Operations for Dunkin’, a division of multi-brand restaurant company Inspire Brands, Inc. During her tenure, she worked closely with Dunkin’ franchisees to establish and execute a strategic market plan. She also led the leadership team in building strong relationships with franchisee leaders and increasing profitability through a culture of trust, respect, and improved guest satisfaction. Prior to Inspire, Ms. Hollandsworth worked for over 20 years at Jack in the Box, most recently serving as the Vice President of Strategic Initiatives and Operations Services from 2013 to 2018, where she successfully executed the creation and implementation of enterprise-wide strategic initiatives across over 2,000 restaurants. Prior to this role, Ms. Hollandsworth held leadership roles in both company and franchise operations at Jack in the Box.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41" w:name="page42"/>
    <w:bookmarkEnd w:id="41"/>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COMPENSATION DISCUSSION AND ANALYSIS</w:t>
      </w:r>
    </w:p>
    <w:p>
      <w:pPr>
        <w:spacing w:after="0" w:line="221"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This Compensation Discussion and Analysis (“CD&amp;A”) provides an overview of our overall executive compensation program, including the philosophy and goals, main components of pay and the decision-making process with respect to each of our Named Executive Officers (“NEOs”) for 2023. We believe our compensation programs reflect our commitment to adhere to best practices and only reward positive performance.</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For 2023 our NEOs were:</w:t>
      </w:r>
    </w:p>
    <w:p>
      <w:pPr>
        <w:spacing w:after="0" w:line="204" w:lineRule="exact"/>
        <w:rPr>
          <w:sz w:val="20"/>
          <w:szCs w:val="20"/>
          <w:color w:val="auto"/>
        </w:rPr>
      </w:pPr>
    </w:p>
    <w:p>
      <w:pPr>
        <w:ind w:left="1120" w:right="219" w:hanging="293"/>
        <w:spacing w:after="0" w:line="271" w:lineRule="auto"/>
        <w:tabs>
          <w:tab w:leader="none" w:pos="11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Maria Hollandsworth, Interim Chief Executive Officer, President and Executive Vice President, Chief Operating Officer (beginning November 4, 2023)</w:t>
      </w:r>
    </w:p>
    <w:p>
      <w:pPr>
        <w:spacing w:after="0" w:line="158"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Laurance Roberts, Former President and Chief Executive Officer (through November 3, 2023)</w:t>
      </w:r>
    </w:p>
    <w:p>
      <w:pPr>
        <w:spacing w:after="0" w:line="2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Ira Fils, Chief Financial Officer</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3"/>
          <w:szCs w:val="23"/>
          <w:b w:val="1"/>
          <w:bCs w:val="1"/>
          <w:color w:val="auto"/>
        </w:rPr>
        <w:t>Executive Summary</w:t>
      </w: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Fiscal 2023 – Year in Review</w:t>
      </w:r>
    </w:p>
    <w:p>
      <w:pPr>
        <w:spacing w:after="0" w:line="208" w:lineRule="exact"/>
        <w:rPr>
          <w:sz w:val="20"/>
          <w:szCs w:val="20"/>
          <w:color w:val="auto"/>
        </w:rPr>
      </w:pPr>
    </w:p>
    <w:p>
      <w:pPr>
        <w:ind w:left="200" w:right="679"/>
        <w:spacing w:after="0" w:line="303" w:lineRule="auto"/>
        <w:rPr>
          <w:sz w:val="20"/>
          <w:szCs w:val="20"/>
          <w:color w:val="auto"/>
        </w:rPr>
      </w:pPr>
      <w:r>
        <w:rPr>
          <w:rFonts w:ascii="Times New Roman" w:cs="Times New Roman" w:eastAsia="Times New Roman" w:hAnsi="Times New Roman"/>
          <w:sz w:val="16"/>
          <w:szCs w:val="16"/>
          <w:color w:val="auto"/>
        </w:rPr>
        <w:t>While our top line performance throughout the year was below our expectations as the restaurant industry faced another challenging year in operating environment, we continued to stay aligned around our five key operational pillars including:</w:t>
      </w:r>
    </w:p>
    <w:p>
      <w:pPr>
        <w:spacing w:after="0" w:line="273" w:lineRule="exact"/>
        <w:rPr>
          <w:sz w:val="20"/>
          <w:szCs w:val="20"/>
          <w:color w:val="auto"/>
        </w:rPr>
      </w:pPr>
    </w:p>
    <w:p>
      <w:pPr>
        <w:ind w:left="820" w:hanging="292"/>
        <w:spacing w:after="0"/>
        <w:tabs>
          <w:tab w:leader="none" w:pos="8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Attracting, hiring, and retaining top talent;</w:t>
      </w:r>
    </w:p>
    <w:p>
      <w:pPr>
        <w:spacing w:after="0" w:line="204"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EPL hospitality;</w:t>
      </w:r>
    </w:p>
    <w:p>
      <w:pPr>
        <w:spacing w:after="0" w:line="204"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known for our famous fire-grilled chicken;</w:t>
      </w:r>
    </w:p>
    <w:p>
      <w:pPr>
        <w:spacing w:after="0" w:line="204"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Promoting digital in service of improving the customer experience; and</w:t>
      </w:r>
    </w:p>
    <w:p>
      <w:pPr>
        <w:spacing w:after="0" w:line="204" w:lineRule="exact"/>
        <w:rPr>
          <w:rFonts w:ascii="Times New Roman" w:cs="Times New Roman" w:eastAsia="Times New Roman" w:hAnsi="Times New Roman"/>
          <w:sz w:val="17"/>
          <w:szCs w:val="17"/>
          <w:color w:val="auto"/>
        </w:rPr>
      </w:pPr>
    </w:p>
    <w:p>
      <w:pPr>
        <w:ind w:left="820" w:hanging="292"/>
        <w:spacing w:after="0"/>
        <w:tabs>
          <w:tab w:leader="none" w:pos="8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as an asset light company.</w:t>
      </w:r>
    </w:p>
    <w:p>
      <w:pPr>
        <w:spacing w:after="0" w:line="104" w:lineRule="exact"/>
        <w:rPr>
          <w:sz w:val="20"/>
          <w:szCs w:val="20"/>
          <w:color w:val="auto"/>
        </w:rPr>
      </w:pPr>
    </w:p>
    <w:p>
      <w:pPr>
        <w:ind w:left="200" w:right="279"/>
        <w:spacing w:after="0" w:line="254" w:lineRule="auto"/>
        <w:rPr>
          <w:sz w:val="20"/>
          <w:szCs w:val="20"/>
          <w:color w:val="auto"/>
        </w:rPr>
      </w:pPr>
      <w:r>
        <w:rPr>
          <w:rFonts w:ascii="Times New Roman" w:cs="Times New Roman" w:eastAsia="Times New Roman" w:hAnsi="Times New Roman"/>
          <w:sz w:val="17"/>
          <w:szCs w:val="17"/>
          <w:color w:val="auto"/>
        </w:rPr>
        <w:t>This continued focus drove improved drive-thru times, higher social media ratings and less customer complaints across both company and franchise restaurants which resulted in 230 basis-point improvement in restaurant contribution margin for the year compared to last year. Restaurant contribution margin is not presented in accordance with accounting principles generally accepted in the United States of America (“GAAP”) and is defined below in Appendix A.</w:t>
      </w:r>
    </w:p>
    <w:p>
      <w:pPr>
        <w:spacing w:after="0" w:line="172" w:lineRule="exact"/>
        <w:rPr>
          <w:sz w:val="20"/>
          <w:szCs w:val="20"/>
          <w:color w:val="auto"/>
        </w:rPr>
      </w:pPr>
    </w:p>
    <w:p>
      <w:pPr>
        <w:ind w:left="200" w:right="579"/>
        <w:spacing w:after="0" w:line="258" w:lineRule="auto"/>
        <w:rPr>
          <w:sz w:val="20"/>
          <w:szCs w:val="20"/>
          <w:color w:val="auto"/>
        </w:rPr>
      </w:pPr>
      <w:r>
        <w:rPr>
          <w:rFonts w:ascii="Times New Roman" w:cs="Times New Roman" w:eastAsia="Times New Roman" w:hAnsi="Times New Roman"/>
          <w:sz w:val="17"/>
          <w:szCs w:val="17"/>
          <w:color w:val="auto"/>
        </w:rPr>
        <w:t>As we look ahead, we remain confident that our menu innovations, marketing initiatives and renewed focus on four-wall operational excellence will build upon the foundation we have laid down last year to unlock the immense potential we have ahead of us.</w:t>
      </w:r>
    </w:p>
    <w:p>
      <w:pPr>
        <w:spacing w:after="0" w:line="1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Share Repurchase Program</w:t>
      </w:r>
    </w:p>
    <w:p>
      <w:pPr>
        <w:spacing w:after="0" w:line="208" w:lineRule="exact"/>
        <w:rPr>
          <w:sz w:val="20"/>
          <w:szCs w:val="20"/>
          <w:color w:val="auto"/>
        </w:rPr>
      </w:pPr>
    </w:p>
    <w:p>
      <w:pPr>
        <w:ind w:left="200" w:right="319"/>
        <w:spacing w:after="0" w:line="250" w:lineRule="auto"/>
        <w:rPr>
          <w:sz w:val="20"/>
          <w:szCs w:val="20"/>
          <w:color w:val="auto"/>
        </w:rPr>
      </w:pPr>
      <w:r>
        <w:rPr>
          <w:rFonts w:ascii="Times New Roman" w:cs="Times New Roman" w:eastAsia="Times New Roman" w:hAnsi="Times New Roman"/>
          <w:sz w:val="17"/>
          <w:szCs w:val="17"/>
          <w:color w:val="auto"/>
        </w:rPr>
        <w:t>During fiscal 2023, the Company repurchased 2,030,850 shares of common stock under the 2022 Stock Repurchase Plan, using open market purchases, for total consideration of approximately $20.0 million. In addition, on August 7, 2023, the Company entered into a Stock Repurchase Agreement with FS Equity Partners V, L.P. and FS Affiliates V, L.P. (together, the “Sellers”), pursuant to which the Company agreed to purchase an aggregate of 2,500,000 shares of the Company’s common stock from the Sellers at a price of $10.63 per share, representing the closing price of such shares as listed on Nasdaq on August 7, 2023, for a total purchase price of $26.6 million. The repurchase was completed in August 2023.</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42" w:name="page43"/>
    <w:bookmarkEnd w:id="42"/>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spacing w:after="0" w:line="274" w:lineRule="auto"/>
        <w:rPr>
          <w:sz w:val="20"/>
          <w:szCs w:val="20"/>
          <w:color w:val="auto"/>
        </w:rPr>
      </w:pPr>
      <w:r>
        <w:rPr>
          <w:rFonts w:ascii="Times New Roman" w:cs="Times New Roman" w:eastAsia="Times New Roman" w:hAnsi="Times New Roman"/>
          <w:sz w:val="16"/>
          <w:szCs w:val="16"/>
          <w:color w:val="auto"/>
        </w:rPr>
        <w:t>Further, on November 29, 2023, the Company entered into another Stock Repurchase Agreement with FS Equity Partners V, L.P. and FS Affiliates V, L.P., pursuant to which the Company agreed to purchase an aggregate of 1,500,000 shares of the Company’s common stock from the Sellers at a price of $8.40 per share, representing the closing price of such shares as listed on Nasdaq on November 29, 2023, for a total purchase price of $12,600,000. The repurchase was completed on December 4, 2023.</w:t>
      </w:r>
    </w:p>
    <w:p>
      <w:pPr>
        <w:spacing w:after="0" w:line="1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Financial Results (Fiscal 2023)</w:t>
      </w:r>
    </w:p>
    <w:p>
      <w:pPr>
        <w:spacing w:after="0" w:line="204" w:lineRule="exact"/>
        <w:rPr>
          <w:sz w:val="20"/>
          <w:szCs w:val="20"/>
          <w:color w:val="auto"/>
        </w:rPr>
      </w:pPr>
    </w:p>
    <w:p>
      <w:pPr>
        <w:ind w:left="720" w:hanging="292"/>
        <w:spacing w:after="0"/>
        <w:tabs>
          <w:tab w:leader="none" w:pos="7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Total revenue </w:t>
      </w:r>
      <w:r>
        <w:rPr>
          <w:rFonts w:ascii="Times New Roman" w:cs="Times New Roman" w:eastAsia="Times New Roman" w:hAnsi="Times New Roman"/>
          <w:sz w:val="17"/>
          <w:szCs w:val="17"/>
          <w:color w:val="auto"/>
        </w:rPr>
        <w:t>was $468.7 million compared to $470.0 million in 2022.</w:t>
      </w:r>
    </w:p>
    <w:p>
      <w:pPr>
        <w:spacing w:after="0" w:line="24" w:lineRule="exact"/>
        <w:rPr>
          <w:rFonts w:ascii="Times New Roman" w:cs="Times New Roman" w:eastAsia="Times New Roman" w:hAnsi="Times New Roman"/>
          <w:sz w:val="17"/>
          <w:szCs w:val="17"/>
          <w:color w:val="auto"/>
        </w:rPr>
      </w:pPr>
    </w:p>
    <w:p>
      <w:pPr>
        <w:ind w:left="720" w:hanging="292"/>
        <w:spacing w:after="0"/>
        <w:tabs>
          <w:tab w:leader="none" w:pos="7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Income from operations </w:t>
      </w:r>
      <w:r>
        <w:rPr>
          <w:rFonts w:ascii="Times New Roman" w:cs="Times New Roman" w:eastAsia="Times New Roman" w:hAnsi="Times New Roman"/>
          <w:sz w:val="17"/>
          <w:szCs w:val="17"/>
          <w:color w:val="auto"/>
        </w:rPr>
        <w:t>was $39.8 million compared to $30.1 million in 2022.</w:t>
      </w:r>
    </w:p>
    <w:p>
      <w:pPr>
        <w:spacing w:after="0" w:line="4" w:lineRule="exact"/>
        <w:rPr>
          <w:rFonts w:ascii="Times New Roman" w:cs="Times New Roman" w:eastAsia="Times New Roman" w:hAnsi="Times New Roman"/>
          <w:sz w:val="17"/>
          <w:szCs w:val="17"/>
          <w:color w:val="auto"/>
        </w:rPr>
      </w:pPr>
    </w:p>
    <w:p>
      <w:pPr>
        <w:ind w:left="720" w:right="239" w:hanging="292"/>
        <w:spacing w:after="0" w:line="216" w:lineRule="auto"/>
        <w:tabs>
          <w:tab w:leader="none" w:pos="7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Restaurant contribution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was $61.9 million, or 15.5% of company-operated restaurant revenue, compared to $53.1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million, or 13.2% of company-operated restaurant revenue in 2022.</w:t>
      </w:r>
    </w:p>
    <w:p>
      <w:pPr>
        <w:ind w:left="720" w:hanging="292"/>
        <w:spacing w:after="0" w:line="182" w:lineRule="auto"/>
        <w:tabs>
          <w:tab w:leader="none" w:pos="7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Adjusted EBITDA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was $57.4 million compared to $48.7 million in 2022.</w:t>
      </w:r>
    </w:p>
    <w:p>
      <w:pPr>
        <w:ind w:left="720" w:right="219" w:hanging="292"/>
        <w:spacing w:after="0" w:line="249" w:lineRule="auto"/>
        <w:tabs>
          <w:tab w:leader="none" w:pos="7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Net income </w:t>
      </w:r>
      <w:r>
        <w:rPr>
          <w:rFonts w:ascii="Times New Roman" w:cs="Times New Roman" w:eastAsia="Times New Roman" w:hAnsi="Times New Roman"/>
          <w:sz w:val="17"/>
          <w:szCs w:val="17"/>
          <w:color w:val="auto"/>
        </w:rPr>
        <w:t>was $25.6 million, or $0.74 per diluted share, compared to net income of $20.8 million, or $0.57 per diluted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 in 2022.</w:t>
      </w:r>
    </w:p>
    <w:p>
      <w:pPr>
        <w:spacing w:after="0" w:line="176" w:lineRule="exact"/>
        <w:rPr>
          <w:sz w:val="20"/>
          <w:szCs w:val="20"/>
          <w:color w:val="auto"/>
        </w:rPr>
      </w:pPr>
    </w:p>
    <w:p>
      <w:pPr>
        <w:ind w:left="720" w:right="239" w:hanging="292"/>
        <w:spacing w:after="0" w:line="271" w:lineRule="auto"/>
        <w:tabs>
          <w:tab w:leader="none" w:pos="7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Restaurant contribution and adjusted EBITDA are not presented in accordance with GAAP and are defined below in Appendix A.</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3"/>
          <w:szCs w:val="23"/>
          <w:b w:val="1"/>
          <w:bCs w:val="1"/>
          <w:color w:val="auto"/>
        </w:rPr>
        <w:t>Overall Compensation Philosophy</w:t>
      </w: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We believe our compensation programs serve three primary purposes.</w:t>
      </w:r>
    </w:p>
    <w:p>
      <w:pPr>
        <w:spacing w:after="0" w:line="204" w:lineRule="exact"/>
        <w:rPr>
          <w:sz w:val="20"/>
          <w:szCs w:val="20"/>
          <w:color w:val="auto"/>
        </w:rPr>
      </w:pPr>
    </w:p>
    <w:p>
      <w:pPr>
        <w:ind w:left="1120" w:hanging="293"/>
        <w:spacing w:after="0"/>
        <w:tabs>
          <w:tab w:leader="none" w:pos="11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successfully execute our organizational strategy, it is critical to attract, retain, and motivate our employees.</w:t>
      </w:r>
    </w:p>
    <w:p>
      <w:pPr>
        <w:spacing w:after="0" w:line="104" w:lineRule="exact"/>
        <w:rPr>
          <w:rFonts w:ascii="Times New Roman" w:cs="Times New Roman" w:eastAsia="Times New Roman" w:hAnsi="Times New Roman"/>
          <w:sz w:val="17"/>
          <w:szCs w:val="17"/>
          <w:color w:val="auto"/>
        </w:rPr>
      </w:pPr>
    </w:p>
    <w:p>
      <w:pPr>
        <w:ind w:left="1120" w:right="219" w:hanging="293"/>
        <w:spacing w:after="0" w:line="271" w:lineRule="auto"/>
        <w:tabs>
          <w:tab w:leader="none" w:pos="11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hold our executive officers accountable for Company performance using performance-based incentive compensation.</w:t>
      </w:r>
    </w:p>
    <w:p>
      <w:pPr>
        <w:spacing w:after="0" w:line="58" w:lineRule="exact"/>
        <w:rPr>
          <w:rFonts w:ascii="Times New Roman" w:cs="Times New Roman" w:eastAsia="Times New Roman" w:hAnsi="Times New Roman"/>
          <w:sz w:val="17"/>
          <w:szCs w:val="17"/>
          <w:color w:val="auto"/>
        </w:rPr>
      </w:pPr>
    </w:p>
    <w:p>
      <w:pPr>
        <w:jc w:val="both"/>
        <w:ind w:left="1120" w:right="219" w:hanging="293"/>
        <w:spacing w:after="0" w:line="250" w:lineRule="auto"/>
        <w:tabs>
          <w:tab w:leader="none" w:pos="11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align the interests of management with our stockholders using equity incentives that vest over time and stock ownership requirements. At the heart of our compensation programs is a pay-for-performance philosophy. Our named executive officers have a significant percentage of their compensation “at risk,” meaning that if the Company performs at, above, or below its target goals, the named executive officer will be paid at above or below his or her target compensation. If the Company performs below its target goals, the named executive officer will be paid below his or her target compensation.</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43" w:name="page44"/>
    <w:bookmarkEnd w:id="43"/>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-142875</wp:posOffset>
            </wp:positionV>
            <wp:extent cx="545973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459730" cy="15875"/>
                    </a:xfrm>
                    <a:prstGeom prst="rect">
                      <a:avLst/>
                    </a:prstGeom>
                    <a:noFill/>
                  </pic:spPr>
                </pic:pic>
              </a:graphicData>
            </a:graphic>
          </wp:anchor>
        </w:drawing>
      </w:r>
    </w:p>
    <w:p>
      <w:pPr>
        <w:spacing w:after="0" w:line="59" w:lineRule="exact"/>
        <w:rPr>
          <w:sz w:val="20"/>
          <w:szCs w:val="20"/>
          <w:color w:val="auto"/>
        </w:rPr>
      </w:pPr>
    </w:p>
    <w:p>
      <w:pPr>
        <w:ind w:left="820" w:right="279" w:hanging="497"/>
        <w:spacing w:after="0" w:line="182" w:lineRule="auto"/>
        <w:tabs>
          <w:tab w:leader="none" w:pos="820" w:val="left"/>
        </w:tabs>
        <w:numPr>
          <w:ilvl w:val="0"/>
          <w:numId w:val="77"/>
        </w:numPr>
        <w:rPr>
          <w:rFonts w:ascii="Arial" w:cs="Arial" w:eastAsia="Arial" w:hAnsi="Arial"/>
          <w:sz w:val="30"/>
          <w:szCs w:val="30"/>
          <w:color w:val="auto"/>
          <w:vertAlign w:val="subscript"/>
        </w:rPr>
      </w:pPr>
      <w:r>
        <w:rPr>
          <w:rFonts w:ascii="Times New Roman" w:cs="Times New Roman" w:eastAsia="Times New Roman" w:hAnsi="Times New Roman"/>
          <w:sz w:val="13"/>
          <w:szCs w:val="13"/>
          <w:b w:val="1"/>
          <w:bCs w:val="1"/>
          <w:color w:val="auto"/>
        </w:rPr>
        <w:t xml:space="preserve">Pay-for-Performance Philosophy: </w:t>
      </w:r>
      <w:r>
        <w:rPr>
          <w:rFonts w:ascii="Times New Roman" w:cs="Times New Roman" w:eastAsia="Times New Roman" w:hAnsi="Times New Roman"/>
          <w:sz w:val="13"/>
          <w:szCs w:val="13"/>
          <w:color w:val="auto"/>
        </w:rPr>
        <w:t>A significant portion of our NEO’s target compensation is variable tied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achievement of performance goals or stock price appreciation.</w:t>
      </w:r>
    </w:p>
    <w:p>
      <w:pPr>
        <w:spacing w:after="0" w:line="106" w:lineRule="exact"/>
        <w:rPr>
          <w:rFonts w:ascii="Arial" w:cs="Arial" w:eastAsia="Arial" w:hAnsi="Arial"/>
          <w:sz w:val="30"/>
          <w:szCs w:val="30"/>
          <w:color w:val="auto"/>
          <w:vertAlign w:val="subscript"/>
        </w:rPr>
      </w:pPr>
    </w:p>
    <w:p>
      <w:pPr>
        <w:ind w:left="820" w:right="279" w:hanging="497"/>
        <w:spacing w:after="0" w:line="182" w:lineRule="auto"/>
        <w:tabs>
          <w:tab w:leader="none" w:pos="820" w:val="left"/>
        </w:tabs>
        <w:numPr>
          <w:ilvl w:val="0"/>
          <w:numId w:val="77"/>
        </w:numPr>
        <w:rPr>
          <w:rFonts w:ascii="Arial" w:cs="Arial" w:eastAsia="Arial" w:hAnsi="Arial"/>
          <w:sz w:val="30"/>
          <w:szCs w:val="30"/>
          <w:color w:val="auto"/>
          <w:vertAlign w:val="subscript"/>
        </w:rPr>
      </w:pPr>
      <w:r>
        <w:rPr>
          <w:rFonts w:ascii="Times New Roman" w:cs="Times New Roman" w:eastAsia="Times New Roman" w:hAnsi="Times New Roman"/>
          <w:sz w:val="13"/>
          <w:szCs w:val="13"/>
          <w:b w:val="1"/>
          <w:bCs w:val="1"/>
          <w:color w:val="auto"/>
        </w:rPr>
        <w:t xml:space="preserve">Emphasize Long-Term Performance: </w:t>
      </w:r>
      <w:r>
        <w:rPr>
          <w:rFonts w:ascii="Times New Roman" w:cs="Times New Roman" w:eastAsia="Times New Roman" w:hAnsi="Times New Roman"/>
          <w:sz w:val="13"/>
          <w:szCs w:val="13"/>
          <w:color w:val="auto"/>
        </w:rPr>
        <w:t>Our long-term incentive (“LTI”) program focuses on achieving strategic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objectives with vesting over a four-year period.</w:t>
      </w:r>
    </w:p>
    <w:p>
      <w:pPr>
        <w:spacing w:after="0" w:line="106" w:lineRule="exact"/>
        <w:rPr>
          <w:rFonts w:ascii="Arial" w:cs="Arial" w:eastAsia="Arial" w:hAnsi="Arial"/>
          <w:sz w:val="30"/>
          <w:szCs w:val="30"/>
          <w:color w:val="auto"/>
          <w:vertAlign w:val="subscript"/>
        </w:rPr>
      </w:pPr>
    </w:p>
    <w:p>
      <w:pPr>
        <w:ind w:left="820" w:right="259" w:hanging="497"/>
        <w:spacing w:after="0" w:line="182" w:lineRule="auto"/>
        <w:tabs>
          <w:tab w:leader="none" w:pos="820" w:val="left"/>
        </w:tabs>
        <w:numPr>
          <w:ilvl w:val="0"/>
          <w:numId w:val="77"/>
        </w:numPr>
        <w:rPr>
          <w:rFonts w:ascii="Arial" w:cs="Arial" w:eastAsia="Arial" w:hAnsi="Arial"/>
          <w:sz w:val="30"/>
          <w:szCs w:val="30"/>
          <w:color w:val="auto"/>
          <w:vertAlign w:val="subscript"/>
        </w:rPr>
      </w:pPr>
      <w:r>
        <w:rPr>
          <w:rFonts w:ascii="Times New Roman" w:cs="Times New Roman" w:eastAsia="Times New Roman" w:hAnsi="Times New Roman"/>
          <w:sz w:val="13"/>
          <w:szCs w:val="13"/>
          <w:b w:val="1"/>
          <w:bCs w:val="1"/>
          <w:color w:val="auto"/>
        </w:rPr>
        <w:t xml:space="preserve">Independent Compensation Consultant: </w:t>
      </w:r>
      <w:r>
        <w:rPr>
          <w:rFonts w:ascii="Times New Roman" w:cs="Times New Roman" w:eastAsia="Times New Roman" w:hAnsi="Times New Roman"/>
          <w:sz w:val="13"/>
          <w:szCs w:val="13"/>
          <w:color w:val="auto"/>
        </w:rPr>
        <w:t>The consultant is retained by and reports directly to the Compensation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Committee and does not have any other consulting engagements with management or the Company.</w:t>
      </w:r>
    </w:p>
    <w:p>
      <w:pPr>
        <w:spacing w:after="0" w:line="106" w:lineRule="exact"/>
        <w:rPr>
          <w:rFonts w:ascii="Arial" w:cs="Arial" w:eastAsia="Arial" w:hAnsi="Arial"/>
          <w:sz w:val="30"/>
          <w:szCs w:val="30"/>
          <w:color w:val="auto"/>
          <w:vertAlign w:val="subscript"/>
        </w:rPr>
      </w:pPr>
    </w:p>
    <w:p>
      <w:pPr>
        <w:ind w:left="820" w:right="259" w:hanging="497"/>
        <w:spacing w:after="0" w:line="182" w:lineRule="auto"/>
        <w:tabs>
          <w:tab w:leader="none" w:pos="820" w:val="left"/>
        </w:tabs>
        <w:numPr>
          <w:ilvl w:val="0"/>
          <w:numId w:val="77"/>
        </w:numPr>
        <w:rPr>
          <w:rFonts w:ascii="Arial" w:cs="Arial" w:eastAsia="Arial" w:hAnsi="Arial"/>
          <w:sz w:val="30"/>
          <w:szCs w:val="30"/>
          <w:color w:val="auto"/>
          <w:vertAlign w:val="subscript"/>
        </w:rPr>
      </w:pPr>
      <w:r>
        <w:rPr>
          <w:rFonts w:ascii="Times New Roman" w:cs="Times New Roman" w:eastAsia="Times New Roman" w:hAnsi="Times New Roman"/>
          <w:sz w:val="13"/>
          <w:szCs w:val="13"/>
          <w:b w:val="1"/>
          <w:bCs w:val="1"/>
          <w:color w:val="auto"/>
        </w:rPr>
        <w:t xml:space="preserve">Provide Limited Perquisites: </w:t>
      </w:r>
      <w:r>
        <w:rPr>
          <w:rFonts w:ascii="Times New Roman" w:cs="Times New Roman" w:eastAsia="Times New Roman" w:hAnsi="Times New Roman"/>
          <w:sz w:val="13"/>
          <w:szCs w:val="13"/>
          <w:color w:val="auto"/>
        </w:rPr>
        <w:t>Our NEOs receive perquisites consistent with industry practices and participate in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same plans generally at the same level and offering made available to other employees.</w:t>
      </w:r>
    </w:p>
    <w:p>
      <w:pPr>
        <w:spacing w:after="0" w:line="106" w:lineRule="exact"/>
        <w:rPr>
          <w:rFonts w:ascii="Arial" w:cs="Arial" w:eastAsia="Arial" w:hAnsi="Arial"/>
          <w:sz w:val="30"/>
          <w:szCs w:val="30"/>
          <w:color w:val="auto"/>
          <w:vertAlign w:val="subscript"/>
        </w:rPr>
      </w:pPr>
    </w:p>
    <w:p>
      <w:pPr>
        <w:ind w:left="820" w:right="279" w:hanging="497"/>
        <w:spacing w:after="0" w:line="182" w:lineRule="auto"/>
        <w:tabs>
          <w:tab w:leader="none" w:pos="820" w:val="left"/>
        </w:tabs>
        <w:numPr>
          <w:ilvl w:val="0"/>
          <w:numId w:val="77"/>
        </w:numPr>
        <w:rPr>
          <w:rFonts w:ascii="Arial" w:cs="Arial" w:eastAsia="Arial" w:hAnsi="Arial"/>
          <w:sz w:val="30"/>
          <w:szCs w:val="30"/>
          <w:color w:val="auto"/>
          <w:vertAlign w:val="subscript"/>
        </w:rPr>
      </w:pPr>
      <w:r>
        <w:rPr>
          <w:rFonts w:ascii="Times New Roman" w:cs="Times New Roman" w:eastAsia="Times New Roman" w:hAnsi="Times New Roman"/>
          <w:sz w:val="13"/>
          <w:szCs w:val="13"/>
          <w:b w:val="1"/>
          <w:bCs w:val="1"/>
          <w:color w:val="auto"/>
        </w:rPr>
        <w:t xml:space="preserve">Mitigate Risk: </w:t>
      </w:r>
      <w:r>
        <w:rPr>
          <w:rFonts w:ascii="Times New Roman" w:cs="Times New Roman" w:eastAsia="Times New Roman" w:hAnsi="Times New Roman"/>
          <w:sz w:val="13"/>
          <w:szCs w:val="13"/>
          <w:color w:val="auto"/>
        </w:rPr>
        <w:t>The Compensation Committee reviews and revises our compensation programs annually to mitigate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undue risk and align with market best practices.</w:t>
      </w:r>
    </w:p>
    <w:p>
      <w:pPr>
        <w:spacing w:after="0" w:line="106" w:lineRule="exact"/>
        <w:rPr>
          <w:rFonts w:ascii="Arial" w:cs="Arial" w:eastAsia="Arial" w:hAnsi="Arial"/>
          <w:sz w:val="30"/>
          <w:szCs w:val="30"/>
          <w:color w:val="auto"/>
          <w:vertAlign w:val="subscript"/>
        </w:rPr>
      </w:pPr>
    </w:p>
    <w:p>
      <w:pPr>
        <w:ind w:left="820" w:right="279" w:hanging="497"/>
        <w:spacing w:after="0"/>
        <w:tabs>
          <w:tab w:leader="none" w:pos="820" w:val="left"/>
        </w:tabs>
        <w:numPr>
          <w:ilvl w:val="0"/>
          <w:numId w:val="77"/>
        </w:numPr>
        <w:rPr>
          <w:rFonts w:ascii="Arial" w:cs="Arial" w:eastAsia="Arial" w:hAnsi="Arial"/>
          <w:sz w:val="31"/>
          <w:szCs w:val="31"/>
          <w:color w:val="auto"/>
          <w:vertAlign w:val="subscript"/>
        </w:rPr>
      </w:pPr>
      <w:r>
        <w:rPr>
          <w:rFonts w:ascii="Times New Roman" w:cs="Times New Roman" w:eastAsia="Times New Roman" w:hAnsi="Times New Roman"/>
          <w:sz w:val="13"/>
          <w:szCs w:val="13"/>
          <w:b w:val="1"/>
          <w:bCs w:val="1"/>
          <w:color w:val="auto"/>
        </w:rPr>
        <w:t xml:space="preserve">Clawback Policy: </w:t>
      </w:r>
      <w:r>
        <w:rPr>
          <w:rFonts w:ascii="Times New Roman" w:cs="Times New Roman" w:eastAsia="Times New Roman" w:hAnsi="Times New Roman"/>
          <w:sz w:val="13"/>
          <w:szCs w:val="13"/>
          <w:color w:val="auto"/>
        </w:rPr>
        <w:t>Clawback provisions provide the ability to recover compensation in accordance with recently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approved SEC and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34925</wp:posOffset>
            </wp:positionV>
            <wp:extent cx="545973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459730" cy="15875"/>
                    </a:xfrm>
                    <a:prstGeom prst="rect">
                      <a:avLst/>
                    </a:prstGeom>
                    <a:noFill/>
                  </pic:spPr>
                </pic:pic>
              </a:graphicData>
            </a:graphic>
          </wp:anchor>
        </w:drawing>
        <w:drawing>
          <wp:anchor simplePos="0" relativeHeight="251657728" behindDoc="1" locked="0" layoutInCell="0" allowOverlap="1">
            <wp:simplePos x="0" y="0"/>
            <wp:positionH relativeFrom="column">
              <wp:posOffset>130175</wp:posOffset>
            </wp:positionH>
            <wp:positionV relativeFrom="paragraph">
              <wp:posOffset>-1940560</wp:posOffset>
            </wp:positionV>
            <wp:extent cx="545973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459730" cy="15875"/>
                    </a:xfrm>
                    <a:prstGeom prst="rect">
                      <a:avLst/>
                    </a:prstGeom>
                    <a:noFill/>
                  </pic:spPr>
                </pic:pic>
              </a:graphicData>
            </a:graphic>
          </wp:anchor>
        </w:drawing>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-142875</wp:posOffset>
            </wp:positionV>
            <wp:extent cx="545973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459730" cy="15875"/>
                    </a:xfrm>
                    <a:prstGeom prst="rect">
                      <a:avLst/>
                    </a:prstGeom>
                    <a:noFill/>
                  </pic:spPr>
                </pic:pic>
              </a:graphicData>
            </a:graphic>
          </wp:anchor>
        </w:drawing>
      </w:r>
    </w:p>
    <w:p>
      <w:pPr>
        <w:ind w:left="820" w:hanging="540"/>
        <w:spacing w:after="0" w:line="193" w:lineRule="auto"/>
        <w:tabs>
          <w:tab w:leader="none" w:pos="820" w:val="left"/>
        </w:tabs>
        <w:numPr>
          <w:ilvl w:val="0"/>
          <w:numId w:val="78"/>
        </w:numPr>
        <w:rPr>
          <w:rFonts w:ascii="Arial" w:cs="Arial" w:eastAsia="Arial" w:hAnsi="Arial"/>
          <w:sz w:val="37"/>
          <w:szCs w:val="37"/>
          <w:color w:val="auto"/>
        </w:rPr>
      </w:pPr>
      <w:r>
        <w:rPr>
          <w:rFonts w:ascii="Times New Roman" w:cs="Times New Roman" w:eastAsia="Times New Roman" w:hAnsi="Times New Roman"/>
          <w:sz w:val="17"/>
          <w:szCs w:val="17"/>
          <w:b w:val="1"/>
          <w:bCs w:val="1"/>
          <w:color w:val="auto"/>
        </w:rPr>
        <w:t xml:space="preserve">No Tax Gross-Ups: </w:t>
      </w:r>
      <w:r>
        <w:rPr>
          <w:rFonts w:ascii="Times New Roman" w:cs="Times New Roman" w:eastAsia="Times New Roman" w:hAnsi="Times New Roman"/>
          <w:sz w:val="17"/>
          <w:szCs w:val="17"/>
          <w:color w:val="auto"/>
        </w:rPr>
        <w:t>We do not provide any tax gross-ups on perquisites or benefits.</w:t>
      </w:r>
    </w:p>
    <w:p>
      <w:pPr>
        <w:spacing w:after="0" w:line="204" w:lineRule="exact"/>
        <w:rPr>
          <w:rFonts w:ascii="Arial" w:cs="Arial" w:eastAsia="Arial" w:hAnsi="Arial"/>
          <w:sz w:val="37"/>
          <w:szCs w:val="37"/>
          <w:color w:val="auto"/>
        </w:rPr>
      </w:pPr>
    </w:p>
    <w:p>
      <w:pPr>
        <w:ind w:left="820" w:right="279" w:hanging="540"/>
        <w:spacing w:after="0" w:line="183" w:lineRule="auto"/>
        <w:tabs>
          <w:tab w:leader="none" w:pos="820" w:val="left"/>
        </w:tabs>
        <w:numPr>
          <w:ilvl w:val="0"/>
          <w:numId w:val="78"/>
        </w:numPr>
        <w:rPr>
          <w:rFonts w:ascii="Arial" w:cs="Arial" w:eastAsia="Arial" w:hAnsi="Arial"/>
          <w:sz w:val="41"/>
          <w:szCs w:val="41"/>
          <w:color w:val="auto"/>
          <w:vertAlign w:val="subscript"/>
        </w:rPr>
      </w:pPr>
      <w:r>
        <w:rPr>
          <w:rFonts w:ascii="Times New Roman" w:cs="Times New Roman" w:eastAsia="Times New Roman" w:hAnsi="Times New Roman"/>
          <w:sz w:val="14"/>
          <w:szCs w:val="14"/>
          <w:b w:val="1"/>
          <w:bCs w:val="1"/>
          <w:color w:val="auto"/>
        </w:rPr>
        <w:t>Reprice or buyout of underwater stock options</w:t>
      </w:r>
      <w:r>
        <w:rPr>
          <w:rFonts w:ascii="Times New Roman" w:cs="Times New Roman" w:eastAsia="Times New Roman" w:hAnsi="Times New Roman"/>
          <w:sz w:val="14"/>
          <w:szCs w:val="14"/>
          <w:color w:val="auto"/>
        </w:rPr>
        <w:t>: We do not allow the repricing of stock options without stockholder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approval.</w:t>
      </w:r>
    </w:p>
    <w:p>
      <w:pPr>
        <w:spacing w:after="0" w:line="93" w:lineRule="exact"/>
        <w:rPr>
          <w:rFonts w:ascii="Arial" w:cs="Arial" w:eastAsia="Arial" w:hAnsi="Arial"/>
          <w:sz w:val="41"/>
          <w:szCs w:val="41"/>
          <w:color w:val="auto"/>
          <w:vertAlign w:val="subscript"/>
        </w:rPr>
      </w:pPr>
    </w:p>
    <w:p>
      <w:pPr>
        <w:ind w:left="820"/>
        <w:spacing w:after="0"/>
        <w:rPr>
          <w:rFonts w:ascii="Arial" w:cs="Arial" w:eastAsia="Arial" w:hAnsi="Arial"/>
          <w:sz w:val="41"/>
          <w:szCs w:val="41"/>
          <w:color w:val="auto"/>
          <w:vertAlign w:val="subscript"/>
        </w:rPr>
      </w:pPr>
      <w:r>
        <w:rPr>
          <w:rFonts w:ascii="Times New Roman" w:cs="Times New Roman" w:eastAsia="Times New Roman" w:hAnsi="Times New Roman"/>
          <w:sz w:val="16"/>
          <w:szCs w:val="16"/>
          <w:b w:val="1"/>
          <w:bCs w:val="1"/>
          <w:color w:val="auto"/>
        </w:rPr>
        <w:t xml:space="preserve">No Short Sale Transactions. Hedging and Pledging transactions are not permitted: </w:t>
      </w:r>
      <w:r>
        <w:rPr>
          <w:rFonts w:ascii="Times New Roman" w:cs="Times New Roman" w:eastAsia="Times New Roman" w:hAnsi="Times New Roman"/>
          <w:sz w:val="16"/>
          <w:szCs w:val="16"/>
          <w:color w:val="auto"/>
        </w:rPr>
        <w:t>We do not permit any director</w:t>
      </w:r>
    </w:p>
    <w:p>
      <w:pPr>
        <w:spacing w:after="0" w:line="36" w:lineRule="exact"/>
        <w:rPr>
          <w:rFonts w:ascii="Arial" w:cs="Arial" w:eastAsia="Arial" w:hAnsi="Arial"/>
          <w:sz w:val="41"/>
          <w:szCs w:val="41"/>
          <w:color w:val="auto"/>
          <w:vertAlign w:val="subscript"/>
        </w:rPr>
      </w:pPr>
    </w:p>
    <w:p>
      <w:pPr>
        <w:jc w:val="both"/>
        <w:ind w:left="820" w:right="259" w:hanging="540"/>
        <w:spacing w:after="0" w:line="188" w:lineRule="auto"/>
        <w:tabs>
          <w:tab w:leader="none" w:pos="820" w:val="left"/>
        </w:tabs>
        <w:numPr>
          <w:ilvl w:val="0"/>
          <w:numId w:val="78"/>
        </w:numPr>
        <w:rPr>
          <w:rFonts w:ascii="Arial" w:cs="Arial" w:eastAsia="Arial" w:hAnsi="Arial"/>
          <w:sz w:val="45"/>
          <w:szCs w:val="45"/>
          <w:color w:val="auto"/>
          <w:vertAlign w:val="subscript"/>
        </w:rPr>
      </w:pPr>
      <w:r>
        <w:rPr>
          <w:rFonts w:ascii="Times New Roman" w:cs="Times New Roman" w:eastAsia="Times New Roman" w:hAnsi="Times New Roman"/>
          <w:sz w:val="14"/>
          <w:szCs w:val="14"/>
          <w:color w:val="auto"/>
        </w:rPr>
        <w:t>or officer to engage in short sales, put or call transactions, hedging, or other similar transactions, subject to a limited exception applicable to pledges that requires Company pre-approval. Directors or officers may not margin or borrow against any Company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24765</wp:posOffset>
            </wp:positionV>
            <wp:extent cx="545973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459730" cy="15875"/>
                    </a:xfrm>
                    <a:prstGeom prst="rect">
                      <a:avLst/>
                    </a:prstGeom>
                    <a:noFill/>
                  </pic:spPr>
                </pic:pic>
              </a:graphicData>
            </a:graphic>
          </wp:anchor>
        </w:drawing>
        <w:drawing>
          <wp:anchor simplePos="0" relativeHeight="251657728" behindDoc="1" locked="0" layoutInCell="0" allowOverlap="1">
            <wp:simplePos x="0" y="0"/>
            <wp:positionH relativeFrom="column">
              <wp:posOffset>130175</wp:posOffset>
            </wp:positionH>
            <wp:positionV relativeFrom="paragraph">
              <wp:posOffset>-1188720</wp:posOffset>
            </wp:positionV>
            <wp:extent cx="545973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459730" cy="15875"/>
                    </a:xfrm>
                    <a:prstGeom prst="rect">
                      <a:avLst/>
                    </a:prstGeom>
                    <a:noFill/>
                  </pic:spPr>
                </pic:pic>
              </a:graphicData>
            </a:graphic>
          </wp:anchor>
        </w:drawing>
      </w:r>
    </w:p>
    <w:p>
      <w:pPr>
        <w:spacing w:after="0" w:line="227" w:lineRule="exact"/>
        <w:rPr>
          <w:sz w:val="20"/>
          <w:szCs w:val="20"/>
          <w:color w:val="auto"/>
        </w:rPr>
      </w:pPr>
    </w:p>
    <w:p>
      <w:pPr>
        <w:ind w:left="200" w:right="219"/>
        <w:spacing w:after="0" w:line="271" w:lineRule="auto"/>
        <w:rPr>
          <w:sz w:val="20"/>
          <w:szCs w:val="20"/>
          <w:color w:val="auto"/>
        </w:rPr>
      </w:pPr>
      <w:r>
        <w:rPr>
          <w:rFonts w:ascii="Times New Roman" w:cs="Times New Roman" w:eastAsia="Times New Roman" w:hAnsi="Times New Roman"/>
          <w:sz w:val="17"/>
          <w:szCs w:val="17"/>
          <w:color w:val="auto"/>
        </w:rPr>
        <w:t>We believe these practices, along with our pay-for-performance philosophy, combine to create a compensation program aligned with the interests of our stockholders.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44" w:name="page45"/>
    <w:bookmarkEnd w:id="44"/>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3"/>
          <w:szCs w:val="23"/>
          <w:b w:val="1"/>
          <w:bCs w:val="1"/>
          <w:color w:val="auto"/>
        </w:rPr>
        <w:t>Elements of Executive Compensation</w:t>
      </w: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following table provides information regarding the elements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147955</wp:posOffset>
            </wp:positionV>
            <wp:extent cx="545973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459730" cy="15875"/>
                    </a:xfrm>
                    <a:prstGeom prst="rect">
                      <a:avLst/>
                    </a:prstGeom>
                    <a:noFill/>
                  </pic:spPr>
                </pic:pic>
              </a:graphicData>
            </a:graphic>
          </wp:anchor>
        </w:drawing>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64"/>
        </w:trPr>
        <w:tc>
          <w:tcPr>
            <w:tcW w:w="1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ELEMENT</w:t>
            </w:r>
          </w:p>
        </w:tc>
        <w:tc>
          <w:tcPr>
            <w:tcW w:w="232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FORM</w:t>
            </w:r>
          </w:p>
        </w:tc>
        <w:tc>
          <w:tcPr>
            <w:tcW w:w="448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OBJECTIVE AND BASIS</w:t>
            </w:r>
          </w:p>
        </w:tc>
        <w:tc>
          <w:tcPr>
            <w:tcW w:w="0" w:type="dxa"/>
            <w:vAlign w:val="bottom"/>
          </w:tcPr>
          <w:p>
            <w:pPr>
              <w:spacing w:after="0"/>
              <w:rPr>
                <w:sz w:val="1"/>
                <w:szCs w:val="1"/>
                <w:color w:val="auto"/>
              </w:rPr>
            </w:pPr>
          </w:p>
        </w:tc>
      </w:tr>
      <w:tr>
        <w:trPr>
          <w:trHeight w:val="57"/>
        </w:trPr>
        <w:tc>
          <w:tcPr>
            <w:tcW w:w="18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Attract and retain highly qualified executives.</w:t>
            </w:r>
          </w:p>
        </w:tc>
        <w:tc>
          <w:tcPr>
            <w:tcW w:w="0" w:type="dxa"/>
            <w:vAlign w:val="bottom"/>
          </w:tcPr>
          <w:p>
            <w:pPr>
              <w:spacing w:after="0"/>
              <w:rPr>
                <w:sz w:val="1"/>
                <w:szCs w:val="1"/>
                <w:color w:val="auto"/>
              </w:rPr>
            </w:pPr>
          </w:p>
        </w:tc>
      </w:tr>
      <w:tr>
        <w:trPr>
          <w:trHeight w:val="217"/>
        </w:trPr>
        <w:tc>
          <w:tcPr>
            <w:tcW w:w="18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tc>
        <w:tc>
          <w:tcPr>
            <w:tcW w:w="23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auto"/>
              </w:rPr>
              <w:t>Cash</w:t>
            </w:r>
          </w:p>
        </w:tc>
        <w:tc>
          <w:tcPr>
            <w:tcW w:w="4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Determined based on skills, experience, contribution,</w:t>
            </w:r>
          </w:p>
        </w:tc>
        <w:tc>
          <w:tcPr>
            <w:tcW w:w="0" w:type="dxa"/>
            <w:vAlign w:val="bottom"/>
          </w:tcPr>
          <w:p>
            <w:pPr>
              <w:spacing w:after="0"/>
              <w:rPr>
                <w:sz w:val="1"/>
                <w:szCs w:val="1"/>
                <w:color w:val="auto"/>
              </w:rPr>
            </w:pPr>
          </w:p>
        </w:tc>
      </w:tr>
      <w:tr>
        <w:trPr>
          <w:trHeight w:val="91"/>
        </w:trPr>
        <w:tc>
          <w:tcPr>
            <w:tcW w:w="180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448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auto"/>
                <w:w w:val="98"/>
              </w:rPr>
              <w:t>external benchmarking and performance when reviewed on</w:t>
            </w:r>
          </w:p>
        </w:tc>
        <w:tc>
          <w:tcPr>
            <w:tcW w:w="0" w:type="dxa"/>
            <w:vAlign w:val="bottom"/>
          </w:tcPr>
          <w:p>
            <w:pPr>
              <w:spacing w:after="0"/>
              <w:rPr>
                <w:sz w:val="1"/>
                <w:szCs w:val="1"/>
                <w:color w:val="auto"/>
              </w:rPr>
            </w:pPr>
          </w:p>
        </w:tc>
      </w:tr>
      <w:tr>
        <w:trPr>
          <w:trHeight w:val="109"/>
        </w:trPr>
        <w:tc>
          <w:tcPr>
            <w:tcW w:w="18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4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4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an annual basis.</w:t>
            </w:r>
          </w:p>
        </w:tc>
        <w:tc>
          <w:tcPr>
            <w:tcW w:w="0" w:type="dxa"/>
            <w:vAlign w:val="bottom"/>
          </w:tcPr>
          <w:p>
            <w:pPr>
              <w:spacing w:after="0"/>
              <w:rPr>
                <w:sz w:val="1"/>
                <w:szCs w:val="1"/>
                <w:color w:val="auto"/>
              </w:rPr>
            </w:pPr>
          </w:p>
        </w:tc>
      </w:tr>
      <w:tr>
        <w:trPr>
          <w:trHeight w:val="37"/>
        </w:trPr>
        <w:tc>
          <w:tcPr>
            <w:tcW w:w="18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8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480" w:type="dxa"/>
            <w:vAlign w:val="bottom"/>
          </w:tcPr>
          <w:p>
            <w:pPr>
              <w:ind w:left="160"/>
              <w:spacing w:after="0" w:line="176" w:lineRule="exact"/>
              <w:rPr>
                <w:sz w:val="20"/>
                <w:szCs w:val="20"/>
                <w:color w:val="auto"/>
              </w:rPr>
            </w:pPr>
            <w:r>
              <w:rPr>
                <w:rFonts w:ascii="Times New Roman" w:cs="Times New Roman" w:eastAsia="Times New Roman" w:hAnsi="Times New Roman"/>
                <w:sz w:val="17"/>
                <w:szCs w:val="17"/>
                <w:color w:val="auto"/>
              </w:rPr>
              <w:t>●   Linked to the Company’s annual financial and strategic</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4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performance.</w:t>
            </w:r>
          </w:p>
        </w:tc>
        <w:tc>
          <w:tcPr>
            <w:tcW w:w="0" w:type="dxa"/>
            <w:vAlign w:val="bottom"/>
          </w:tcPr>
          <w:p>
            <w:pPr>
              <w:spacing w:after="0"/>
              <w:rPr>
                <w:sz w:val="1"/>
                <w:szCs w:val="1"/>
                <w:color w:val="auto"/>
              </w:rPr>
            </w:pPr>
          </w:p>
        </w:tc>
      </w:tr>
      <w:tr>
        <w:trPr>
          <w:trHeight w:val="233"/>
        </w:trPr>
        <w:tc>
          <w:tcPr>
            <w:tcW w:w="18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Annual Incentive Plan</w:t>
            </w:r>
          </w:p>
        </w:tc>
        <w:tc>
          <w:tcPr>
            <w:tcW w:w="2320" w:type="dxa"/>
            <w:vAlign w:val="bottom"/>
          </w:tcPr>
          <w:p>
            <w:pPr>
              <w:spacing w:after="0"/>
              <w:rPr>
                <w:sz w:val="20"/>
                <w:szCs w:val="20"/>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Target Annual Incentive Plan award is a percentage of base</w:t>
            </w:r>
          </w:p>
        </w:tc>
        <w:tc>
          <w:tcPr>
            <w:tcW w:w="0" w:type="dxa"/>
            <w:vAlign w:val="bottom"/>
          </w:tcPr>
          <w:p>
            <w:pPr>
              <w:spacing w:after="0"/>
              <w:rPr>
                <w:sz w:val="1"/>
                <w:szCs w:val="1"/>
                <w:color w:val="auto"/>
              </w:rPr>
            </w:pPr>
          </w:p>
        </w:tc>
      </w:tr>
      <w:tr>
        <w:trPr>
          <w:trHeight w:val="216"/>
        </w:trPr>
        <w:tc>
          <w:tcPr>
            <w:tcW w:w="1800" w:type="dxa"/>
            <w:vAlign w:val="bottom"/>
            <w:vMerge w:val="continue"/>
          </w:tcPr>
          <w:p>
            <w:pPr>
              <w:spacing w:after="0"/>
              <w:rPr>
                <w:sz w:val="18"/>
                <w:szCs w:val="18"/>
                <w:color w:val="auto"/>
              </w:rPr>
            </w:pPr>
          </w:p>
        </w:tc>
        <w:tc>
          <w:tcPr>
            <w:tcW w:w="2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w:t>
            </w:r>
          </w:p>
        </w:tc>
        <w:tc>
          <w:tcPr>
            <w:tcW w:w="44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salary.</w:t>
            </w: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Actual payout based on financial performance against</w:t>
            </w:r>
          </w:p>
        </w:tc>
        <w:tc>
          <w:tcPr>
            <w:tcW w:w="0" w:type="dxa"/>
            <w:vAlign w:val="bottom"/>
          </w:tcPr>
          <w:p>
            <w:pPr>
              <w:spacing w:after="0"/>
              <w:rPr>
                <w:sz w:val="1"/>
                <w:szCs w:val="1"/>
                <w:color w:val="auto"/>
              </w:rPr>
            </w:pPr>
          </w:p>
        </w:tc>
      </w:tr>
      <w:tr>
        <w:trPr>
          <w:trHeight w:val="200"/>
        </w:trPr>
        <w:tc>
          <w:tcPr>
            <w:tcW w:w="18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4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established adjusted EBITDA and revenue targets and an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4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individual performance factor as a modifier.</w:t>
            </w:r>
          </w:p>
        </w:tc>
        <w:tc>
          <w:tcPr>
            <w:tcW w:w="0" w:type="dxa"/>
            <w:vAlign w:val="bottom"/>
          </w:tcPr>
          <w:p>
            <w:pPr>
              <w:spacing w:after="0"/>
              <w:rPr>
                <w:sz w:val="1"/>
                <w:szCs w:val="1"/>
                <w:color w:val="auto"/>
              </w:rPr>
            </w:pPr>
          </w:p>
        </w:tc>
      </w:tr>
      <w:tr>
        <w:trPr>
          <w:trHeight w:val="37"/>
        </w:trPr>
        <w:tc>
          <w:tcPr>
            <w:tcW w:w="18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8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480" w:type="dxa"/>
            <w:vAlign w:val="bottom"/>
          </w:tcPr>
          <w:p>
            <w:pPr>
              <w:ind w:left="160"/>
              <w:spacing w:after="0" w:line="176" w:lineRule="exact"/>
              <w:rPr>
                <w:sz w:val="20"/>
                <w:szCs w:val="20"/>
                <w:color w:val="auto"/>
              </w:rPr>
            </w:pPr>
            <w:r>
              <w:rPr>
                <w:rFonts w:ascii="Times New Roman" w:cs="Times New Roman" w:eastAsia="Times New Roman" w:hAnsi="Times New Roman"/>
                <w:sz w:val="17"/>
                <w:szCs w:val="17"/>
                <w:color w:val="auto"/>
              </w:rPr>
              <w:t>●   Align the interests of our NEOs with those of our</w:t>
            </w:r>
          </w:p>
        </w:tc>
        <w:tc>
          <w:tcPr>
            <w:tcW w:w="0" w:type="dxa"/>
            <w:vAlign w:val="bottom"/>
          </w:tcPr>
          <w:p>
            <w:pPr>
              <w:spacing w:after="0"/>
              <w:rPr>
                <w:sz w:val="1"/>
                <w:szCs w:val="1"/>
                <w:color w:val="auto"/>
              </w:rPr>
            </w:pPr>
          </w:p>
        </w:tc>
      </w:tr>
      <w:tr>
        <w:trPr>
          <w:trHeight w:val="200"/>
        </w:trPr>
        <w:tc>
          <w:tcPr>
            <w:tcW w:w="18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480" w:type="dxa"/>
            <w:vAlign w:val="bottom"/>
          </w:tcPr>
          <w:p>
            <w:pPr>
              <w:ind w:left="460"/>
              <w:spacing w:after="0"/>
              <w:rPr>
                <w:sz w:val="20"/>
                <w:szCs w:val="20"/>
                <w:color w:val="auto"/>
              </w:rPr>
            </w:pPr>
            <w:r>
              <w:rPr>
                <w:rFonts w:ascii="Times New Roman" w:cs="Times New Roman" w:eastAsia="Times New Roman" w:hAnsi="Times New Roman"/>
                <w:sz w:val="17"/>
                <w:szCs w:val="17"/>
                <w:color w:val="auto"/>
                <w:w w:val="97"/>
              </w:rPr>
              <w:t>stockholders; motivate them to create value in the Company</w:t>
            </w:r>
          </w:p>
        </w:tc>
        <w:tc>
          <w:tcPr>
            <w:tcW w:w="0" w:type="dxa"/>
            <w:vAlign w:val="bottom"/>
          </w:tcPr>
          <w:p>
            <w:pPr>
              <w:spacing w:after="0"/>
              <w:rPr>
                <w:sz w:val="1"/>
                <w:szCs w:val="1"/>
                <w:color w:val="auto"/>
              </w:rPr>
            </w:pPr>
          </w:p>
        </w:tc>
      </w:tr>
      <w:tr>
        <w:trPr>
          <w:trHeight w:val="250"/>
        </w:trPr>
        <w:tc>
          <w:tcPr>
            <w:tcW w:w="18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Incentive</w:t>
            </w:r>
          </w:p>
        </w:tc>
        <w:tc>
          <w:tcPr>
            <w:tcW w:w="2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Restricted Share Awards</w:t>
            </w:r>
          </w:p>
        </w:tc>
        <w:tc>
          <w:tcPr>
            <w:tcW w:w="44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over a longer term.</w:t>
            </w:r>
          </w:p>
        </w:tc>
        <w:tc>
          <w:tcPr>
            <w:tcW w:w="0" w:type="dxa"/>
            <w:vAlign w:val="bottom"/>
          </w:tcPr>
          <w:p>
            <w:pPr>
              <w:spacing w:after="0"/>
              <w:rPr>
                <w:sz w:val="1"/>
                <w:szCs w:val="1"/>
                <w:color w:val="auto"/>
              </w:rPr>
            </w:pPr>
          </w:p>
        </w:tc>
      </w:tr>
      <w:tr>
        <w:trPr>
          <w:trHeight w:val="116"/>
        </w:trPr>
        <w:tc>
          <w:tcPr>
            <w:tcW w:w="1800" w:type="dxa"/>
            <w:vAlign w:val="bottom"/>
            <w:vMerge w:val="continue"/>
          </w:tcPr>
          <w:p>
            <w:pPr>
              <w:spacing w:after="0"/>
              <w:rPr>
                <w:sz w:val="10"/>
                <w:szCs w:val="10"/>
                <w:color w:val="auto"/>
              </w:rPr>
            </w:pPr>
          </w:p>
        </w:tc>
        <w:tc>
          <w:tcPr>
            <w:tcW w:w="23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auto"/>
              </w:rPr>
              <w:t>(“RSAs”) and Stock Options</w:t>
            </w:r>
          </w:p>
        </w:tc>
        <w:tc>
          <w:tcPr>
            <w:tcW w:w="4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   Options provide value only if share price increases.</w:t>
            </w: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2320" w:type="dxa"/>
            <w:vAlign w:val="bottom"/>
            <w:vMerge w:val="continue"/>
          </w:tcPr>
          <w:p>
            <w:pPr>
              <w:spacing w:after="0"/>
              <w:rPr>
                <w:sz w:val="8"/>
                <w:szCs w:val="8"/>
                <w:color w:val="auto"/>
              </w:rPr>
            </w:pPr>
          </w:p>
        </w:tc>
        <w:tc>
          <w:tcPr>
            <w:tcW w:w="4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RSAs supplement options and promote long-term retention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4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and alignment with stockholders.</w:t>
            </w:r>
          </w:p>
        </w:tc>
        <w:tc>
          <w:tcPr>
            <w:tcW w:w="0" w:type="dxa"/>
            <w:vAlign w:val="bottom"/>
          </w:tcPr>
          <w:p>
            <w:pPr>
              <w:spacing w:after="0"/>
              <w:rPr>
                <w:sz w:val="1"/>
                <w:szCs w:val="1"/>
                <w:color w:val="auto"/>
              </w:rPr>
            </w:pPr>
          </w:p>
        </w:tc>
      </w:tr>
      <w:tr>
        <w:trPr>
          <w:trHeight w:val="42"/>
        </w:trPr>
        <w:tc>
          <w:tcPr>
            <w:tcW w:w="18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3"/>
          <w:szCs w:val="23"/>
          <w:b w:val="1"/>
          <w:bCs w:val="1"/>
          <w:color w:val="auto"/>
        </w:rPr>
        <w:t>Stockholder Advisory (Non-Binding) Vote on Executive Compensation</w:t>
      </w:r>
    </w:p>
    <w:p>
      <w:pPr>
        <w:spacing w:after="0" w:line="219"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color w:val="auto"/>
        </w:rPr>
        <w:t>In 2023, stockholders voted on the compensation of our NEOs (this vote is commonly referred to as a “say on pay” vote). At our 2023 annual meeting, approximately 96% of the votes cast supported our say-on-pay proposal. The Compensation Committee believes this high degree of stockholder support for our 2023 say-on-pay proposal, together with similar levels of stockholder support for our say-on-pay proposals in prior years, affirms stockholders’ support of our executive compensation program.</w:t>
      </w:r>
    </w:p>
    <w:p>
      <w:pPr>
        <w:spacing w:after="0" w:line="178"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We will have our fifth say on pay vote this year and going forward annually, so that our stockholders may annually express their views on our executive compensation program. The Compensation Committee intends to consider the outcome of stockholders votes on our executive compensation program when making future compensation decisions for our NEOs.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45" w:name="page46"/>
    <w:bookmarkEnd w:id="45"/>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Our Executive Compensation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150495</wp:posOffset>
            </wp:positionV>
            <wp:extent cx="545973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459730" cy="15875"/>
                    </a:xfrm>
                    <a:prstGeom prst="rect">
                      <a:avLst/>
                    </a:prstGeom>
                    <a:noFill/>
                  </pic:spPr>
                </pic:pic>
              </a:graphicData>
            </a:graphic>
          </wp:anchor>
        </w:drawing>
      </w:r>
    </w:p>
    <w:p>
      <w:pPr>
        <w:spacing w:after="0" w:line="225" w:lineRule="exact"/>
        <w:rPr>
          <w:sz w:val="20"/>
          <w:szCs w:val="20"/>
          <w:color w:val="auto"/>
        </w:rPr>
      </w:pPr>
    </w:p>
    <w:p>
      <w:pPr>
        <w:jc w:val="both"/>
        <w:ind w:left="2120" w:right="259" w:hanging="293"/>
        <w:spacing w:after="0" w:line="254" w:lineRule="auto"/>
        <w:tabs>
          <w:tab w:leader="none" w:pos="21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oversees and approves key aspects of executive compensation with input from our Board and its independent compensation consultant. This includes our Chief Executive Officer’s and other executive officers’ salaries, targets and payouts under the Annual Incentive Plan, LTI structure and awards and any executive perquisites or other benefits.</w:t>
      </w:r>
    </w:p>
    <w:p>
      <w:pPr>
        <w:spacing w:after="0" w:line="22" w:lineRule="exact"/>
        <w:rPr>
          <w:rFonts w:ascii="Times New Roman" w:cs="Times New Roman" w:eastAsia="Times New Roman" w:hAnsi="Times New Roman"/>
          <w:sz w:val="17"/>
          <w:szCs w:val="17"/>
          <w:color w:val="auto"/>
        </w:rPr>
      </w:pPr>
    </w:p>
    <w:p>
      <w:pPr>
        <w:ind w:left="2120" w:hanging="293"/>
        <w:spacing w:after="0"/>
        <w:tabs>
          <w:tab w:leader="none" w:pos="21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considers  the  factors  above,  consults  with  its  independent</w:t>
      </w:r>
    </w:p>
    <w:p>
      <w:pPr>
        <w:sectPr>
          <w:pgSz w:w="11900" w:h="16838" w:orient="portrait"/>
          <w:cols w:equalWidth="0" w:num="1">
            <w:col w:w="9019"/>
          </w:cols>
          <w:pgMar w:left="1440" w:top="623" w:right="1440" w:bottom="1440" w:gutter="0" w:footer="0" w:header="0"/>
        </w:sectPr>
      </w:pPr>
    </w:p>
    <w:p>
      <w:pPr>
        <w:spacing w:after="0" w:line="21" w:lineRule="exact"/>
        <w:rPr>
          <w:sz w:val="20"/>
          <w:szCs w:val="20"/>
          <w:color w:val="auto"/>
        </w:rPr>
      </w:pPr>
    </w:p>
    <w:p>
      <w:pPr>
        <w:ind w:left="260" w:right="120"/>
        <w:spacing w:after="0" w:line="281" w:lineRule="auto"/>
        <w:rPr>
          <w:sz w:val="20"/>
          <w:szCs w:val="20"/>
          <w:color w:val="auto"/>
        </w:rPr>
      </w:pPr>
      <w:r>
        <w:rPr>
          <w:rFonts w:ascii="Times New Roman" w:cs="Times New Roman" w:eastAsia="Times New Roman" w:hAnsi="Times New Roman"/>
          <w:sz w:val="16"/>
          <w:szCs w:val="16"/>
          <w:b w:val="1"/>
          <w:bCs w:val="1"/>
          <w:color w:val="auto"/>
        </w:rPr>
        <w:t>Compensation Committee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right="259"/>
        <w:spacing w:after="0" w:line="246" w:lineRule="auto"/>
        <w:rPr>
          <w:sz w:val="20"/>
          <w:szCs w:val="20"/>
          <w:color w:val="auto"/>
        </w:rPr>
      </w:pPr>
      <w:r>
        <w:rPr>
          <w:rFonts w:ascii="Times New Roman" w:cs="Times New Roman" w:eastAsia="Times New Roman" w:hAnsi="Times New Roman"/>
          <w:sz w:val="17"/>
          <w:szCs w:val="17"/>
          <w:color w:val="auto"/>
        </w:rPr>
        <w:t>compensation consultant, as well as data provided by the Chief Executive Officer regarding the performance of executive officers who report to him or her in determining compensation for our NEOs. The Compensation Committee also reviews the Chief Executive Officer’s performance against his or her Board-approved Company and business objectives. (The Chief Executive Officer is not present during any deliberations or determinations regarding his compensation.)</w:t>
      </w:r>
    </w:p>
    <w:p>
      <w:pPr>
        <w:spacing w:after="0" w:line="31" w:lineRule="exact"/>
        <w:rPr>
          <w:sz w:val="20"/>
          <w:szCs w:val="20"/>
          <w:color w:val="auto"/>
        </w:rPr>
      </w:pPr>
    </w:p>
    <w:p>
      <w:pPr>
        <w:sectPr>
          <w:pgSz w:w="11900" w:h="16838" w:orient="portrait"/>
          <w:cols w:equalWidth="0" w:num="2">
            <w:col w:w="1400" w:space="720"/>
            <w:col w:w="6899"/>
          </w:cols>
          <w:pgMar w:left="1440" w:top="623" w:right="1440" w:bottom="1440" w:gutter="0" w:footer="0" w:header="0"/>
          <w:type w:val="continuous"/>
        </w:sectPr>
      </w:pPr>
    </w:p>
    <w:p>
      <w:pPr>
        <w:ind w:left="2120" w:right="259" w:hanging="293"/>
        <w:spacing w:after="0" w:line="271" w:lineRule="auto"/>
        <w:tabs>
          <w:tab w:leader="none" w:pos="21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considers competitive market and peer data to align the Company’s total pay opportunities and outcomes.</w:t>
      </w:r>
    </w:p>
    <w:p>
      <w:pPr>
        <w:spacing w:after="0" w:line="8" w:lineRule="exact"/>
        <w:rPr>
          <w:rFonts w:ascii="Times New Roman" w:cs="Times New Roman" w:eastAsia="Times New Roman" w:hAnsi="Times New Roman"/>
          <w:sz w:val="17"/>
          <w:szCs w:val="17"/>
          <w:color w:val="auto"/>
        </w:rPr>
      </w:pPr>
    </w:p>
    <w:p>
      <w:pPr>
        <w:jc w:val="both"/>
        <w:ind w:left="2120" w:right="259" w:hanging="293"/>
        <w:spacing w:after="0" w:line="258" w:lineRule="auto"/>
        <w:tabs>
          <w:tab w:leader="none" w:pos="21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Chief Executive Officer and Chief People Officer work closely with the Compensation Committee in managing the executive compensation program, provide input and attend meetings of the Compensation Committee.</w:t>
      </w:r>
    </w:p>
    <w:p>
      <w:pPr>
        <w:spacing w:after="0" w:line="19" w:lineRule="exact"/>
        <w:rPr>
          <w:rFonts w:ascii="Times New Roman" w:cs="Times New Roman" w:eastAsia="Times New Roman" w:hAnsi="Times New Roman"/>
          <w:sz w:val="17"/>
          <w:szCs w:val="17"/>
          <w:color w:val="auto"/>
        </w:rPr>
      </w:pPr>
    </w:p>
    <w:p>
      <w:pPr>
        <w:ind w:left="2120" w:hanging="293"/>
        <w:spacing w:after="0"/>
        <w:tabs>
          <w:tab w:leader="none" w:pos="21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Chief Executive Officer makes recommendations to the Compensation Committee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-533400</wp:posOffset>
            </wp:positionV>
            <wp:extent cx="545973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459730" cy="7620"/>
                    </a:xfrm>
                    <a:prstGeom prst="rect">
                      <a:avLst/>
                    </a:prstGeom>
                    <a:noFill/>
                  </pic:spPr>
                </pic:pic>
              </a:graphicData>
            </a:graphic>
          </wp:anchor>
        </w:drawing>
      </w:r>
    </w:p>
    <w:p>
      <w:pPr>
        <w:spacing w:after="0" w:line="1" w:lineRule="exact"/>
        <w:rPr>
          <w:sz w:val="20"/>
          <w:szCs w:val="20"/>
          <w:color w:val="auto"/>
        </w:rPr>
      </w:pPr>
    </w:p>
    <w:p>
      <w:pPr>
        <w:ind w:left="260"/>
        <w:spacing w:after="0"/>
        <w:tabs>
          <w:tab w:leader="none" w:pos="2100" w:val="left"/>
        </w:tabs>
        <w:rPr>
          <w:sz w:val="20"/>
          <w:szCs w:val="20"/>
          <w:color w:val="auto"/>
        </w:rPr>
      </w:pPr>
      <w:r>
        <w:rPr>
          <w:rFonts w:ascii="Times New Roman" w:cs="Times New Roman" w:eastAsia="Times New Roman" w:hAnsi="Times New Roman"/>
          <w:sz w:val="17"/>
          <w:szCs w:val="17"/>
          <w:b w:val="1"/>
          <w:bCs w:val="1"/>
          <w:color w:val="auto"/>
        </w:rPr>
        <w:t>Management</w:t>
      </w:r>
      <w:r>
        <w:rPr>
          <w:sz w:val="20"/>
          <w:szCs w:val="20"/>
          <w:color w:val="auto"/>
        </w:rPr>
        <w:tab/>
      </w:r>
      <w:r>
        <w:rPr>
          <w:rFonts w:ascii="Times New Roman" w:cs="Times New Roman" w:eastAsia="Times New Roman" w:hAnsi="Times New Roman"/>
          <w:sz w:val="17"/>
          <w:szCs w:val="17"/>
          <w:color w:val="auto"/>
        </w:rPr>
        <w:t>compensation for each executive officer (other than his or her own).</w:t>
      </w:r>
    </w:p>
    <w:p>
      <w:pPr>
        <w:spacing w:after="0" w:line="38" w:lineRule="exact"/>
        <w:rPr>
          <w:sz w:val="20"/>
          <w:szCs w:val="20"/>
          <w:color w:val="auto"/>
        </w:rPr>
      </w:pPr>
    </w:p>
    <w:p>
      <w:pPr>
        <w:jc w:val="both"/>
        <w:ind w:left="2120" w:right="259" w:hanging="293"/>
        <w:spacing w:after="0" w:line="271" w:lineRule="auto"/>
        <w:tabs>
          <w:tab w:leader="none" w:pos="21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Chief People Officer presents recommendations supported by market data to the Compensation Committee on the full range of annual executive compensation decisions, including</w:t>
      </w:r>
    </w:p>
    <w:p>
      <w:pPr>
        <w:ind w:left="2120" w:right="259" w:firstLine="7"/>
        <w:spacing w:after="0" w:line="251" w:lineRule="auto"/>
        <w:tabs>
          <w:tab w:leader="none" w:pos="2363"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and long-term incentive compensation plans, (ii) target competitive positioning of executive compensation, and (iii) target total direct compensation for each executive officer.</w:t>
      </w:r>
    </w:p>
    <w:p>
      <w:pPr>
        <w:spacing w:after="0" w:line="24" w:lineRule="exact"/>
        <w:rPr>
          <w:rFonts w:ascii="Times New Roman" w:cs="Times New Roman" w:eastAsia="Times New Roman" w:hAnsi="Times New Roman"/>
          <w:sz w:val="17"/>
          <w:szCs w:val="17"/>
          <w:color w:val="auto"/>
        </w:rPr>
      </w:pPr>
    </w:p>
    <w:p>
      <w:pPr>
        <w:ind w:left="2120" w:hanging="293"/>
        <w:spacing w:after="0"/>
        <w:tabs>
          <w:tab w:leader="none" w:pos="21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Committee’s independent compensation consultant, Semler Brossy,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-121285</wp:posOffset>
            </wp:positionV>
            <wp:extent cx="545973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459730" cy="7620"/>
                    </a:xfrm>
                    <a:prstGeom prst="rect">
                      <a:avLst/>
                    </a:prstGeom>
                    <a:noFill/>
                  </pic:spPr>
                </pic:pic>
              </a:graphicData>
            </a:graphic>
          </wp:anchor>
        </w:drawing>
      </w:r>
    </w:p>
    <w:tbl>
      <w:tblPr>
        <w:tblLayout w:type="fixed"/>
        <w:tblInd w:w="260" w:type="dxa"/>
        <w:tblCellMar>
          <w:top w:w="0" w:type="dxa"/>
          <w:left w:w="0" w:type="dxa"/>
          <w:bottom w:w="0" w:type="dxa"/>
          <w:right w:w="0" w:type="dxa"/>
        </w:tblCellMar>
      </w:tblPr>
      <w:tr>
        <w:trPr>
          <w:trHeight w:val="195"/>
        </w:trPr>
        <w:tc>
          <w:tcPr>
            <w:tcW w:w="1440" w:type="dxa"/>
            <w:vAlign w:val="bottom"/>
          </w:tcPr>
          <w:p>
            <w:pPr>
              <w:spacing w:after="0"/>
              <w:rPr>
                <w:sz w:val="16"/>
                <w:szCs w:val="16"/>
                <w:color w:val="auto"/>
              </w:rPr>
            </w:pPr>
          </w:p>
        </w:tc>
        <w:tc>
          <w:tcPr>
            <w:tcW w:w="706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research, survey information and analysis, incentive design expertise and other analyses related to</w:t>
            </w:r>
          </w:p>
        </w:tc>
        <w:tc>
          <w:tcPr>
            <w:tcW w:w="0" w:type="dxa"/>
            <w:vAlign w:val="bottom"/>
          </w:tcPr>
          <w:p>
            <w:pPr>
              <w:spacing w:after="0"/>
              <w:rPr>
                <w:sz w:val="1"/>
                <w:szCs w:val="1"/>
                <w:color w:val="auto"/>
              </w:rPr>
            </w:pPr>
          </w:p>
        </w:tc>
      </w:tr>
      <w:tr>
        <w:trPr>
          <w:trHeight w:val="200"/>
        </w:trPr>
        <w:tc>
          <w:tcPr>
            <w:tcW w:w="14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Independent</w:t>
            </w:r>
          </w:p>
        </w:tc>
        <w:tc>
          <w:tcPr>
            <w:tcW w:w="70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compensation levels and design. Semler Brossy also updates the Compensation Committee on</w:t>
            </w:r>
          </w:p>
        </w:tc>
        <w:tc>
          <w:tcPr>
            <w:tcW w:w="0" w:type="dxa"/>
            <w:vAlign w:val="bottom"/>
          </w:tcPr>
          <w:p>
            <w:pPr>
              <w:spacing w:after="0"/>
              <w:rPr>
                <w:sz w:val="1"/>
                <w:szCs w:val="1"/>
                <w:color w:val="auto"/>
              </w:rPr>
            </w:pPr>
          </w:p>
        </w:tc>
      </w:tr>
      <w:tr>
        <w:trPr>
          <w:trHeight w:val="121"/>
        </w:trPr>
        <w:tc>
          <w:tcPr>
            <w:tcW w:w="1440" w:type="dxa"/>
            <w:vAlign w:val="bottom"/>
            <w:vMerge w:val="continue"/>
          </w:tcPr>
          <w:p>
            <w:pPr>
              <w:spacing w:after="0"/>
              <w:rPr>
                <w:sz w:val="10"/>
                <w:szCs w:val="10"/>
                <w:color w:val="auto"/>
              </w:rPr>
            </w:pPr>
          </w:p>
        </w:tc>
        <w:tc>
          <w:tcPr>
            <w:tcW w:w="706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auto"/>
              </w:rPr>
              <w:t>trends and developments related to executive compensation design and provides its views to the</w:t>
            </w:r>
          </w:p>
        </w:tc>
        <w:tc>
          <w:tcPr>
            <w:tcW w:w="0" w:type="dxa"/>
            <w:vAlign w:val="bottom"/>
          </w:tcPr>
          <w:p>
            <w:pPr>
              <w:spacing w:after="0"/>
              <w:rPr>
                <w:sz w:val="1"/>
                <w:szCs w:val="1"/>
                <w:color w:val="auto"/>
              </w:rPr>
            </w:pPr>
          </w:p>
        </w:tc>
      </w:tr>
      <w:tr>
        <w:trPr>
          <w:trHeight w:val="79"/>
        </w:trPr>
        <w:tc>
          <w:tcPr>
            <w:tcW w:w="14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7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440" w:type="dxa"/>
            <w:vAlign w:val="bottom"/>
            <w:vMerge w:val="continue"/>
          </w:tcPr>
          <w:p>
            <w:pPr>
              <w:spacing w:after="0"/>
              <w:rPr>
                <w:sz w:val="10"/>
                <w:szCs w:val="10"/>
                <w:color w:val="auto"/>
              </w:rPr>
            </w:pPr>
          </w:p>
        </w:tc>
        <w:tc>
          <w:tcPr>
            <w:tcW w:w="706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auto"/>
                <w:w w:val="99"/>
              </w:rPr>
              <w:t>Compensation Committee on best practices, including competitiveness when evaluating executive</w:t>
            </w:r>
          </w:p>
        </w:tc>
        <w:tc>
          <w:tcPr>
            <w:tcW w:w="0" w:type="dxa"/>
            <w:vAlign w:val="bottom"/>
          </w:tcPr>
          <w:p>
            <w:pPr>
              <w:spacing w:after="0"/>
              <w:rPr>
                <w:sz w:val="1"/>
                <w:szCs w:val="1"/>
                <w:color w:val="auto"/>
              </w:rPr>
            </w:pPr>
          </w:p>
        </w:tc>
      </w:tr>
      <w:tr>
        <w:trPr>
          <w:trHeight w:val="79"/>
        </w:trPr>
        <w:tc>
          <w:tcPr>
            <w:tcW w:w="14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Consultant</w:t>
            </w:r>
          </w:p>
        </w:tc>
        <w:tc>
          <w:tcPr>
            <w:tcW w:w="7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440" w:type="dxa"/>
            <w:vAlign w:val="bottom"/>
            <w:vMerge w:val="continue"/>
          </w:tcPr>
          <w:p>
            <w:pPr>
              <w:spacing w:after="0"/>
              <w:rPr>
                <w:sz w:val="12"/>
                <w:szCs w:val="12"/>
                <w:color w:val="auto"/>
              </w:rPr>
            </w:pPr>
          </w:p>
        </w:tc>
        <w:tc>
          <w:tcPr>
            <w:tcW w:w="706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auto"/>
              </w:rPr>
              <w:t>pay programs and policies.</w:t>
            </w:r>
          </w:p>
        </w:tc>
        <w:tc>
          <w:tcPr>
            <w:tcW w:w="0" w:type="dxa"/>
            <w:vAlign w:val="bottom"/>
          </w:tcPr>
          <w:p>
            <w:pPr>
              <w:spacing w:after="0"/>
              <w:rPr>
                <w:sz w:val="1"/>
                <w:szCs w:val="1"/>
                <w:color w:val="auto"/>
              </w:rPr>
            </w:pPr>
          </w:p>
        </w:tc>
      </w:tr>
      <w:tr>
        <w:trPr>
          <w:trHeight w:val="75"/>
        </w:trPr>
        <w:tc>
          <w:tcPr>
            <w:tcW w:w="1440" w:type="dxa"/>
            <w:vAlign w:val="bottom"/>
          </w:tcPr>
          <w:p>
            <w:pPr>
              <w:spacing w:after="0"/>
              <w:rPr>
                <w:sz w:val="6"/>
                <w:szCs w:val="6"/>
                <w:color w:val="auto"/>
              </w:rPr>
            </w:pPr>
          </w:p>
        </w:tc>
        <w:tc>
          <w:tcPr>
            <w:tcW w:w="7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2120" w:right="259" w:hanging="293"/>
        <w:spacing w:after="0" w:line="271" w:lineRule="auto"/>
        <w:tabs>
          <w:tab w:leader="none" w:pos="21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Semler Brossy has been retained by and reports directly to the Compensation Committee and does not have any other consulting engagements with management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7620</wp:posOffset>
            </wp:positionV>
            <wp:extent cx="545973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459730" cy="15875"/>
                    </a:xfrm>
                    <a:prstGeom prst="rect">
                      <a:avLst/>
                    </a:prstGeom>
                    <a:noFill/>
                  </pic:spPr>
                </pic:pic>
              </a:graphicData>
            </a:graphic>
          </wp:anchor>
        </w:drawing>
      </w:r>
    </w:p>
    <w:p>
      <w:pPr>
        <w:spacing w:after="0" w:line="109"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b w:val="1"/>
          <w:bCs w:val="1"/>
          <w:color w:val="auto"/>
        </w:rPr>
        <w:t>Use of Quantitative and Qualitative Measurements</w:t>
      </w:r>
      <w:r>
        <w:rPr>
          <w:rFonts w:ascii="Times New Roman" w:cs="Times New Roman" w:eastAsia="Times New Roman" w:hAnsi="Times New Roman"/>
          <w:sz w:val="17"/>
          <w:szCs w:val="17"/>
          <w:color w:val="auto"/>
        </w:rPr>
        <w:t>. We believe compensation should be based on factors that can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objectively determined, such as how well we have attained our earnings goals. For 2023, our Annual Incentive Plan awards were determined based 80% on our adjusted EBITDA and 20% on our revenue achieved against target goals for the year. In addition, the Compensation Committee may adjust the payout under the Annual Incentive Plan from 0% to 140% of the amount attributable to the Company performance metrics based on an individual performance factor. This individual performance factor is assessed based on an individual’s contribution to the Company’s objectives.</w:t>
      </w:r>
    </w:p>
    <w:p>
      <w:pPr>
        <w:spacing w:after="0" w:line="173" w:lineRule="exact"/>
        <w:rPr>
          <w:sz w:val="20"/>
          <w:szCs w:val="20"/>
          <w:color w:val="auto"/>
        </w:rPr>
      </w:pPr>
    </w:p>
    <w:p>
      <w:pPr>
        <w:jc w:val="both"/>
        <w:ind w:left="200" w:right="219"/>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Market Data. </w:t>
      </w:r>
      <w:r>
        <w:rPr>
          <w:rFonts w:ascii="Times New Roman" w:cs="Times New Roman" w:eastAsia="Times New Roman" w:hAnsi="Times New Roman"/>
          <w:sz w:val="17"/>
          <w:szCs w:val="17"/>
          <w:color w:val="auto"/>
        </w:rPr>
        <w:t>As part of the annual executive compensation process, the Compensation Committee reviews compensation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levels, practices, and pay of executives serving in comparable positions at peer group companies. In 2023, both peer group proxy data and industry-comparative compensation surveys were reviewed.</w:t>
      </w:r>
    </w:p>
    <w:p>
      <w:pPr>
        <w:spacing w:after="0" w:line="169"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The Compensation Committee reviews the composition of the peer group on an annual basis in consultation with its independent compensation consultant. In selecting our peer group, we focus on similar companies in terms of industry, size and business characteristics.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type w:val="continuous"/>
        </w:sectPr>
      </w:pPr>
    </w:p>
    <w:bookmarkStart w:id="46" w:name="page47"/>
    <w:bookmarkEnd w:id="46"/>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17"/>
          <w:szCs w:val="17"/>
          <w:color w:val="auto"/>
        </w:rPr>
        <w:t>Our Compensation Committee compared our compensation with that of the following companies considered as a group (collectively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118745</wp:posOffset>
            </wp:positionV>
            <wp:extent cx="545973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459730" cy="15875"/>
                    </a:xfrm>
                    <a:prstGeom prst="rect">
                      <a:avLst/>
                    </a:prstGeom>
                    <a:noFill/>
                  </pic:spPr>
                </pic:pic>
              </a:graphicData>
            </a:graphic>
          </wp:anchor>
        </w:drawing>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PEER GROUP</w:t>
      </w:r>
    </w:p>
    <w:p>
      <w:pPr>
        <w:spacing w:after="0" w:line="34" w:lineRule="exact"/>
        <w:rPr>
          <w:sz w:val="20"/>
          <w:szCs w:val="20"/>
          <w:color w:val="auto"/>
        </w:rPr>
      </w:pPr>
    </w:p>
    <w:tbl>
      <w:tblPr>
        <w:tblLayout w:type="fixed"/>
        <w:tblInd w:w="200" w:type="dxa"/>
        <w:tblCellMar>
          <w:top w:w="0" w:type="dxa"/>
          <w:left w:w="0" w:type="dxa"/>
          <w:bottom w:w="0" w:type="dxa"/>
          <w:right w:w="0" w:type="dxa"/>
        </w:tblCellMar>
      </w:tblPr>
      <w:tr>
        <w:trPr>
          <w:trHeight w:val="275"/>
        </w:trPr>
        <w:tc>
          <w:tcPr>
            <w:tcW w:w="23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BJ’s Restaurants Inc.</w:t>
            </w:r>
          </w:p>
        </w:tc>
        <w:tc>
          <w:tcPr>
            <w:tcW w:w="3060" w:type="dxa"/>
            <w:vAlign w:val="bottom"/>
            <w:tcBorders>
              <w:top w:val="single" w:sz="8" w:color="auto"/>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Fiesta Restaurant Group, Inc.</w:t>
            </w:r>
          </w:p>
        </w:tc>
        <w:tc>
          <w:tcPr>
            <w:tcW w:w="3240" w:type="dxa"/>
            <w:vAlign w:val="bottom"/>
            <w:tcBorders>
              <w:top w:val="single" w:sz="8" w:color="auto"/>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Potbelly Corporation</w:t>
            </w:r>
          </w:p>
        </w:tc>
      </w:tr>
      <w:tr>
        <w:trPr>
          <w:trHeight w:val="237"/>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Chuy’s Holdings, Inc.</w:t>
            </w:r>
          </w:p>
        </w:tc>
        <w:tc>
          <w:tcPr>
            <w:tcW w:w="3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Jamba Juice Co.</w:t>
            </w:r>
          </w:p>
        </w:tc>
        <w:tc>
          <w:tcPr>
            <w:tcW w:w="32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Red Robin Gourmet Burgers, Inc.</w:t>
            </w:r>
          </w:p>
        </w:tc>
      </w:tr>
      <w:tr>
        <w:trPr>
          <w:trHeight w:val="37"/>
        </w:trPr>
        <w:tc>
          <w:tcPr>
            <w:tcW w:w="23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3240" w:type="dxa"/>
            <w:vAlign w:val="bottom"/>
          </w:tcPr>
          <w:p>
            <w:pPr>
              <w:spacing w:after="0"/>
              <w:rPr>
                <w:sz w:val="3"/>
                <w:szCs w:val="3"/>
                <w:color w:val="auto"/>
              </w:rPr>
            </w:pPr>
          </w:p>
        </w:tc>
      </w:tr>
      <w:tr>
        <w:trPr>
          <w:trHeight w:val="255"/>
        </w:trPr>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Denny’s Corporation</w:t>
            </w:r>
          </w:p>
        </w:tc>
        <w:tc>
          <w:tcPr>
            <w:tcW w:w="30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Krispy Kreme Doughnuts Inc.</w:t>
            </w:r>
          </w:p>
        </w:tc>
        <w:tc>
          <w:tcPr>
            <w:tcW w:w="32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Sonic Corp.</w:t>
            </w:r>
          </w:p>
        </w:tc>
      </w:tr>
      <w:tr>
        <w:trPr>
          <w:trHeight w:val="237"/>
        </w:trPr>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Dine Brands Global, Inc.</w:t>
            </w:r>
          </w:p>
        </w:tc>
        <w:tc>
          <w:tcPr>
            <w:tcW w:w="30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Noodles &amp; Company</w:t>
            </w:r>
          </w:p>
        </w:tc>
        <w:tc>
          <w:tcPr>
            <w:tcW w:w="3240" w:type="dxa"/>
            <w:vAlign w:val="bottom"/>
          </w:tcPr>
          <w:p>
            <w:pPr>
              <w:spacing w:after="0"/>
              <w:rPr>
                <w:sz w:val="20"/>
                <w:szCs w:val="20"/>
                <w:color w:val="auto"/>
              </w:rPr>
            </w:pPr>
          </w:p>
        </w:tc>
      </w:tr>
      <w:tr>
        <w:trPr>
          <w:trHeight w:val="42"/>
        </w:trPr>
        <w:tc>
          <w:tcPr>
            <w:tcW w:w="230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r>
    </w:tbl>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3"/>
          <w:szCs w:val="23"/>
          <w:b w:val="1"/>
          <w:bCs w:val="1"/>
          <w:color w:val="auto"/>
        </w:rPr>
        <w:t>Named Executive Officer Compensation</w:t>
      </w:r>
    </w:p>
    <w:p>
      <w:pPr>
        <w:spacing w:after="0" w:line="219"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17"/>
          <w:szCs w:val="17"/>
          <w:color w:val="auto"/>
        </w:rPr>
        <w:t>Compensation to our named executive officers consists of four elements: base salary, annual cash incentive awards, long-term incentive awards, and “other” compensation items (including perquisites, benefits and severance).</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Distribution of Compensation</w:t>
      </w:r>
    </w:p>
    <w:p>
      <w:pPr>
        <w:spacing w:after="0" w:line="208"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We weight a greater proportion of total compensation toward performance-based components such as annual cash incentive awards, which can increase or decrease to reflect changes in corporate and individual performance on an annual basis, and long-term compensation, which can reinforce management’s commitment to enhancing profitability and stockholder value over the long-term.</w:t>
      </w:r>
    </w:p>
    <w:p>
      <w:pPr>
        <w:spacing w:after="0" w:line="172"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color w:val="auto"/>
        </w:rPr>
        <w:t>A significant percentage of our named executive officers’ total direct compensation is variable based on performance factors (including our share price, in the case of long-term incentive awards). We believe this type of variable compensation supports our pay-for-performance philosophy. For 2023, 67% of Ms. Hollandsworth’s total direct compensation as Interim Chief Executive Officer was variable, based on performance factors, and for all other named executive officers, 66% of their total direct compensation as named executive officers was variable, based on performance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123190</wp:posOffset>
            </wp:positionV>
            <wp:extent cx="4936490" cy="18097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493649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Base Salary</w:t>
      </w:r>
    </w:p>
    <w:p>
      <w:pPr>
        <w:spacing w:after="0" w:line="208"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Base salaries are intended to provide a base level of compensation and are paid in recognition of the skills, experience, and business contribution of our named executive officers. Salaries for our named executive officers are reviewed on an annual basis. In setting base salary, we consider the performance of the named executive officer, Company performance, tenure of the named executive officer, prior changes to the named executive officer’s compensation,</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47" w:name="page48"/>
    <w:bookmarkEnd w:id="47"/>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17"/>
          <w:szCs w:val="17"/>
          <w:color w:val="auto"/>
        </w:rPr>
        <w:t>internal equity, and external benchmarking of similarly situated executives in our Peer Group described above. For newly hired executives, we also consider the level of compensation necessary to attract the executive to the Company.</w:t>
      </w:r>
    </w:p>
    <w:p>
      <w:pPr>
        <w:spacing w:after="0" w:line="158"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The Compensation Committee determined to increase each named executive officer’s base salary for 2023 based on its assessment of each executive’s performance in 2022. The base salaries for each of the NEOs during fiscal 2023 and 2022 are set forth below.</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-134620</wp:posOffset>
            </wp:positionV>
            <wp:extent cx="436499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4364990" cy="7620"/>
                    </a:xfrm>
                    <a:prstGeom prst="rect">
                      <a:avLst/>
                    </a:prstGeom>
                    <a:noFill/>
                  </pic:spPr>
                </pic:pic>
              </a:graphicData>
            </a:graphic>
          </wp:anchor>
        </w:drawing>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Annualized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1905</wp:posOffset>
            </wp:positionV>
            <wp:extent cx="4364990" cy="23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4364990" cy="23495"/>
                    </a:xfrm>
                    <a:prstGeom prst="rect">
                      <a:avLst/>
                    </a:prstGeom>
                    <a:noFill/>
                  </pic:spPr>
                </pic:pic>
              </a:graphicData>
            </a:graphic>
          </wp:anchor>
        </w:drawing>
      </w:r>
    </w:p>
    <w:p>
      <w:pPr>
        <w:spacing w:after="0" w:line="37" w:lineRule="exact"/>
        <w:rPr>
          <w:sz w:val="20"/>
          <w:szCs w:val="20"/>
          <w:color w:val="auto"/>
        </w:rPr>
      </w:pPr>
    </w:p>
    <w:tbl>
      <w:tblPr>
        <w:tblLayout w:type="fixed"/>
        <w:tblInd w:w="1060" w:type="dxa"/>
        <w:tblCellMar>
          <w:top w:w="0" w:type="dxa"/>
          <w:left w:w="0" w:type="dxa"/>
          <w:bottom w:w="0" w:type="dxa"/>
          <w:right w:w="0" w:type="dxa"/>
        </w:tblCellMar>
      </w:tblPr>
      <w:tr>
        <w:trPr>
          <w:trHeight w:val="220"/>
        </w:trPr>
        <w:tc>
          <w:tcPr>
            <w:tcW w:w="3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Fiscal 2023</w:t>
            </w:r>
          </w:p>
        </w:tc>
        <w:tc>
          <w:tcPr>
            <w:tcW w:w="180" w:type="dxa"/>
            <w:vAlign w:val="bottom"/>
          </w:tcPr>
          <w:p>
            <w:pPr>
              <w:spacing w:after="0"/>
              <w:rPr>
                <w:sz w:val="19"/>
                <w:szCs w:val="19"/>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Fiscal 2022</w:t>
            </w:r>
          </w:p>
        </w:tc>
        <w:tc>
          <w:tcPr>
            <w:tcW w:w="8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37"/>
        </w:trPr>
        <w:tc>
          <w:tcPr>
            <w:tcW w:w="37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35"/>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Maria Hollandsworth (1)</w:t>
            </w: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360" w:type="dxa"/>
            <w:vAlign w:val="bottom"/>
            <w:tcBorders>
              <w:bottom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340,000</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17.6%</w:t>
            </w:r>
          </w:p>
        </w:tc>
      </w:tr>
      <w:tr>
        <w:trPr>
          <w:trHeight w:val="237"/>
        </w:trPr>
        <w:tc>
          <w:tcPr>
            <w:tcW w:w="39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Ira Fils</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416,000</w:t>
            </w:r>
          </w:p>
        </w:tc>
        <w:tc>
          <w:tcPr>
            <w:tcW w:w="3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4.0%</w:t>
            </w:r>
          </w:p>
        </w:tc>
      </w:tr>
      <w:tr>
        <w:trPr>
          <w:trHeight w:val="37"/>
        </w:trPr>
        <w:tc>
          <w:tcPr>
            <w:tcW w:w="3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37"/>
        </w:trPr>
        <w:tc>
          <w:tcPr>
            <w:tcW w:w="3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Laurance Roberts</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3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16.7%</w:t>
            </w:r>
          </w:p>
        </w:tc>
      </w:tr>
      <w:tr>
        <w:trPr>
          <w:trHeight w:val="37"/>
        </w:trPr>
        <w:tc>
          <w:tcPr>
            <w:tcW w:w="37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r>
    </w:tbl>
    <w:p>
      <w:pPr>
        <w:spacing w:after="0" w:line="184" w:lineRule="exact"/>
        <w:rPr>
          <w:sz w:val="20"/>
          <w:szCs w:val="20"/>
          <w:color w:val="auto"/>
        </w:rPr>
      </w:pPr>
    </w:p>
    <w:p>
      <w:pPr>
        <w:ind w:left="500" w:right="219" w:hanging="297"/>
        <w:spacing w:after="0" w:line="271" w:lineRule="auto"/>
        <w:tabs>
          <w:tab w:leader="none" w:pos="5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Ms. Hollandsworth’s appointment as our Interim Chief Executive Officer on November 4, 2023, her base salary was increased by $60,000 to $400,000 as of such date.</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Annual Incentive Plan</w:t>
      </w:r>
    </w:p>
    <w:p>
      <w:pPr>
        <w:spacing w:after="0" w:line="208" w:lineRule="exact"/>
        <w:rPr>
          <w:sz w:val="20"/>
          <w:szCs w:val="20"/>
          <w:color w:val="auto"/>
        </w:rPr>
      </w:pPr>
    </w:p>
    <w:p>
      <w:pPr>
        <w:jc w:val="both"/>
        <w:ind w:left="200" w:right="219"/>
        <w:spacing w:after="0" w:line="267" w:lineRule="auto"/>
        <w:rPr>
          <w:sz w:val="20"/>
          <w:szCs w:val="20"/>
          <w:color w:val="auto"/>
        </w:rPr>
      </w:pPr>
      <w:r>
        <w:rPr>
          <w:rFonts w:ascii="Times New Roman" w:cs="Times New Roman" w:eastAsia="Times New Roman" w:hAnsi="Times New Roman"/>
          <w:sz w:val="16"/>
          <w:szCs w:val="16"/>
          <w:color w:val="auto"/>
        </w:rPr>
        <w:t>Our named executive officers participate in an annual cash incentive plan which provides them an opportunity to earn a cash award based on the attainment of certain pre-determined goals of the Company. For 2023 these goals were based on: (i) adjusted EBITDA, and (ii) revenue comprised of company sales and franchisee royalty income. Payouts based on the attainment of these performance goals may range from 0% to 180% of the target award. Payouts are also subject to an individual performance factor (“IPF”). The individual performance factor can adjust the achievement of the Company performance metrics range from 0% to 140% of the amount attributable to the Company performance metric. See our Appendix A, for more details on how our adjusted EBITDA is calculated, and a reconciliation of adjusted EBITDA to net income as determined under GAAP.</w:t>
      </w:r>
    </w:p>
    <w:p>
      <w:pPr>
        <w:spacing w:after="0" w:line="167"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Goals are established by the Board in the first quarter of the applicable fiscal year and range from a minimum (or threshold) level to a maximum level, with a target level in between. Each named executive officer has a targeted award potential expressed as a percentage of salary. Notwithstanding such targets, our Board has discretion to reduce the size of any award if it believes the interests of our stockholders would be better served thereby.</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For fiscal year 2023, our named executive officers’ target Annual Incentive Plan award (as a percentage of their base salary)</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were as follows:</w:t>
      </w:r>
    </w:p>
    <w:p>
      <w:pPr>
        <w:spacing w:after="0" w:line="197" w:lineRule="exact"/>
        <w:rPr>
          <w:sz w:val="20"/>
          <w:szCs w:val="20"/>
          <w:color w:val="auto"/>
        </w:rPr>
      </w:pPr>
    </w:p>
    <w:tbl>
      <w:tblPr>
        <w:tblLayout w:type="fixed"/>
        <w:tblInd w:w="1060" w:type="dxa"/>
        <w:tblCellMar>
          <w:top w:w="0" w:type="dxa"/>
          <w:left w:w="0" w:type="dxa"/>
          <w:bottom w:w="0" w:type="dxa"/>
          <w:right w:w="0" w:type="dxa"/>
        </w:tblCellMar>
      </w:tblPr>
      <w:tr>
        <w:trPr>
          <w:trHeight w:val="219"/>
        </w:trPr>
        <w:tc>
          <w:tcPr>
            <w:tcW w:w="2000" w:type="dxa"/>
            <w:vAlign w:val="bottom"/>
            <w:tcBorders>
              <w:top w:val="single" w:sz="8" w:color="auto"/>
            </w:tcBorders>
          </w:tcPr>
          <w:p>
            <w:pPr>
              <w:spacing w:after="0"/>
              <w:rPr>
                <w:sz w:val="19"/>
                <w:szCs w:val="19"/>
                <w:color w:val="auto"/>
              </w:rPr>
            </w:pPr>
          </w:p>
        </w:tc>
        <w:tc>
          <w:tcPr>
            <w:tcW w:w="4880" w:type="dxa"/>
            <w:vAlign w:val="bottom"/>
            <w:tcBorders>
              <w:top w:val="single" w:sz="8" w:color="auto"/>
            </w:tcBorders>
            <w:gridSpan w:val="3"/>
          </w:tcPr>
          <w:p>
            <w:pPr>
              <w:jc w:val="center"/>
              <w:ind w:right="1917"/>
              <w:spacing w:after="0" w:line="219" w:lineRule="exact"/>
              <w:rPr>
                <w:sz w:val="20"/>
                <w:szCs w:val="20"/>
                <w:color w:val="auto"/>
              </w:rPr>
            </w:pPr>
            <w:r>
              <w:rPr>
                <w:rFonts w:ascii="Times New Roman" w:cs="Times New Roman" w:eastAsia="Times New Roman" w:hAnsi="Times New Roman"/>
                <w:sz w:val="20"/>
                <w:szCs w:val="20"/>
                <w:b w:val="1"/>
                <w:bCs w:val="1"/>
                <w:color w:val="auto"/>
                <w:w w:val="99"/>
              </w:rPr>
              <w:t>Annual Incentive Plan Target</w:t>
            </w:r>
          </w:p>
        </w:tc>
      </w:tr>
      <w:tr>
        <w:trPr>
          <w:trHeight w:val="236"/>
        </w:trPr>
        <w:tc>
          <w:tcPr>
            <w:tcW w:w="200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gridSpan w:val="3"/>
          </w:tcPr>
          <w:p>
            <w:pPr>
              <w:jc w:val="center"/>
              <w:ind w:right="1917"/>
              <w:spacing w:after="0"/>
              <w:rPr>
                <w:sz w:val="20"/>
                <w:szCs w:val="20"/>
                <w:color w:val="auto"/>
              </w:rPr>
            </w:pPr>
            <w:r>
              <w:rPr>
                <w:rFonts w:ascii="Times New Roman" w:cs="Times New Roman" w:eastAsia="Times New Roman" w:hAnsi="Times New Roman"/>
                <w:sz w:val="17"/>
                <w:szCs w:val="17"/>
                <w:i w:val="1"/>
                <w:iCs w:val="1"/>
                <w:color w:val="auto"/>
                <w:w w:val="97"/>
              </w:rPr>
              <w:t>Percentage of Base Salary</w:t>
            </w:r>
          </w:p>
        </w:tc>
      </w:tr>
      <w:tr>
        <w:trPr>
          <w:trHeight w:val="237"/>
        </w:trPr>
        <w:tc>
          <w:tcPr>
            <w:tcW w:w="2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3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Fiscal 2023</w:t>
            </w:r>
          </w:p>
        </w:tc>
      </w:tr>
      <w:tr>
        <w:trPr>
          <w:trHeight w:val="37"/>
        </w:trPr>
        <w:tc>
          <w:tcPr>
            <w:tcW w:w="200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35"/>
        </w:trPr>
        <w:tc>
          <w:tcPr>
            <w:tcW w:w="2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Maria Hollandsworth (1)</w:t>
            </w:r>
          </w:p>
        </w:tc>
        <w:tc>
          <w:tcPr>
            <w:tcW w:w="4880" w:type="dxa"/>
            <w:vAlign w:val="bottom"/>
            <w:tcBorders>
              <w:bottom w:val="single" w:sz="8" w:color="CCEEFF"/>
            </w:tcBorders>
            <w:gridSpan w:val="3"/>
            <w:shd w:val="clear" w:color="auto" w:fill="CCEEFF"/>
          </w:tcPr>
          <w:p>
            <w:pPr>
              <w:jc w:val="center"/>
              <w:ind w:left="3913"/>
              <w:spacing w:after="0"/>
              <w:rPr>
                <w:sz w:val="20"/>
                <w:szCs w:val="20"/>
                <w:color w:val="auto"/>
              </w:rPr>
            </w:pPr>
            <w:r>
              <w:rPr>
                <w:rFonts w:ascii="Times New Roman" w:cs="Times New Roman" w:eastAsia="Times New Roman" w:hAnsi="Times New Roman"/>
                <w:sz w:val="17"/>
                <w:szCs w:val="17"/>
                <w:color w:val="auto"/>
                <w:w w:val="96"/>
              </w:rPr>
              <w:t>50/75/100%</w:t>
            </w:r>
          </w:p>
        </w:tc>
      </w:tr>
      <w:tr>
        <w:trPr>
          <w:trHeight w:val="237"/>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Ira Fils</w:t>
            </w:r>
          </w:p>
        </w:tc>
        <w:tc>
          <w:tcPr>
            <w:tcW w:w="4880" w:type="dxa"/>
            <w:vAlign w:val="bottom"/>
            <w:gridSpan w:val="3"/>
          </w:tcPr>
          <w:p>
            <w:pPr>
              <w:jc w:val="center"/>
              <w:ind w:left="3893"/>
              <w:spacing w:after="0"/>
              <w:rPr>
                <w:sz w:val="20"/>
                <w:szCs w:val="20"/>
                <w:color w:val="auto"/>
              </w:rPr>
            </w:pPr>
            <w:r>
              <w:rPr>
                <w:rFonts w:ascii="Times New Roman" w:cs="Times New Roman" w:eastAsia="Times New Roman" w:hAnsi="Times New Roman"/>
                <w:sz w:val="17"/>
                <w:szCs w:val="17"/>
                <w:color w:val="auto"/>
                <w:w w:val="96"/>
              </w:rPr>
              <w:t>75%</w:t>
            </w:r>
          </w:p>
        </w:tc>
      </w:tr>
      <w:tr>
        <w:trPr>
          <w:trHeight w:val="37"/>
        </w:trPr>
        <w:tc>
          <w:tcPr>
            <w:tcW w:w="2000" w:type="dxa"/>
            <w:vAlign w:val="bottom"/>
          </w:tcPr>
          <w:p>
            <w:pPr>
              <w:spacing w:after="0"/>
              <w:rPr>
                <w:sz w:val="3"/>
                <w:szCs w:val="3"/>
                <w:color w:val="auto"/>
              </w:rPr>
            </w:pPr>
          </w:p>
        </w:tc>
        <w:tc>
          <w:tcPr>
            <w:tcW w:w="3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7"/>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Laurance Roberts (2)</w:t>
            </w:r>
          </w:p>
        </w:tc>
        <w:tc>
          <w:tcPr>
            <w:tcW w:w="4880" w:type="dxa"/>
            <w:vAlign w:val="bottom"/>
            <w:gridSpan w:val="3"/>
            <w:shd w:val="clear" w:color="auto" w:fill="CCEEFF"/>
          </w:tcPr>
          <w:p>
            <w:pPr>
              <w:jc w:val="center"/>
              <w:ind w:left="3913"/>
              <w:spacing w:after="0"/>
              <w:rPr>
                <w:sz w:val="20"/>
                <w:szCs w:val="20"/>
                <w:color w:val="auto"/>
              </w:rPr>
            </w:pPr>
            <w:r>
              <w:rPr>
                <w:rFonts w:ascii="Times New Roman" w:cs="Times New Roman" w:eastAsia="Times New Roman" w:hAnsi="Times New Roman"/>
                <w:sz w:val="17"/>
                <w:szCs w:val="17"/>
                <w:color w:val="auto"/>
              </w:rPr>
              <w:t>100%</w:t>
            </w:r>
          </w:p>
        </w:tc>
      </w:tr>
      <w:tr>
        <w:trPr>
          <w:trHeight w:val="37"/>
        </w:trPr>
        <w:tc>
          <w:tcPr>
            <w:tcW w:w="2000" w:type="dxa"/>
            <w:vAlign w:val="bottom"/>
            <w:shd w:val="clear" w:color="auto" w:fill="CCEEFF"/>
          </w:tcPr>
          <w:p>
            <w:pPr>
              <w:spacing w:after="0"/>
              <w:rPr>
                <w:sz w:val="3"/>
                <w:szCs w:val="3"/>
                <w:color w:val="auto"/>
              </w:rPr>
            </w:pPr>
          </w:p>
        </w:tc>
        <w:tc>
          <w:tcPr>
            <w:tcW w:w="3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r>
    </w:tbl>
    <w:p>
      <w:pPr>
        <w:spacing w:after="0" w:line="184" w:lineRule="exact"/>
        <w:rPr>
          <w:sz w:val="20"/>
          <w:szCs w:val="20"/>
          <w:color w:val="auto"/>
        </w:rPr>
      </w:pPr>
    </w:p>
    <w:p>
      <w:pPr>
        <w:jc w:val="both"/>
        <w:ind w:left="820" w:right="219" w:hanging="292"/>
        <w:spacing w:after="0" w:line="250" w:lineRule="auto"/>
        <w:tabs>
          <w:tab w:leader="none" w:pos="82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Hollandsworth’s target Annual Incentive Plan award was first increased from 50% to 75% of her base salary for 2023 as Chief Operating Officer in connection with her promotion to EVP, Chief Operating Officer. In addition, for as long as Ms. Hollandsworth served as Interim Chief Executive Officer, her target Annual Incentive Plan award was increased to 100% of her base salary for the portion of the year following her appointment (such that Ms. Hollandsworth’s target award was 50% prior to November 4, 2023, and 100% of her base salary from November 4, 2023, through the end of 2023).</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48" w:name="page49"/>
    <w:bookmarkEnd w:id="48"/>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20" w:right="219" w:hanging="292"/>
        <w:spacing w:after="0" w:line="271" w:lineRule="auto"/>
        <w:tabs>
          <w:tab w:leader="none" w:pos="82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Roberts remained eligible to receive a pro-rata performance bonus based on actual performance pursuant to the terms of his employment agreement.</w:t>
      </w:r>
    </w:p>
    <w:p>
      <w:pPr>
        <w:spacing w:after="0" w:line="358"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For fiscal year 2023, the threshold, target and maximum Company Annual Incentive Plan targets were weighted at 80% for achievement of EBITDA targets and at 20% for revenue based on the following performance target amounts, and the Company’s actual results.</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Annual Incentive Plan percentage payout for Company performance are as follows: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Fiscal Year 2023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-134620</wp:posOffset>
            </wp:positionV>
            <wp:extent cx="545973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459730" cy="7620"/>
                    </a:xfrm>
                    <a:prstGeom prst="rect">
                      <a:avLst/>
                    </a:prstGeom>
                    <a:noFill/>
                  </pic:spPr>
                </pic:pic>
              </a:graphicData>
            </a:graphic>
          </wp:anchor>
        </w:drawing>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Company Performance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1905</wp:posOffset>
            </wp:positionV>
            <wp:extent cx="5459730"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459730" cy="15875"/>
                    </a:xfrm>
                    <a:prstGeom prst="rect">
                      <a:avLst/>
                    </a:prstGeom>
                    <a:noFill/>
                  </pic:spPr>
                </pic:pic>
              </a:graphicData>
            </a:graphic>
          </wp:anchor>
        </w:drawing>
      </w:r>
    </w:p>
    <w:p>
      <w:pPr>
        <w:spacing w:after="0" w:line="25"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4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Adjusted EBITDA</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Revenue</w:t>
            </w:r>
          </w:p>
        </w:tc>
        <w:tc>
          <w:tcPr>
            <w:tcW w:w="7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w w:val="99"/>
              </w:rPr>
              <w:t>% Payout</w:t>
            </w:r>
          </w:p>
        </w:tc>
      </w:tr>
      <w:tr>
        <w:trPr>
          <w:trHeight w:val="37"/>
        </w:trPr>
        <w:tc>
          <w:tcPr>
            <w:tcW w:w="464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5"/>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Threshold</w:t>
            </w:r>
          </w:p>
        </w:tc>
        <w:tc>
          <w:tcPr>
            <w:tcW w:w="16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8"/>
              </w:rPr>
              <w:t>$56.7 million</w:t>
            </w:r>
          </w:p>
        </w:tc>
        <w:tc>
          <w:tcPr>
            <w:tcW w:w="13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7"/>
              </w:rPr>
              <w:t>$446.9 million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25%</w:t>
            </w:r>
          </w:p>
        </w:tc>
      </w:tr>
      <w:tr>
        <w:trPr>
          <w:trHeight w:val="237"/>
        </w:trPr>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Target</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8"/>
              </w:rPr>
              <w:t>$63.1 million</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7"/>
              </w:rPr>
              <w:t>$460.7 million</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100%</w:t>
            </w:r>
          </w:p>
        </w:tc>
      </w:tr>
      <w:tr>
        <w:trPr>
          <w:trHeight w:val="37"/>
        </w:trPr>
        <w:tc>
          <w:tcPr>
            <w:tcW w:w="4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75"/>
        </w:trPr>
        <w:tc>
          <w:tcPr>
            <w:tcW w:w="4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6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8"/>
              </w:rPr>
              <w:t>$71.9 million</w:t>
            </w:r>
          </w:p>
        </w:tc>
        <w:tc>
          <w:tcPr>
            <w:tcW w:w="13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7"/>
              </w:rPr>
              <w:t>$481.4 million</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180%</w:t>
            </w:r>
          </w:p>
        </w:tc>
      </w:tr>
      <w:tr>
        <w:trPr>
          <w:trHeight w:val="217"/>
        </w:trPr>
        <w:tc>
          <w:tcPr>
            <w:tcW w:w="4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Actual</w:t>
            </w:r>
          </w:p>
        </w:tc>
        <w:tc>
          <w:tcPr>
            <w:tcW w:w="26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$57.4 million</w:t>
            </w:r>
          </w:p>
        </w:tc>
        <w:tc>
          <w:tcPr>
            <w:tcW w:w="16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$427.9 million</w:t>
            </w:r>
          </w:p>
        </w:tc>
        <w:tc>
          <w:tcPr>
            <w:tcW w:w="180" w:type="dxa"/>
            <w:vAlign w:val="bottom"/>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32.6%</w:t>
            </w:r>
          </w:p>
        </w:tc>
      </w:tr>
      <w:tr>
        <w:trPr>
          <w:trHeight w:val="55"/>
        </w:trPr>
        <w:tc>
          <w:tcPr>
            <w:tcW w:w="46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bl>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Annual Incentive Plan payout received by each NEO is set forth in the table below.</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Fiscal Year 2023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-134620</wp:posOffset>
            </wp:positionV>
            <wp:extent cx="551561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515610" cy="76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2023 Payout</w:t>
      </w:r>
    </w:p>
    <w:tbl>
      <w:tblPr>
        <w:tblLayout w:type="fixed"/>
        <w:tblInd w:w="160" w:type="dxa"/>
        <w:tblCellMar>
          <w:top w:w="0" w:type="dxa"/>
          <w:left w:w="0" w:type="dxa"/>
          <w:bottom w:w="0" w:type="dxa"/>
          <w:right w:w="0" w:type="dxa"/>
        </w:tblCellMar>
      </w:tblPr>
      <w:tr>
        <w:trPr>
          <w:trHeight w:val="189"/>
        </w:trPr>
        <w:tc>
          <w:tcPr>
            <w:tcW w:w="18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left="351"/>
              <w:spacing w:after="0"/>
              <w:rPr>
                <w:sz w:val="20"/>
                <w:szCs w:val="20"/>
                <w:color w:val="auto"/>
              </w:rPr>
            </w:pPr>
            <w:r>
              <w:rPr>
                <w:rFonts w:ascii="Times New Roman" w:cs="Times New Roman" w:eastAsia="Times New Roman" w:hAnsi="Times New Roman"/>
                <w:sz w:val="15"/>
                <w:szCs w:val="15"/>
                <w:b w:val="1"/>
                <w:bCs w:val="1"/>
                <w:color w:val="auto"/>
                <w:w w:val="98"/>
              </w:rPr>
              <w:t>Actual</w:t>
            </w:r>
          </w:p>
        </w:tc>
        <w:tc>
          <w:tcPr>
            <w:tcW w:w="4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tcPr>
          <w:p>
            <w:pPr>
              <w:spacing w:after="0"/>
              <w:rPr>
                <w:sz w:val="16"/>
                <w:szCs w:val="16"/>
                <w:color w:val="auto"/>
              </w:rPr>
            </w:pPr>
          </w:p>
        </w:tc>
      </w:tr>
      <w:tr>
        <w:trPr>
          <w:trHeight w:val="187"/>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5"/>
              </w:rPr>
              <w:t>Fiscal</w:t>
            </w:r>
          </w:p>
        </w:tc>
        <w:tc>
          <w:tcPr>
            <w:tcW w:w="840" w:type="dxa"/>
            <w:vAlign w:val="bottom"/>
          </w:tcPr>
          <w:p>
            <w:pPr>
              <w:jc w:val="center"/>
              <w:ind w:left="351"/>
              <w:spacing w:after="0"/>
              <w:rPr>
                <w:sz w:val="20"/>
                <w:szCs w:val="20"/>
                <w:color w:val="auto"/>
              </w:rPr>
            </w:pPr>
            <w:r>
              <w:rPr>
                <w:rFonts w:ascii="Times New Roman" w:cs="Times New Roman" w:eastAsia="Times New Roman" w:hAnsi="Times New Roman"/>
                <w:sz w:val="15"/>
                <w:szCs w:val="15"/>
                <w:b w:val="1"/>
                <w:bCs w:val="1"/>
                <w:color w:val="auto"/>
              </w:rPr>
              <w:t>Fiscal</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87"/>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87"/>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Annual</w:t>
            </w:r>
          </w:p>
        </w:tc>
        <w:tc>
          <w:tcPr>
            <w:tcW w:w="142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6"/>
              </w:rPr>
              <w:t>Annual</w:t>
            </w:r>
          </w:p>
        </w:tc>
        <w:tc>
          <w:tcPr>
            <w:tcW w:w="2740" w:type="dxa"/>
            <w:vAlign w:val="bottom"/>
          </w:tcPr>
          <w:p>
            <w:pPr>
              <w:spacing w:after="0"/>
              <w:rPr>
                <w:sz w:val="16"/>
                <w:szCs w:val="16"/>
                <w:color w:val="auto"/>
              </w:rPr>
            </w:pPr>
          </w:p>
        </w:tc>
      </w:tr>
      <w:tr>
        <w:trPr>
          <w:trHeight w:val="187"/>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Incentive</w:t>
            </w:r>
          </w:p>
        </w:tc>
        <w:tc>
          <w:tcPr>
            <w:tcW w:w="142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7"/>
              </w:rPr>
              <w:t>Incentive</w:t>
            </w:r>
          </w:p>
        </w:tc>
        <w:tc>
          <w:tcPr>
            <w:tcW w:w="2740" w:type="dxa"/>
            <w:vAlign w:val="bottom"/>
          </w:tcPr>
          <w:p>
            <w:pPr>
              <w:spacing w:after="0"/>
              <w:rPr>
                <w:sz w:val="16"/>
                <w:szCs w:val="16"/>
                <w:color w:val="auto"/>
              </w:rPr>
            </w:pPr>
          </w:p>
        </w:tc>
      </w:tr>
      <w:tr>
        <w:trPr>
          <w:trHeight w:val="187"/>
        </w:trPr>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Named</w:t>
            </w:r>
          </w:p>
        </w:tc>
        <w:tc>
          <w:tcPr>
            <w:tcW w:w="20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Fiscal</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5"/>
              </w:rPr>
              <w:t>Plan</w:t>
            </w:r>
          </w:p>
        </w:tc>
        <w:tc>
          <w:tcPr>
            <w:tcW w:w="840" w:type="dxa"/>
            <w:vAlign w:val="bottom"/>
          </w:tcPr>
          <w:p>
            <w:pPr>
              <w:jc w:val="center"/>
              <w:ind w:left="351"/>
              <w:spacing w:after="0"/>
              <w:rPr>
                <w:sz w:val="20"/>
                <w:szCs w:val="20"/>
                <w:color w:val="auto"/>
              </w:rPr>
            </w:pPr>
            <w:r>
              <w:rPr>
                <w:rFonts w:ascii="Times New Roman" w:cs="Times New Roman" w:eastAsia="Times New Roman" w:hAnsi="Times New Roman"/>
                <w:sz w:val="15"/>
                <w:szCs w:val="15"/>
                <w:b w:val="1"/>
                <w:bCs w:val="1"/>
                <w:color w:val="auto"/>
              </w:rPr>
              <w:t>Plan</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87"/>
        </w:trPr>
        <w:tc>
          <w:tcPr>
            <w:tcW w:w="20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Executive</w:t>
            </w:r>
          </w:p>
        </w:tc>
        <w:tc>
          <w:tcPr>
            <w:tcW w:w="200" w:type="dxa"/>
            <w:vAlign w:val="bottom"/>
          </w:tcPr>
          <w:p>
            <w:pPr>
              <w:spacing w:after="0"/>
              <w:rPr>
                <w:sz w:val="16"/>
                <w:szCs w:val="16"/>
                <w:color w:val="auto"/>
              </w:rPr>
            </w:pPr>
          </w:p>
        </w:tc>
        <w:tc>
          <w:tcPr>
            <w:tcW w:w="880" w:type="dxa"/>
            <w:vAlign w:val="bottom"/>
          </w:tcPr>
          <w:p>
            <w:pPr>
              <w:jc w:val="center"/>
              <w:ind w:right="113"/>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60" w:type="dxa"/>
            <w:vAlign w:val="bottom"/>
          </w:tcPr>
          <w:p>
            <w:pPr>
              <w:spacing w:after="0"/>
              <w:rPr>
                <w:sz w:val="16"/>
                <w:szCs w:val="16"/>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6"/>
              </w:rPr>
              <w:t>Target</w:t>
            </w:r>
          </w:p>
        </w:tc>
        <w:tc>
          <w:tcPr>
            <w:tcW w:w="142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payout</w:t>
            </w:r>
          </w:p>
        </w:tc>
        <w:tc>
          <w:tcPr>
            <w:tcW w:w="2740" w:type="dxa"/>
            <w:vAlign w:val="bottom"/>
          </w:tcPr>
          <w:p>
            <w:pPr>
              <w:spacing w:after="0"/>
              <w:rPr>
                <w:sz w:val="16"/>
                <w:szCs w:val="16"/>
                <w:color w:val="auto"/>
              </w:rPr>
            </w:pPr>
          </w:p>
        </w:tc>
      </w:tr>
      <w:tr>
        <w:trPr>
          <w:trHeight w:val="201"/>
        </w:trPr>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Officer</w:t>
            </w:r>
          </w:p>
        </w:tc>
        <w:tc>
          <w:tcPr>
            <w:tcW w:w="20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Salary</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w:t>
            </w:r>
          </w:p>
        </w:tc>
        <w:tc>
          <w:tcPr>
            <w:tcW w:w="160" w:type="dxa"/>
            <w:vAlign w:val="bottom"/>
          </w:tcPr>
          <w:p>
            <w:pPr>
              <w:spacing w:after="0"/>
              <w:rPr>
                <w:sz w:val="17"/>
                <w:szCs w:val="17"/>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5"/>
                <w:szCs w:val="15"/>
                <w:b w:val="1"/>
                <w:bCs w:val="1"/>
                <w:color w:val="auto"/>
              </w:rPr>
              <w: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Rationale for IPF Adjustment</w:t>
            </w:r>
          </w:p>
        </w:tc>
      </w:tr>
      <w:tr>
        <w:trPr>
          <w:trHeight w:val="105"/>
        </w:trPr>
        <w:tc>
          <w:tcPr>
            <w:tcW w:w="1840" w:type="dxa"/>
            <w:vAlign w:val="bottom"/>
            <w:tcBorders>
              <w:top w:val="single" w:sz="8" w:color="auto"/>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Maria Hollandsworth</w:t>
            </w: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ind w:right="88"/>
              <w:spacing w:after="0" w:line="105" w:lineRule="exact"/>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color w:val="auto"/>
              </w:rPr>
              <w:t>400,000</w:t>
            </w:r>
          </w:p>
        </w:tc>
        <w:tc>
          <w:tcPr>
            <w:tcW w:w="160" w:type="dxa"/>
            <w:vAlign w:val="bottom"/>
            <w:tcBorders>
              <w:top w:val="single" w:sz="8" w:color="CCEEFF"/>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jc w:val="center"/>
              <w:spacing w:after="0" w:line="105" w:lineRule="exact"/>
              <w:rPr>
                <w:sz w:val="20"/>
                <w:szCs w:val="20"/>
                <w:color w:val="auto"/>
              </w:rPr>
            </w:pPr>
            <w:r>
              <w:rPr>
                <w:rFonts w:ascii="Times New Roman" w:cs="Times New Roman" w:eastAsia="Times New Roman" w:hAnsi="Times New Roman"/>
                <w:sz w:val="12"/>
                <w:szCs w:val="12"/>
                <w:color w:val="auto"/>
                <w:w w:val="95"/>
              </w:rPr>
              <w:t>50/75/100%</w:t>
            </w:r>
          </w:p>
        </w:tc>
        <w:tc>
          <w:tcPr>
            <w:tcW w:w="1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ind w:right="711"/>
              <w:spacing w:after="0" w:line="105"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color w:val="auto"/>
              </w:rPr>
              <w:t>80,702</w:t>
            </w:r>
          </w:p>
        </w:tc>
        <w:tc>
          <w:tcPr>
            <w:tcW w:w="160" w:type="dxa"/>
            <w:vAlign w:val="bottom"/>
            <w:tcBorders>
              <w:top w:val="single" w:sz="8" w:color="CCEEFF"/>
            </w:tcBorders>
            <w:shd w:val="clear" w:color="auto" w:fill="CCEEFF"/>
          </w:tcPr>
          <w:p>
            <w:pPr>
              <w:spacing w:after="0"/>
              <w:rPr>
                <w:sz w:val="9"/>
                <w:szCs w:val="9"/>
                <w:color w:val="auto"/>
              </w:rPr>
            </w:pPr>
          </w:p>
        </w:tc>
        <w:tc>
          <w:tcPr>
            <w:tcW w:w="2740" w:type="dxa"/>
            <w:vAlign w:val="bottom"/>
            <w:tcBorders>
              <w:top w:val="single" w:sz="8" w:color="auto"/>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color w:val="auto"/>
              </w:rPr>
              <w:t>For 2023, Ms. Hollandsworth’s 2023 Annual Incentive</w:t>
            </w:r>
          </w:p>
        </w:tc>
      </w:tr>
      <w:tr>
        <w:trPr>
          <w:trHeight w:val="125"/>
        </w:trPr>
        <w:tc>
          <w:tcPr>
            <w:tcW w:w="1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w w:val="98"/>
              </w:rPr>
              <w:t>Plan payout was pro-rated based on her time in role as (i)</w:t>
            </w:r>
          </w:p>
        </w:tc>
      </w:tr>
      <w:tr>
        <w:trPr>
          <w:trHeight w:val="125"/>
        </w:trPr>
        <w:tc>
          <w:tcPr>
            <w:tcW w:w="1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w w:val="99"/>
              </w:rPr>
              <w:t>Chief Operating Officer and (ii) Interim Chief Executive</w:t>
            </w:r>
          </w:p>
        </w:tc>
      </w:tr>
      <w:tr>
        <w:trPr>
          <w:trHeight w:val="141"/>
        </w:trPr>
        <w:tc>
          <w:tcPr>
            <w:tcW w:w="1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Officer.</w:t>
            </w:r>
          </w:p>
        </w:tc>
      </w:tr>
      <w:tr>
        <w:trPr>
          <w:trHeight w:val="125"/>
        </w:trPr>
        <w:tc>
          <w:tcPr>
            <w:tcW w:w="200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b w:val="1"/>
                <w:bCs w:val="1"/>
                <w:color w:val="auto"/>
              </w:rPr>
              <w:t>Ira Fils</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416,000</w:t>
            </w:r>
          </w:p>
        </w:tc>
        <w:tc>
          <w:tcPr>
            <w:tcW w:w="160" w:type="dxa"/>
            <w:vAlign w:val="bottom"/>
          </w:tcPr>
          <w:p>
            <w:pPr>
              <w:spacing w:after="0"/>
              <w:rPr>
                <w:sz w:val="10"/>
                <w:szCs w:val="10"/>
                <w:color w:val="auto"/>
              </w:rPr>
            </w:pP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auto"/>
                <w:w w:val="90"/>
              </w:rPr>
              <w:t>75%</w:t>
            </w:r>
          </w:p>
        </w:tc>
        <w:tc>
          <w:tcPr>
            <w:tcW w:w="160" w:type="dxa"/>
            <w:vAlign w:val="bottom"/>
          </w:tcPr>
          <w:p>
            <w:pPr>
              <w:spacing w:after="0"/>
              <w:rPr>
                <w:sz w:val="10"/>
                <w:szCs w:val="10"/>
                <w:color w:val="auto"/>
              </w:rPr>
            </w:pPr>
          </w:p>
        </w:tc>
        <w:tc>
          <w:tcPr>
            <w:tcW w:w="840" w:type="dxa"/>
            <w:vAlign w:val="bottom"/>
          </w:tcPr>
          <w:p>
            <w:pPr>
              <w:jc w:val="right"/>
              <w:ind w:right="711"/>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w w:val="92"/>
              </w:rPr>
              <w:t>101,712</w:t>
            </w:r>
          </w:p>
        </w:tc>
        <w:tc>
          <w:tcPr>
            <w:tcW w:w="160" w:type="dxa"/>
            <w:vAlign w:val="bottom"/>
          </w:tcPr>
          <w:p>
            <w:pPr>
              <w:spacing w:after="0"/>
              <w:rPr>
                <w:sz w:val="10"/>
                <w:szCs w:val="10"/>
                <w:color w:val="auto"/>
              </w:rPr>
            </w:pPr>
          </w:p>
        </w:tc>
        <w:tc>
          <w:tcPr>
            <w:tcW w:w="2740" w:type="dxa"/>
            <w:vAlign w:val="bottom"/>
          </w:tcPr>
          <w:p>
            <w:pPr>
              <w:spacing w:after="0"/>
              <w:rPr>
                <w:sz w:val="10"/>
                <w:szCs w:val="10"/>
                <w:color w:val="auto"/>
              </w:rPr>
            </w:pPr>
          </w:p>
        </w:tc>
      </w:tr>
      <w:tr>
        <w:trPr>
          <w:trHeight w:val="109"/>
        </w:trPr>
        <w:tc>
          <w:tcPr>
            <w:tcW w:w="2000" w:type="dxa"/>
            <w:vAlign w:val="bottom"/>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Laurance Roberts</w:t>
            </w:r>
          </w:p>
        </w:tc>
        <w:tc>
          <w:tcPr>
            <w:tcW w:w="200" w:type="dxa"/>
            <w:vAlign w:val="bottom"/>
            <w:shd w:val="clear" w:color="auto" w:fill="CCEEFF"/>
          </w:tcPr>
          <w:p>
            <w:pPr>
              <w:jc w:val="right"/>
              <w:ind w:right="88"/>
              <w:spacing w:after="0" w:line="109" w:lineRule="exact"/>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700,000</w:t>
            </w: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color w:val="auto"/>
                <w:w w:val="99"/>
              </w:rPr>
              <w:t>100%</w:t>
            </w: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711"/>
              <w:spacing w:after="0" w:line="109"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w w:val="92"/>
              </w:rPr>
              <w:t>186,196</w:t>
            </w:r>
          </w:p>
        </w:tc>
        <w:tc>
          <w:tcPr>
            <w:tcW w:w="160" w:type="dxa"/>
            <w:vAlign w:val="bottom"/>
            <w:shd w:val="clear" w:color="auto" w:fill="CCEEFF"/>
          </w:tcPr>
          <w:p>
            <w:pPr>
              <w:spacing w:after="0"/>
              <w:rPr>
                <w:sz w:val="9"/>
                <w:szCs w:val="9"/>
                <w:color w:val="auto"/>
              </w:rPr>
            </w:pPr>
          </w:p>
        </w:tc>
        <w:tc>
          <w:tcPr>
            <w:tcW w:w="274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w w:val="99"/>
              </w:rPr>
              <w:t>As set forth in “Potential Payments Upon Termination or</w:t>
            </w:r>
          </w:p>
        </w:tc>
      </w:tr>
      <w:tr>
        <w:trPr>
          <w:trHeight w:val="125"/>
        </w:trPr>
        <w:tc>
          <w:tcPr>
            <w:tcW w:w="1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Change in Control” below, Mr. Roberts received a pro-</w:t>
            </w:r>
          </w:p>
        </w:tc>
      </w:tr>
      <w:tr>
        <w:trPr>
          <w:trHeight w:val="125"/>
        </w:trPr>
        <w:tc>
          <w:tcPr>
            <w:tcW w:w="1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w w:val="96"/>
              </w:rPr>
              <w:t>rated portion of his Annual Incentive Plan Bonus based on</w:t>
            </w:r>
          </w:p>
        </w:tc>
      </w:tr>
      <w:tr>
        <w:trPr>
          <w:trHeight w:val="125"/>
        </w:trPr>
        <w:tc>
          <w:tcPr>
            <w:tcW w:w="1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2"/>
                <w:szCs w:val="12"/>
                <w:color w:val="auto"/>
              </w:rPr>
              <w:t>actual performance for the portion of the year that he</w:t>
            </w:r>
          </w:p>
        </w:tc>
      </w:tr>
      <w:tr>
        <w:trPr>
          <w:trHeight w:val="141"/>
        </w:trPr>
        <w:tc>
          <w:tcPr>
            <w:tcW w:w="1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served as Chief Executive Officer of the Company.</w:t>
            </w:r>
          </w:p>
        </w:tc>
      </w:tr>
    </w:tbl>
    <w:p>
      <w:pPr>
        <w:spacing w:after="0" w:line="84"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17"/>
          <w:szCs w:val="17"/>
          <w:color w:val="auto"/>
        </w:rPr>
        <w:t>In addition to the Annual Incentive Plan opportunity, Ms. Hollandsworth was awarded a retention bonus pursuant to the terms of her employment agreement described below.</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3"/>
          <w:szCs w:val="23"/>
          <w:b w:val="1"/>
          <w:bCs w:val="1"/>
          <w:color w:val="auto"/>
        </w:rPr>
        <w:t>Long-Term Incentive Awards</w:t>
      </w:r>
    </w:p>
    <w:p>
      <w:pPr>
        <w:spacing w:after="0" w:line="219"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17"/>
          <w:szCs w:val="17"/>
          <w:color w:val="auto"/>
        </w:rPr>
        <w:t>We provide long-term incentive compensation to our named executive officers pursuant to our Equity Incentive Plan (the “Incentive Plan”). We believe that long-term incentive awards help to align the interests of our named executive officers with those of our stockholders, motivate them to create value in the Company over a longer term than annual cash incentive awards, and encourage our named executive officers to avoid taking excessive risks. We have previously granted three types of long-term incentive awards applicable to our named executive officers: restricted stock awards, restricted stock unit awards, and stock option awards.</w:t>
      </w:r>
    </w:p>
    <w:p>
      <w:pPr>
        <w:spacing w:after="0" w:line="178"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17"/>
          <w:szCs w:val="17"/>
          <w:color w:val="auto"/>
        </w:rPr>
        <w:t>In determining the aggregate amount of long-term incentive awards to grant each named executive officer, we consider the individual’s performance, the expense recognized by the Company for equity grants, the potential dilutive effect</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49" w:name="page50"/>
    <w:bookmarkEnd w:id="49"/>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17"/>
          <w:szCs w:val="17"/>
          <w:color w:val="auto"/>
        </w:rPr>
        <w:t>equity grants may have on existing stockholders, the number of shares available for grant in our Incentive Plan, comparisons to our Peer Group and the accumulated wealth prior equity awards have created. In considering which type of equity grant to make our named executive officers, we consider the motivational effect each award will have and prefer to use restricted stock or unit awards as an incentive vehicle for newly hired or promoted employees in order to increase the executive’s ownership position in the Company. While stock options motivate our named executive officers by providing potential gain if our stock price increases, our stock awards, more directly expose our named executive officers to the effects of a decrease in our stock price. For 2023, we determined to structure our annual equity awards so that the grant date value of the equity awards granted to the named executive officers consisted of an approximately equally weighted mix of restricted share awards and stock options. As noted above, new hire or promotional awards generally consisted of 100% restricted share awards.</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Restricted Share and Option Awards</w:t>
      </w:r>
    </w:p>
    <w:p>
      <w:pPr>
        <w:spacing w:after="0" w:line="208"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17"/>
          <w:szCs w:val="17"/>
          <w:color w:val="auto"/>
        </w:rPr>
        <w:t>Our restricted shares and stock options generally vest in four equal annual installments commencing on the one-year anniversary of grant. During the period while the restricted shares remain unvested, the grantees have all the rights of a stockholder with respect to the restricted shares except the right to transfer the restricted shares (including the right to vote restricted shares and to receive ordinary dividends paid to or made with respect to the restricted shares, if any, subject to the same vesting conditions as the underlying restricted shares). The grantees have no stockholder rights with respect to their stock option awards until the options are actually exercised.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Restricted Shares &amp;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-134620</wp:posOffset>
            </wp:positionV>
            <wp:extent cx="545973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459730" cy="7620"/>
                    </a:xfrm>
                    <a:prstGeom prst="rect">
                      <a:avLst/>
                    </a:prstGeom>
                    <a:noFill/>
                  </pic:spPr>
                </pic:pic>
              </a:graphicData>
            </a:graphic>
          </wp:anchor>
        </w:drawing>
      </w:r>
    </w:p>
    <w:p>
      <w:pPr>
        <w:spacing w:after="0" w:line="4" w:lineRule="exact"/>
        <w:rPr>
          <w:sz w:val="20"/>
          <w:szCs w:val="20"/>
          <w:color w:val="auto"/>
        </w:rPr>
      </w:pPr>
    </w:p>
    <w:tbl>
      <w:tblPr>
        <w:tblLayout w:type="fixed"/>
        <w:tblInd w:w="200" w:type="dxa"/>
        <w:tblCellMar>
          <w:top w:w="0" w:type="dxa"/>
          <w:left w:w="0" w:type="dxa"/>
          <w:bottom w:w="0" w:type="dxa"/>
          <w:right w:w="0" w:type="dxa"/>
        </w:tblCellMar>
      </w:tblPr>
      <w:tr>
        <w:trPr>
          <w:trHeight w:val="197"/>
        </w:trPr>
        <w:tc>
          <w:tcPr>
            <w:tcW w:w="48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200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 of Shares # of Options</w:t>
            </w:r>
          </w:p>
        </w:tc>
        <w:tc>
          <w:tcPr>
            <w:tcW w:w="1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7"/>
              </w:rPr>
              <w:t>Grant Date Fair Value of</w:t>
            </w:r>
          </w:p>
        </w:tc>
        <w:tc>
          <w:tcPr>
            <w:tcW w:w="0" w:type="dxa"/>
            <w:vAlign w:val="bottom"/>
          </w:tcPr>
          <w:p>
            <w:pPr>
              <w:spacing w:after="0"/>
              <w:rPr>
                <w:sz w:val="1"/>
                <w:szCs w:val="1"/>
                <w:color w:val="auto"/>
              </w:rPr>
            </w:pPr>
          </w:p>
        </w:tc>
      </w:tr>
      <w:tr>
        <w:trPr>
          <w:trHeight w:val="120"/>
        </w:trPr>
        <w:tc>
          <w:tcPr>
            <w:tcW w:w="4800" w:type="dxa"/>
            <w:vAlign w:val="bottom"/>
            <w:gridSpan w:val="2"/>
            <w:vMerge w:val="continue"/>
          </w:tcPr>
          <w:p>
            <w:pPr>
              <w:spacing w:after="0"/>
              <w:rPr>
                <w:sz w:val="10"/>
                <w:szCs w:val="10"/>
                <w:color w:val="auto"/>
              </w:rPr>
            </w:pPr>
          </w:p>
        </w:tc>
        <w:tc>
          <w:tcPr>
            <w:tcW w:w="20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vMerge w:val="restart"/>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Shares and Options</w:t>
            </w:r>
          </w:p>
        </w:tc>
        <w:tc>
          <w:tcPr>
            <w:tcW w:w="0" w:type="dxa"/>
            <w:vAlign w:val="bottom"/>
          </w:tcPr>
          <w:p>
            <w:pPr>
              <w:spacing w:after="0"/>
              <w:rPr>
                <w:sz w:val="1"/>
                <w:szCs w:val="1"/>
                <w:color w:val="auto"/>
              </w:rPr>
            </w:pPr>
          </w:p>
        </w:tc>
      </w:tr>
      <w:tr>
        <w:trPr>
          <w:trHeight w:val="100"/>
        </w:trPr>
        <w:tc>
          <w:tcPr>
            <w:tcW w:w="4560" w:type="dxa"/>
            <w:vAlign w:val="bottom"/>
            <w:tcBorders>
              <w:bottom w:val="single" w:sz="8" w:color="auto"/>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45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Maria Hollandsworth</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17"/>
              <w:spacing w:after="0" w:line="193" w:lineRule="exact"/>
              <w:rPr>
                <w:sz w:val="20"/>
                <w:szCs w:val="20"/>
                <w:color w:val="auto"/>
              </w:rPr>
            </w:pPr>
            <w:r>
              <w:rPr>
                <w:rFonts w:ascii="Times New Roman" w:cs="Times New Roman" w:eastAsia="Times New Roman" w:hAnsi="Times New Roman"/>
                <w:sz w:val="17"/>
                <w:szCs w:val="17"/>
                <w:color w:val="auto"/>
              </w:rPr>
              <w:t>13,797</w:t>
            </w:r>
          </w:p>
        </w:tc>
        <w:tc>
          <w:tcPr>
            <w:tcW w:w="8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28,802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250,000</w:t>
            </w:r>
          </w:p>
        </w:tc>
        <w:tc>
          <w:tcPr>
            <w:tcW w:w="0" w:type="dxa"/>
            <w:vAlign w:val="bottom"/>
          </w:tcPr>
          <w:p>
            <w:pPr>
              <w:spacing w:after="0"/>
              <w:rPr>
                <w:sz w:val="1"/>
                <w:szCs w:val="1"/>
                <w:color w:val="auto"/>
              </w:rPr>
            </w:pPr>
          </w:p>
        </w:tc>
      </w:tr>
      <w:tr>
        <w:trPr>
          <w:trHeight w:val="237"/>
        </w:trPr>
        <w:tc>
          <w:tcPr>
            <w:tcW w:w="4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Ira Fils</w:t>
            </w: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27,594</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57,604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0" w:type="dxa"/>
            <w:vAlign w:val="bottom"/>
          </w:tcPr>
          <w:p>
            <w:pPr>
              <w:spacing w:after="0"/>
              <w:rPr>
                <w:sz w:val="1"/>
                <w:szCs w:val="1"/>
                <w:color w:val="auto"/>
              </w:rPr>
            </w:pPr>
          </w:p>
        </w:tc>
      </w:tr>
      <w:tr>
        <w:trPr>
          <w:trHeight w:val="37"/>
        </w:trPr>
        <w:tc>
          <w:tcPr>
            <w:tcW w:w="4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4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Laurance Roberts (1)</w:t>
            </w:r>
          </w:p>
        </w:tc>
        <w:tc>
          <w:tcPr>
            <w:tcW w:w="10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55,188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115,207</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0" w:type="dxa"/>
            <w:vAlign w:val="bottom"/>
          </w:tcPr>
          <w:p>
            <w:pPr>
              <w:spacing w:after="0"/>
              <w:rPr>
                <w:sz w:val="1"/>
                <w:szCs w:val="1"/>
                <w:color w:val="auto"/>
              </w:rPr>
            </w:pPr>
          </w:p>
        </w:tc>
      </w:tr>
      <w:tr>
        <w:trPr>
          <w:trHeight w:val="25"/>
        </w:trPr>
        <w:tc>
          <w:tcPr>
            <w:tcW w:w="4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500" w:right="219" w:hanging="297"/>
        <w:spacing w:after="0" w:line="290" w:lineRule="auto"/>
        <w:tabs>
          <w:tab w:leader="none" w:pos="50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Roberts’ restricted shares and stock options were forfeited in connection with his resignation of employment, effective November 3, 2023. In connection with Mr. Roberts’ separation agreement, his stock option exercise period was extended for three years.</w:t>
      </w:r>
    </w:p>
    <w:p>
      <w:pPr>
        <w:spacing w:after="0" w:line="154"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17"/>
          <w:szCs w:val="17"/>
          <w:color w:val="auto"/>
        </w:rPr>
        <w:t>The aggregate amount of the 2023 long-term incentive awards granted to each named executive officer was determined by our Compensation Committee based on the factors described above.</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These shares will vest 25% each year on the anniversary of the grant date over four years.</w:t>
      </w:r>
    </w:p>
    <w:p>
      <w:pPr>
        <w:spacing w:after="0" w:line="204"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The table above excludes an additional award of restricted shares and stock options having a grant date value of approximately $300,000 each that was granted to Mr. Roberts on August 8, 2023 in connection with his appointment as our Chief Executive Officer and in order to more closely align Mr. Roberts compensation with that paid to the Chief Executive Officers of our peer companies described above.</w:t>
      </w:r>
    </w:p>
    <w:p>
      <w:pPr>
        <w:spacing w:after="0" w:line="172"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17"/>
          <w:szCs w:val="17"/>
          <w:color w:val="auto"/>
        </w:rPr>
        <w:t>In addition, the table above excludes one-time awards made to Ms. Hollandsworth and Mr. Fils in November 2023. Pursuant to Ms. Hollandsworth’s employment agreement entered into in connection with her appointment as Interim Chief Executive Officer, effective as of November 4, 2023, Ms. Hollandsworth received a one-time grant of restricted stock units with a grant date value of $200,000 as a retention incentive and to provide an additional compensation opportunity for her in such role. The award will cliff-vest on the one-year anniversary of the effective date of the employment agreement (subject to Ms. Hollandsworth’s continued employment with the Company through such date) or earlier in the event of a termination of her employment with the Company without cause or for good reason. Further, in connection with such leadership transition, on November 7, 2023, Ira Fils received a grant of restricted stock units with a grant date value of $155,000 and stock options with a grant date value of $155,000, as a retention incentive. Both of these awards will cliff-vest on the one-year anniversary of the grant date (subject to Mr. Fils continued employment with the Company) or earlier in the event of termination of his employment with the Company without cause.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50" w:name="page51"/>
    <w:bookmarkEnd w:id="50"/>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Stock Ownership Guidelines Applicable to our Chief Executive Officer</w:t>
      </w:r>
    </w:p>
    <w:p>
      <w:pPr>
        <w:spacing w:after="0" w:line="195"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color w:val="auto"/>
        </w:rPr>
        <w:t>We believe that in order to align the interests of our Chief Executive with those of our stockholders, our Chief Executive Officer should have direct ownership in shares of our common stock. Accordingly, our Board has adopted Stock Ownership Guidelines. The Stock Ownership Guidelines require our Chief Executive Officer to own shares of our common stock having a value equal to at least five times his or her annual base salary. Upon the approval of the Board, our Chief Executive Officer may designate other officers to be subject to the Stock Ownership Guidelines. Shares subject to stock options and unvested stock or stock unit awards subject to performance-based vesting are not considered owned for purposes of these guidelines. Our Chief Executive Officer is required to be in compliance with the required ownership level within five years of first becoming subject to the Stock ownership Guidelines.</w:t>
      </w:r>
    </w:p>
    <w:p>
      <w:pPr>
        <w:spacing w:after="0" w:line="1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Other Compensation</w:t>
      </w:r>
    </w:p>
    <w:p>
      <w:pPr>
        <w:spacing w:after="0" w:line="191" w:lineRule="exact"/>
        <w:rPr>
          <w:sz w:val="20"/>
          <w:szCs w:val="20"/>
          <w:color w:val="auto"/>
        </w:rPr>
      </w:pPr>
    </w:p>
    <w:p>
      <w:pPr>
        <w:jc w:val="both"/>
        <w:ind w:left="200" w:right="219"/>
        <w:spacing w:after="0" w:line="257" w:lineRule="auto"/>
        <w:rPr>
          <w:sz w:val="20"/>
          <w:szCs w:val="20"/>
          <w:color w:val="auto"/>
        </w:rPr>
      </w:pPr>
      <w:r>
        <w:rPr>
          <w:rFonts w:ascii="Times New Roman" w:cs="Times New Roman" w:eastAsia="Times New Roman" w:hAnsi="Times New Roman"/>
          <w:sz w:val="17"/>
          <w:szCs w:val="17"/>
          <w:b w:val="1"/>
          <w:bCs w:val="1"/>
          <w:color w:val="auto"/>
        </w:rPr>
        <w:t>Perquisites &amp; Benefits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fiscal 2023, we provided our named executive officers certain perquisites and benefits, generally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same level and offering made available to other employees, including our 401(k) Plan, health care plans, life insurance plans, and other welfare benefit programs. In addition, each of our named executive officers was entitled to an automobile allowance and fuel costs. Each named executive officer also received supplemental disability insurance coverage and reimbursement of certain out-of-pocket medical expenses.</w:t>
      </w:r>
    </w:p>
    <w:p>
      <w:pPr>
        <w:spacing w:after="0" w:line="171"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The Company sponsors a 401(k) plan that permits its employees, subject to certain eligibility requirements, to contribute up to 25% of their qualified compensation to the plan. The Company matches 100% of the employees’ contributions of the first 3% of the employees’ annual qualified compensation, and 50% of the employees’ contributions of the next 2% of the employees’ annual qualified compensation. The Company’s matching contribution immediately fully vests.</w:t>
      </w:r>
    </w:p>
    <w:p>
      <w:pPr>
        <w:spacing w:after="0" w:line="168"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Sign-on Bonuses, New Hire Equity Awards and Relocation Payments. </w:t>
      </w:r>
      <w:r>
        <w:rPr>
          <w:rFonts w:ascii="Times New Roman" w:cs="Times New Roman" w:eastAsia="Times New Roman" w:hAnsi="Times New Roman"/>
          <w:sz w:val="17"/>
          <w:szCs w:val="17"/>
          <w:color w:val="auto"/>
        </w:rPr>
        <w:t>The Company occasionally provides sign-on bonuses,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new hire equity awards, and relocation payments when the Compensation Committee determines it necessary and appropriate to attract top executive talent. These awards are utilized to help offset compensation an executive forfeits from their previous company to join the Company. We typically require the newly hired executive to return the full award amount of any sign-on bonuses and relocation payments if they voluntarily leave the Company within a certain period of time after hire and new hire equity awards are subject to a time-based vesting period.</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3"/>
          <w:szCs w:val="23"/>
          <w:b w:val="1"/>
          <w:bCs w:val="1"/>
          <w:color w:val="auto"/>
        </w:rPr>
        <w:t>Other Compensation Policies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Policy on Hedging and Pledging Transactions</w:t>
      </w:r>
    </w:p>
    <w:p>
      <w:pPr>
        <w:spacing w:after="0" w:line="208"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17"/>
          <w:szCs w:val="17"/>
          <w:color w:val="auto"/>
        </w:rPr>
        <w:t>We do not permit any director or officer of the Company to engage in short sales, transactions in put or call options, hedging transactions or other similar transactions designed to allow an individual to “lock in” appreciation in value or hold securities of the Company without the full risks and rewards of ownership, and all other employees are discouraged from doing so. In addition, no director or officer of the Company may margin, or make any offer to margin, any of the Company’s stock, or pledge any Company stock, subject to a limited exception applicable to pledges that requires Company pre-approval, and all other employees are discouraged from doing so.</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Description of Employment Agreements</w:t>
      </w:r>
    </w:p>
    <w:p>
      <w:pPr>
        <w:spacing w:after="0" w:line="208"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17"/>
          <w:szCs w:val="17"/>
          <w:color w:val="auto"/>
        </w:rPr>
        <w:t>We have entered into employment agreements with Maria Hollandsworth and Ira Fils. In addition, we entered into an employment agreement with Elizabeth Williams in 2024 and a separation, release and consulting agreement with Mr. Roberts in connection with his termination of employment in 2023. Each of the employment agreements provides for an initial term ranging from one year to eighteen months, and automatically renews for an additional one-year term, unless either party provides 60 days’ notice prior to the end of the term. We have also entered into indemnification agreements with each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-661670</wp:posOffset>
            </wp:positionV>
            <wp:extent cx="5016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0165" cy="7620"/>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-645795</wp:posOffset>
            </wp:positionV>
            <wp:extent cx="5524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5245" cy="762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51" w:name="page52"/>
    <w:bookmarkEnd w:id="51"/>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Maria Hollandsworth</w:t>
      </w:r>
    </w:p>
    <w:p>
      <w:pPr>
        <w:spacing w:after="0" w:line="208"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17"/>
          <w:szCs w:val="17"/>
          <w:color w:val="auto"/>
        </w:rPr>
        <w:t>We entered into an employment agreement with Ms. Hollandsworth in connection with her appointment as the Company’s Interim Chief Executive Officer, effective November 4, 2023. Under the employment agreement, Ms. Hollandsworth will serve as the Company’s Executive Vice President, Chief Operating Officer, with a base salary of $400,000, which may be increased in our sole discretion, and a target annual bonus equal to 75% of base salary. The employment agreement also provides that Ms. Hollandsworth will also serve as the Company’s Interim Chief Executive Officer. During the period that Ms. Hollandsworth serves as Interim Chief Executive Officer, her target annual bonus will be increased to 100% of her base salary. Ms. Hollandsworth’s position as Interim Chief Executive Officer of the Company concluded on March 11, 2024 in connection with Ms. Williams’ appointment as Chief Executive Officer of the Company on such date, after which Ms. Hollandsworth continued to serve as the Company’s Executive Vice President, Chief Operating Officer.</w:t>
      </w:r>
    </w:p>
    <w:p>
      <w:pPr>
        <w:spacing w:after="0" w:line="182"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color w:val="auto"/>
        </w:rPr>
        <w:t>In addition, under the employment agreement, Ms. Hollandsworth will receive retention bonuses of $75,000 on each of December 1, 2023 and May 1, 2024 (subject to her continued employment with the Company through each such date). Ms. Hollandsworth is also entitled to receive a grant of restricted stock units with a grant date value of $200,000 (the “Interim CEO RSUs”) that will cliff-vest on the one-year anniversary of the agreement’s effective date (subject to her continued employment with the Company through such date) or earlier in the event of termination of her employment with the Company without “cause” or for “good reason” (as such terms are defined in Ms. Hollandsworth’s employment agreement), or in the event the employment agreement (for either position) is not renewed by the Company (a “Qualifying Termination”).</w:t>
      </w:r>
    </w:p>
    <w:p>
      <w:pPr>
        <w:spacing w:after="0" w:line="180"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In the event Ms. Hollandsworth’s employment is terminated as a result of a Qualifying Termination, provided that she signs a release of claims, she will be entitled to receive continued payment of her base salary for one year, a pro-rata portion of any annual bonus earned for the year of termination based on performance and full accelerated vesting of the Interim CEO RSUs.</w:t>
      </w:r>
    </w:p>
    <w:p>
      <w:pPr>
        <w:spacing w:after="0" w:line="169"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The employment agreement contains a perpetual confidentiality covenant, a one-year post-termination non-interference covenant applicable to the Company’s relationships with suppliers, customers and partners and a one-year post-termination non-solicitation covenant applicable to Company employees.</w:t>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Ira Fils</w:t>
      </w:r>
    </w:p>
    <w:p>
      <w:pPr>
        <w:spacing w:after="0" w:line="208"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17"/>
          <w:szCs w:val="17"/>
          <w:color w:val="auto"/>
        </w:rPr>
        <w:t>In connection with his appointment as the Company’s Chief Financial Officer in 2022, we entered into an employment agreement with Ira Fils. The employment agreement provides that Mr. Fils will receive a salary equal to $400,000, which may be increased in our sole discretion, will receive a $600 per month transportation allowance, will be eligible to earn annual cash incentive awards with a target of 75% of his then current base salary, will be eligible to participate in the Company’s equity-based compensation plan, and will be entitled to certain other benefits and perquisites as more fully described above in the “Perquisites &amp; Benefits” section. Mr. Fils’ employment with us may be terminated at any time by either party, provided that Mr. Fils is required to provide us with 90-day advance notice in case of resignation. If we terminate Mr. Fils’ employment without “cause” or he resigns for “good reason” (as such terms are defined in Mr. Fils’ employment agreement) and provided that he signs a general release of claims, Mr. Fils will be entitled to continuation of base salary for 12 months following termination of employment. In addition, in case of any termination of employment, except termination by us for cause or voluntary resignation by Mr. Fils without good reason, Mr. Fils will be entitled to a Pro-Rata Annual Cash Incentive for the year of termination based on our actual performance. Mr. Fils’ employment agreement contains an indefinite confidentiality covenant and 12-month post-termination covenants relating to non-interference with the Company’s business relationships and non-solicitation of the Company’s employees and consultants.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Elizabeth Williams</w:t>
      </w:r>
    </w:p>
    <w:p>
      <w:pPr>
        <w:spacing w:after="0" w:line="196"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We entered into an employment agreement with Ms. Williams in connection with her appointment as the Company’s Chief Executive Officer, effective March 11, 2024 (the “Effective Date”). The employment agreement provides that Ms. Williams will receive an annual base salary of $725,000, which may be increased in our sole discretion, and a</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52" w:name="page53"/>
    <w:bookmarkEnd w:id="52"/>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spacing w:after="0" w:line="271" w:lineRule="auto"/>
        <w:rPr>
          <w:sz w:val="20"/>
          <w:szCs w:val="20"/>
          <w:color w:val="auto"/>
        </w:rPr>
      </w:pPr>
      <w:r>
        <w:rPr>
          <w:rFonts w:ascii="Times New Roman" w:cs="Times New Roman" w:eastAsia="Times New Roman" w:hAnsi="Times New Roman"/>
          <w:sz w:val="17"/>
          <w:szCs w:val="17"/>
          <w:color w:val="auto"/>
        </w:rPr>
        <w:t>target annual bonus equal to100% of base salary. For purposes of the 2024 annual bonus, the bonus will not be prorated from the effective date of the Employment Agreement through the close of fiscal year 2024.</w:t>
      </w:r>
    </w:p>
    <w:p>
      <w:pPr>
        <w:spacing w:after="0" w:line="146" w:lineRule="exact"/>
        <w:rPr>
          <w:sz w:val="20"/>
          <w:szCs w:val="20"/>
          <w:color w:val="auto"/>
        </w:rPr>
      </w:pPr>
    </w:p>
    <w:p>
      <w:pPr>
        <w:jc w:val="both"/>
        <w:ind w:left="200" w:right="219"/>
        <w:spacing w:after="0" w:line="269" w:lineRule="auto"/>
        <w:rPr>
          <w:sz w:val="20"/>
          <w:szCs w:val="20"/>
          <w:color w:val="auto"/>
        </w:rPr>
      </w:pPr>
      <w:r>
        <w:rPr>
          <w:rFonts w:ascii="Times New Roman" w:cs="Times New Roman" w:eastAsia="Times New Roman" w:hAnsi="Times New Roman"/>
          <w:sz w:val="16"/>
          <w:szCs w:val="16"/>
          <w:color w:val="auto"/>
        </w:rPr>
        <w:t>At the discretion of the Board, during the employment term, Ms. Williams will be eligible to receive an annual equity grant with a target equity value of $1,800,000 (the “Annual Equity Incentive”), with the terms of each such award to be determined by the Compensation Committee and the Board. If we terminate Ms. Williams’ employment without “cause” or she resigns for “good reason” within the four-month period before or 12-month period after a “change of control” (as such terms are defined in Ms. Williams’ employment agreement) and provided that she signs a general release of claims, Ms. Williams will be entitled to full vesting of any unvested Annual Equity Incentive awards (such acceleration, a “Double Trigger Acceleration”).</w:t>
      </w:r>
    </w:p>
    <w:p>
      <w:pPr>
        <w:spacing w:after="0" w:line="137"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17"/>
          <w:szCs w:val="17"/>
          <w:color w:val="auto"/>
        </w:rPr>
        <w:t>In addition, as soon as practicable during the first open window following the Effective Date, Ms. Williams will receive a one-time signing equity grant with a grant date value of $1,200,000 (“Signing Grant”), subject to the terms and conditions of the Company’s Equity Incentive Plan and applicable award agreement. The Signing Grant consists of time-vested restricted stock awards (“RSAs”) with a grant date value of $400,000, time-vested stock options (“Options”) with a grant date value of $400,000, and performance stock units (“PSUs”) with a target grant date value of $400,000. The time-vested portion of the Signing Grant will vest 25% each year for the first four years from the Effective Date, subject to Ms. Williams’ continued employment with the Company. The PSUs will vest according to the plan established by the Compensation Committee and will be subject to the performance terms and conditions established by the Compensation Committee after consultation with Ms. Williams. In addition, 100% of the Signing Grant will vest upon (i) Ms. Williams’ employment being terminated at any time prior to the vesting date as a result of a termination by the Company without cause; (ii) a termination by Ms. Williams for good reason; (iii) the Company’s decision not to renew the term of the employment agreement; provided that the vesting acceleration of PSUs will be subject to future mutual agreement in connection with the development by the Company of performance terms and conditions thereof; or (iv) a Double Trigger Acceleration. Any accelerated vesting in connection with such a qualifying termination of employment will be subject to Ms. Williams complying with the release requirements of her employment agreement.</w:t>
      </w:r>
    </w:p>
    <w:p>
      <w:pPr>
        <w:spacing w:after="0" w:line="169"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Ms. Williams will also be eligible to receive a one-time cash signing bonus of $200,000 (“Signing Bonus”), to be paid 120 days following the Effective Date, provided that she does not receive any bonus from her prior employer. If we terminate Ms. Williams’ employment for cause or she resigns without good reason within 12 months of the Effective Date, Ms. Williams will be obligated to repay the Signing Bonus.</w:t>
      </w:r>
    </w:p>
    <w:p>
      <w:pPr>
        <w:spacing w:after="0" w:line="160"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During the employment term, the Company will provide Ms. Williams with an automobile allowance substantially similar to the allowance provided by the Company to other similarly-situated senior executives of the Company. The Company will also reimburse up to $10,000 for any reasonable, documented attorneys’ fees incurred by Ms. Williams in connection with the employment agreement.</w:t>
      </w:r>
    </w:p>
    <w:p>
      <w:pPr>
        <w:spacing w:after="0" w:line="147"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17"/>
          <w:szCs w:val="17"/>
          <w:color w:val="auto"/>
        </w:rPr>
        <w:t>If we terminate Ms. Williams’ employment without cause (other than by reason of death or disability), she resigns with good reason, or the Company does not renew the term of her employment agreement, provided that she signs a general release of claims and continues to comply with the restrictive covenants set forth in her employment agreement, Ms. Williams will be entitled to receive: (i) the annual bonus, if any, that she would have been entitled to receive in respect of the year in which such termination occurs based on actual performance, prorated based on the number of days employed during such year, payable when such bonus would have otherwise been paid; (ii) continued payment of her annual base salary for 12 months; (iii) reimbursement for the cost of her continued medical, dental and vision coverage until the earlier of (x) the end of the 12-month period following such termination, or (y) the date on which she becomes eligible for medical, dental and/or vision coverage from a subsequent employer; and (iv) the Signing Grant will fully vest.</w:t>
      </w:r>
    </w:p>
    <w:p>
      <w:pPr>
        <w:spacing w:after="0" w:line="169"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color w:val="auto"/>
        </w:rPr>
        <w:t>To the extent that the payments and benefits provided under Ms. Williams’ employment agreement and any other Company plan or agreement (such payments or benefits, the “Benefits”) would be subject to the excise tax imposed under Section 4999 of the Internal Revenue Code of 1986, as amended, the Benefits will be reduced (but not below zero) if and to the extent that a reduction in the Benefits would result in Ms. Williams retaining a larger amount, on an after-tax basis, than if Ms. Williams received all of the Benefits.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459730" cy="1587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53" w:name="page54"/>
    <w:bookmarkEnd w:id="53"/>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The employment agreement contains a perpetual confidentiality covenant, a one-year post-termination non-interference covenant applicable to the Company’s relationships with suppliers, customers and partners and a one-year post-termination non-solicitation covenant applicable to Company employees.</w:t>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Laurance Roberts</w:t>
      </w:r>
    </w:p>
    <w:p>
      <w:pPr>
        <w:spacing w:after="0" w:line="183" w:lineRule="exact"/>
        <w:rPr>
          <w:sz w:val="20"/>
          <w:szCs w:val="20"/>
          <w:color w:val="auto"/>
        </w:rPr>
      </w:pPr>
    </w:p>
    <w:p>
      <w:pPr>
        <w:jc w:val="both"/>
        <w:ind w:left="200" w:right="219"/>
        <w:spacing w:after="0" w:line="264" w:lineRule="auto"/>
        <w:rPr>
          <w:sz w:val="20"/>
          <w:szCs w:val="20"/>
          <w:color w:val="auto"/>
        </w:rPr>
      </w:pPr>
      <w:r>
        <w:rPr>
          <w:rFonts w:ascii="Times New Roman" w:cs="Times New Roman" w:eastAsia="Times New Roman" w:hAnsi="Times New Roman"/>
          <w:sz w:val="16"/>
          <w:szCs w:val="16"/>
          <w:color w:val="auto"/>
        </w:rPr>
        <w:t>In connection with Mr. Roberts’ termination of employment, the Company entered into a separation, release and consulting agreement with Mr. Roberts, dated November 1, 2023 (the “Consulting Agreement”). In accordance with his existing employment agreement, dated March 9, 2022, the Consulting Agreement provides that Mr. Roberts will receive continued payment of his base salary of $700,000 for one year and a pro-rata portion of any annual bonus earned for the year of termination based on performance. In addition, to help facilitate the transition from Mr. Roberts to Ms. Hollandsworth, the Company retained Mr. Roberts as a consultant from November 4, 2023 through December 28, 2023. Pursuant to the Consulting Agreement, Mr. Roberts is entitled to a gross payment of $53,846, and the Company is extending the exercise period for all stock options vested as of the date of his termination of employment (“Vested Options”) such that the Vested Options will remain exercisable until the earliest of (1) the three-year anniversary of the date of his termination of employment, (2) the normal expiration date of the applicable Vested Options, and (3) the date of any termination of the Vested Options as a result of any corporate transaction provided for under the equity plan under which the Vested Options were awarded. Mr. Roberts will also be entitled to reimbursement of his premiums charged to continue medical coverage pursuant to the Consolidated Omnibus Budget Reconciliation Act of 1985 (commonly known as COBRA) through April 30, 2024.</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Change in Control Provisions in Equity Awards</w:t>
      </w:r>
    </w:p>
    <w:p>
      <w:pPr>
        <w:spacing w:after="0" w:line="208" w:lineRule="exact"/>
        <w:rPr>
          <w:sz w:val="20"/>
          <w:szCs w:val="20"/>
          <w:color w:val="auto"/>
        </w:rPr>
      </w:pPr>
    </w:p>
    <w:p>
      <w:pPr>
        <w:jc w:val="both"/>
        <w:ind w:left="200" w:right="219"/>
        <w:spacing w:after="0" w:line="269" w:lineRule="auto"/>
        <w:rPr>
          <w:sz w:val="20"/>
          <w:szCs w:val="20"/>
          <w:color w:val="auto"/>
        </w:rPr>
      </w:pPr>
      <w:r>
        <w:rPr>
          <w:rFonts w:ascii="Times New Roman" w:cs="Times New Roman" w:eastAsia="Times New Roman" w:hAnsi="Times New Roman"/>
          <w:sz w:val="16"/>
          <w:szCs w:val="16"/>
          <w:color w:val="auto"/>
        </w:rPr>
        <w:t>The Incentive Plan provides that, except as otherwise provided in an award agreement, if a “change in control” of the Company occurs (as such term is defined in the Incentive Plan) and the award holder’s employment or service is terminated by the Company without “cause” or by the award holder for “good reason” (as such terms are defined in the Incentive Plan) within 12 months following the change in control, then the outstanding and unvested equity awards will fully vest (with any performance conditions deemed to be achieved at target performance levels). The Compensation Committee, which administers the Incentive Plan, may also provide for the acceleration of outstanding and unvested equity awards upon a change in control of the Company.</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Compensation Policies and Practices as They Relate to Risk Management</w:t>
      </w:r>
    </w:p>
    <w:p>
      <w:pPr>
        <w:spacing w:after="0" w:line="208"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color w:val="auto"/>
        </w:rPr>
        <w:t>In 2023, our Compensation Committee reviewed our compensation policies and practices and concluded that the mix and design of these policies and practices are not reasonably likely to encourage our employees to take excessive risks. In connection with its evaluation, our Compensation Committee considered, among other things, the structure, philosophy and design characteristics of our primary incentive compensation plans and programs in light of our risk management and governance procedures, as well as other factors that may calibrate or balance potential risk-taking incentives. Based on this assessment, our Compensation Committee concluded that risks arising from our compensation policies and practices for all employees, including executive officers, are not reasonably likely to have a material adverse effect on us.</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Tax Considerations</w:t>
      </w:r>
    </w:p>
    <w:p>
      <w:pPr>
        <w:spacing w:after="0" w:line="208"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color w:val="auto"/>
        </w:rPr>
        <w:t>Prior to its amendment by the Tax Cuts and Jobs Act (“Tax Legislation”), which was enacted December 22, 2017, Section 162(m) of the Internal Revenue Code disallowed a tax deduction to public companies for compensation paid in excess of $1 million to “covered employees” (generally, such company’s chief executive officer and its three other highest paid executive officers other than its chief financial officer). Prior to the Tax Legislation, there was an exception to this $1 million limitation for performance-based compensation if certain requirements were met.</w:t>
      </w:r>
    </w:p>
    <w:p>
      <w:pPr>
        <w:spacing w:after="0" w:line="153"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color w:val="auto"/>
        </w:rPr>
        <w:t>The Tax Legislation generally amended Section 162(m) to eliminate the exception for performance-based compensation. The $1 million compensation limit was also expanded to apply to a public company’s chief financial officer and apply to certain individuals who were covered employees in years other than the then-current taxable year. The Tax Legislation provides for “grandfathering” of awards in effect as of November 2, 2017, if certain conditions are met, including lack of modification of the terms of the awards. As in prior years the Company will continue 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54" w:name="page55"/>
    <w:bookmarkEnd w:id="54"/>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17"/>
          <w:szCs w:val="17"/>
          <w:color w:val="auto"/>
        </w:rPr>
        <w:t>consider the tax and accounting implications (including with respect to the expected lack of deductibility under the revised Section 162(m)) when making compensation decisions, but it reserves its right to continue to make compensation decisions based on other factors if it determines that it is in the best interests of the Company and its stockholders to do so. Further, the Company may determine to make changes or amendments to the Company’s existing compensation programs in order to revise aspects of our executive compensation programs that were initially designed to comply with Section 162(m) but that may no longer serve as an appropriate incentive measure for our executive officers.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55" w:name="page56"/>
    <w:bookmarkEnd w:id="55"/>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COMPENSATION COMMITTEE REPORT</w:t>
      </w:r>
    </w:p>
    <w:p>
      <w:pPr>
        <w:spacing w:after="0" w:line="221"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The Compensation Committee has reviewed and discussed our Compensation Discussion and Analysis section with management and, based on the review and discussions, recommended to the Board that the Compensation Discussion and Analysis section be included in this proxy statement on Schedule 14A.</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Douglas J. Babb</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Samuel Borgese</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Mark Buller</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Carol (“Lili”) Lynton</w:t>
      </w:r>
    </w:p>
    <w:p>
      <w:pPr>
        <w:spacing w:after="0" w:line="186" w:lineRule="exact"/>
        <w:rPr>
          <w:sz w:val="20"/>
          <w:szCs w:val="20"/>
          <w:color w:val="auto"/>
        </w:rPr>
      </w:pPr>
    </w:p>
    <w:p>
      <w:pPr>
        <w:jc w:val="both"/>
        <w:ind w:left="200" w:right="219"/>
        <w:spacing w:after="0" w:line="259" w:lineRule="auto"/>
        <w:rPr>
          <w:sz w:val="20"/>
          <w:szCs w:val="20"/>
          <w:color w:val="auto"/>
        </w:rPr>
      </w:pPr>
      <w:r>
        <w:rPr>
          <w:rFonts w:ascii="Times New Roman" w:cs="Times New Roman" w:eastAsia="Times New Roman" w:hAnsi="Times New Roman"/>
          <w:sz w:val="17"/>
          <w:szCs w:val="17"/>
          <w:i w:val="1"/>
          <w:iCs w:val="1"/>
          <w:color w:val="auto"/>
        </w:rPr>
        <w:t>The foregoing report of the Compensation Committee is not soliciting material, is not deemed filed with the SEC and is not incorporated by reference in any filing of the Company under the Securities Act or the Exchange Act, whether made before or after the date of this proxy statement and irrespective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56" w:name="page57"/>
    <w:bookmarkEnd w:id="56"/>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30"/>
          <w:szCs w:val="30"/>
          <w:b w:val="1"/>
          <w:bCs w:val="1"/>
          <w:color w:val="auto"/>
        </w:rPr>
        <w:t>EXECUTIVE COMPENSATION TABLES</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2023 Summary Compensation Table</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following table summarizes the compensation for 2023, 2022, and 2021 awarded to, earned by or paid to our NEOs.</w:t>
      </w:r>
    </w:p>
    <w:p>
      <w:pPr>
        <w:spacing w:after="0" w:line="213" w:lineRule="exact"/>
        <w:rPr>
          <w:sz w:val="20"/>
          <w:szCs w:val="20"/>
          <w:color w:val="auto"/>
        </w:rPr>
      </w:pPr>
    </w:p>
    <w:tbl>
      <w:tblPr>
        <w:tblLayout w:type="fixed"/>
        <w:tblInd w:w="210" w:type="dxa"/>
        <w:tblCellMar>
          <w:top w:w="0" w:type="dxa"/>
          <w:left w:w="0" w:type="dxa"/>
          <w:bottom w:w="0" w:type="dxa"/>
          <w:right w:w="0" w:type="dxa"/>
        </w:tblCellMar>
      </w:tblPr>
      <w:tr>
        <w:trPr>
          <w:trHeight w:val="120"/>
        </w:trPr>
        <w:tc>
          <w:tcPr>
            <w:tcW w:w="2480" w:type="dxa"/>
            <w:vAlign w:val="bottom"/>
            <w:tcBorders>
              <w:top w:val="single" w:sz="8" w:color="auto"/>
              <w:left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42"/>
              <w:spacing w:after="0" w:line="120" w:lineRule="exact"/>
              <w:rPr>
                <w:sz w:val="20"/>
                <w:szCs w:val="20"/>
                <w:color w:val="auto"/>
              </w:rPr>
            </w:pPr>
            <w:r>
              <w:rPr>
                <w:rFonts w:ascii="Times New Roman" w:cs="Times New Roman" w:eastAsia="Times New Roman" w:hAnsi="Times New Roman"/>
                <w:sz w:val="12"/>
                <w:szCs w:val="12"/>
                <w:b w:val="1"/>
                <w:bCs w:val="1"/>
                <w:color w:val="auto"/>
                <w:w w:val="96"/>
              </w:rPr>
              <w:t>Non-Equity</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right w:val="single" w:sz="8" w:color="auto"/>
            </w:tcBorders>
          </w:tcPr>
          <w:p>
            <w:pPr>
              <w:spacing w:after="0"/>
              <w:rPr>
                <w:sz w:val="10"/>
                <w:szCs w:val="10"/>
                <w:color w:val="auto"/>
              </w:rPr>
            </w:pPr>
          </w:p>
        </w:tc>
      </w:tr>
      <w:tr>
        <w:trPr>
          <w:trHeight w:val="125"/>
        </w:trPr>
        <w:tc>
          <w:tcPr>
            <w:tcW w:w="248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center"/>
              <w:ind w:right="22"/>
              <w:spacing w:after="0" w:line="125"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22"/>
              <w:spacing w:after="0" w:line="125"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160" w:type="dxa"/>
            <w:vAlign w:val="bottom"/>
          </w:tcPr>
          <w:p>
            <w:pPr>
              <w:spacing w:after="0"/>
              <w:rPr>
                <w:sz w:val="10"/>
                <w:szCs w:val="10"/>
                <w:color w:val="auto"/>
              </w:rPr>
            </w:pPr>
          </w:p>
        </w:tc>
        <w:tc>
          <w:tcPr>
            <w:tcW w:w="8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4"/>
              </w:rPr>
              <w:t>Incentive Plan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42"/>
              <w:spacing w:after="0" w:line="125" w:lineRule="exact"/>
              <w:rPr>
                <w:sz w:val="20"/>
                <w:szCs w:val="20"/>
                <w:color w:val="auto"/>
              </w:rPr>
            </w:pPr>
            <w:r>
              <w:rPr>
                <w:rFonts w:ascii="Times New Roman" w:cs="Times New Roman" w:eastAsia="Times New Roman" w:hAnsi="Times New Roman"/>
                <w:sz w:val="12"/>
                <w:szCs w:val="12"/>
                <w:b w:val="1"/>
                <w:bCs w:val="1"/>
                <w:color w:val="auto"/>
                <w:w w:val="97"/>
              </w:rPr>
              <w:t>All Other</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r>
      <w:tr>
        <w:trPr>
          <w:trHeight w:val="125"/>
        </w:trPr>
        <w:tc>
          <w:tcPr>
            <w:tcW w:w="248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ind w:right="62"/>
              <w:spacing w:after="0" w:line="125" w:lineRule="exact"/>
              <w:rPr>
                <w:sz w:val="20"/>
                <w:szCs w:val="20"/>
                <w:color w:val="auto"/>
              </w:rPr>
            </w:pPr>
            <w:r>
              <w:rPr>
                <w:rFonts w:ascii="Times New Roman" w:cs="Times New Roman" w:eastAsia="Times New Roman" w:hAnsi="Times New Roman"/>
                <w:sz w:val="12"/>
                <w:szCs w:val="12"/>
                <w:b w:val="1"/>
                <w:bCs w:val="1"/>
                <w:color w:val="auto"/>
                <w:w w:val="93"/>
              </w:rPr>
              <w:t>Bonus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center"/>
              <w:ind w:right="2"/>
              <w:spacing w:after="0" w:line="125"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22"/>
              <w:spacing w:after="0" w:line="125"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60" w:type="dxa"/>
            <w:vAlign w:val="bottom"/>
          </w:tcPr>
          <w:p>
            <w:pPr>
              <w:spacing w:after="0"/>
              <w:rPr>
                <w:sz w:val="10"/>
                <w:szCs w:val="10"/>
                <w:color w:val="auto"/>
              </w:rPr>
            </w:pPr>
          </w:p>
        </w:tc>
        <w:tc>
          <w:tcPr>
            <w:tcW w:w="8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140" w:type="dxa"/>
            <w:vAlign w:val="bottom"/>
          </w:tcPr>
          <w:p>
            <w:pPr>
              <w:spacing w:after="0"/>
              <w:rPr>
                <w:sz w:val="10"/>
                <w:szCs w:val="10"/>
                <w:color w:val="auto"/>
              </w:rPr>
            </w:pPr>
          </w:p>
        </w:tc>
        <w:tc>
          <w:tcPr>
            <w:tcW w:w="8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right w:val="single" w:sz="8" w:color="auto"/>
            </w:tcBorders>
          </w:tcPr>
          <w:p>
            <w:pPr>
              <w:jc w:val="right"/>
              <w:ind w:right="182"/>
              <w:spacing w:after="0" w:line="125"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43"/>
        </w:trPr>
        <w:tc>
          <w:tcPr>
            <w:tcW w:w="24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w w:val="94"/>
              </w:rPr>
              <w:t>Year</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w w:val="95"/>
              </w:rPr>
              <w:t>Salary ($)</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2"/>
                <w:szCs w:val="12"/>
                <w:b w:val="1"/>
                <w:bCs w:val="1"/>
                <w:color w:val="auto"/>
                <w:w w:val="96"/>
              </w:rPr>
              <w:t>($) (1)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6"/>
              </w:rPr>
              <w:t>($) (2)</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6"/>
              </w:rPr>
              <w:t>($) (3)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w w:val="96"/>
              </w:rPr>
              <w:t>($) (4)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60"/>
        </w:trPr>
        <w:tc>
          <w:tcPr>
            <w:tcW w:w="2620" w:type="dxa"/>
            <w:vAlign w:val="bottom"/>
            <w:tcBorders>
              <w:left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Maria Hollandsworth</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2023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348,901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75,000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325,000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80,702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28,758</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983,361</w:t>
            </w:r>
          </w:p>
        </w:tc>
      </w:tr>
      <w:tr>
        <w:trPr>
          <w:trHeight w:val="171"/>
        </w:trPr>
        <w:tc>
          <w:tcPr>
            <w:tcW w:w="262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i w:val="1"/>
                <w:iCs w:val="1"/>
                <w:color w:val="auto"/>
              </w:rPr>
              <w:t>Interim President &amp; Chief Executive Officer</w:t>
            </w:r>
          </w:p>
        </w:tc>
        <w:tc>
          <w:tcPr>
            <w:tcW w:w="2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2022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56,558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111,320</w:t>
            </w:r>
          </w:p>
        </w:tc>
      </w:tr>
      <w:tr>
        <w:trPr>
          <w:trHeight w:val="28"/>
        </w:trPr>
        <w:tc>
          <w:tcPr>
            <w:tcW w:w="248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r>
      <w:tr>
        <w:trPr>
          <w:trHeight w:val="180"/>
        </w:trPr>
        <w:tc>
          <w:tcPr>
            <w:tcW w:w="2480" w:type="dxa"/>
            <w:vAlign w:val="bottom"/>
            <w:tcBorders>
              <w:left w:val="single" w:sz="8" w:color="auto"/>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2021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262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Ira Fils</w:t>
            </w:r>
          </w:p>
        </w:tc>
        <w:tc>
          <w:tcPr>
            <w:tcW w:w="2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2023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416,000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101,712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32,075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1,359,787</w:t>
            </w:r>
          </w:p>
        </w:tc>
      </w:tr>
      <w:tr>
        <w:trPr>
          <w:trHeight w:val="28"/>
        </w:trPr>
        <w:tc>
          <w:tcPr>
            <w:tcW w:w="248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r>
      <w:tr>
        <w:trPr>
          <w:trHeight w:val="180"/>
        </w:trPr>
        <w:tc>
          <w:tcPr>
            <w:tcW w:w="2620" w:type="dxa"/>
            <w:vAlign w:val="bottom"/>
            <w:tcBorders>
              <w:left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i w:val="1"/>
                <w:iCs w:val="1"/>
                <w:color w:val="auto"/>
              </w:rPr>
              <w:t>Chief Financial Officer</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2022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205,000</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500,000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76,236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94,397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875,633</w:t>
            </w:r>
          </w:p>
        </w:tc>
      </w:tr>
      <w:tr>
        <w:trPr>
          <w:trHeight w:val="171"/>
        </w:trPr>
        <w:tc>
          <w:tcPr>
            <w:tcW w:w="248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2021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248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r>
      <w:tr>
        <w:trPr>
          <w:trHeight w:val="180"/>
        </w:trPr>
        <w:tc>
          <w:tcPr>
            <w:tcW w:w="2620" w:type="dxa"/>
            <w:vAlign w:val="bottom"/>
            <w:tcBorders>
              <w:left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Laurance Roberts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2023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594,231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800,000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186,196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780,838</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3,161,265</w:t>
            </w:r>
          </w:p>
        </w:tc>
      </w:tr>
      <w:tr>
        <w:trPr>
          <w:trHeight w:val="171"/>
        </w:trPr>
        <w:tc>
          <w:tcPr>
            <w:tcW w:w="262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Former President and Chief Executive Officer</w:t>
            </w:r>
          </w:p>
        </w:tc>
        <w:tc>
          <w:tcPr>
            <w:tcW w:w="28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2022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582,665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162,198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1,744,863</w:t>
            </w:r>
          </w:p>
        </w:tc>
      </w:tr>
      <w:tr>
        <w:trPr>
          <w:trHeight w:val="28"/>
        </w:trPr>
        <w:tc>
          <w:tcPr>
            <w:tcW w:w="248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r>
      <w:tr>
        <w:trPr>
          <w:trHeight w:val="180"/>
        </w:trPr>
        <w:tc>
          <w:tcPr>
            <w:tcW w:w="2480" w:type="dxa"/>
            <w:vAlign w:val="bottom"/>
            <w:tcBorders>
              <w:left w:val="single" w:sz="8" w:color="auto"/>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2021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420,136</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450,000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348,430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31,266</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1,499,832</w:t>
            </w:r>
          </w:p>
        </w:tc>
      </w:tr>
      <w:tr>
        <w:trPr>
          <w:trHeight w:val="25"/>
        </w:trPr>
        <w:tc>
          <w:tcPr>
            <w:tcW w:w="248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r>
    </w:tbl>
    <w:p>
      <w:pPr>
        <w:spacing w:after="0" w:line="100" w:lineRule="exact"/>
        <w:rPr>
          <w:sz w:val="20"/>
          <w:szCs w:val="20"/>
          <w:color w:val="auto"/>
        </w:rPr>
      </w:pPr>
    </w:p>
    <w:p>
      <w:pPr>
        <w:jc w:val="both"/>
        <w:ind w:left="500" w:right="219" w:hanging="297"/>
        <w:spacing w:after="0" w:line="275" w:lineRule="auto"/>
        <w:tabs>
          <w:tab w:leader="none" w:pos="5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shown in this column represent the aggregate grant date fair value of restricted share awards computed in accordance with FASB ASC Topic 718. For a discussion of valuation assumptions used in calculation of these amounts, see Note 11 to our audited financial statements, included within our Annual Report.</w:t>
      </w:r>
    </w:p>
    <w:p>
      <w:pPr>
        <w:spacing w:after="0" w:line="19" w:lineRule="exact"/>
        <w:rPr>
          <w:rFonts w:ascii="Times New Roman" w:cs="Times New Roman" w:eastAsia="Times New Roman" w:hAnsi="Times New Roman"/>
          <w:sz w:val="15"/>
          <w:szCs w:val="15"/>
          <w:color w:val="auto"/>
        </w:rPr>
      </w:pPr>
    </w:p>
    <w:p>
      <w:pPr>
        <w:jc w:val="both"/>
        <w:ind w:left="500" w:right="219" w:hanging="297"/>
        <w:spacing w:after="0" w:line="275" w:lineRule="auto"/>
        <w:tabs>
          <w:tab w:leader="none" w:pos="5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shown in this column represent the aggregate grant date fair value of stock option awards computed in accordance with FASB ASC Topic 718. For a discussion of valuation assumptions used in calculation of these amounts, see Note 11 to our audited financial statements, included within our Annual Report.</w:t>
      </w:r>
    </w:p>
    <w:p>
      <w:pPr>
        <w:spacing w:after="0" w:line="19" w:lineRule="exact"/>
        <w:rPr>
          <w:rFonts w:ascii="Times New Roman" w:cs="Times New Roman" w:eastAsia="Times New Roman" w:hAnsi="Times New Roman"/>
          <w:sz w:val="15"/>
          <w:szCs w:val="15"/>
          <w:color w:val="auto"/>
        </w:rPr>
      </w:pPr>
    </w:p>
    <w:p>
      <w:pPr>
        <w:jc w:val="both"/>
        <w:ind w:left="500" w:right="219" w:hanging="297"/>
        <w:spacing w:after="0" w:line="270" w:lineRule="auto"/>
        <w:tabs>
          <w:tab w:leader="none" w:pos="5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Amounts shown in this column represent any performance-based compensation earned by our NEOs pursuant to achievement of performance criteria set by the Board under our Annual Incentive Plan. The material terms of the Annual Incentive Plan compensation paid to our named executive officers with respect to the 2023 fiscal year are described above in the section entitled </w:t>
      </w:r>
      <w:r>
        <w:rPr>
          <w:rFonts w:ascii="Times New Roman" w:cs="Times New Roman" w:eastAsia="Times New Roman" w:hAnsi="Times New Roman"/>
          <w:sz w:val="15"/>
          <w:szCs w:val="15"/>
          <w:i w:val="1"/>
          <w:iCs w:val="1"/>
          <w:color w:val="auto"/>
        </w:rPr>
        <w:t>“Named Executive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Officer Compensation – Annual Incentive Plan</w:t>
      </w:r>
      <w:r>
        <w:rPr>
          <w:rFonts w:ascii="Times New Roman" w:cs="Times New Roman" w:eastAsia="Times New Roman" w:hAnsi="Times New Roman"/>
          <w:sz w:val="15"/>
          <w:szCs w:val="15"/>
          <w:color w:val="auto"/>
        </w:rPr>
        <w:t>.</w:t>
      </w:r>
    </w:p>
    <w:p>
      <w:pPr>
        <w:spacing w:after="0" w:line="21" w:lineRule="exact"/>
        <w:rPr>
          <w:rFonts w:ascii="Times New Roman" w:cs="Times New Roman" w:eastAsia="Times New Roman" w:hAnsi="Times New Roman"/>
          <w:sz w:val="15"/>
          <w:szCs w:val="15"/>
          <w:color w:val="auto"/>
        </w:rPr>
      </w:pPr>
    </w:p>
    <w:p>
      <w:pPr>
        <w:ind w:left="500" w:hanging="297"/>
        <w:spacing w:after="0"/>
        <w:tabs>
          <w:tab w:leader="none" w:pos="5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All Other Compensation</w:t>
      </w:r>
      <w:r>
        <w:rPr>
          <w:rFonts w:ascii="Times New Roman" w:cs="Times New Roman" w:eastAsia="Times New Roman" w:hAnsi="Times New Roman"/>
          <w:sz w:val="15"/>
          <w:szCs w:val="15"/>
          <w:color w:val="auto"/>
        </w:rPr>
        <w:t>” includes the following perquisites and benefits with respect to fiscal 2023:</w:t>
      </w:r>
    </w:p>
    <w:p>
      <w:pPr>
        <w:spacing w:after="0" w:line="216" w:lineRule="exact"/>
        <w:rPr>
          <w:rFonts w:ascii="Times New Roman" w:cs="Times New Roman" w:eastAsia="Times New Roman" w:hAnsi="Times New Roman"/>
          <w:sz w:val="15"/>
          <w:szCs w:val="15"/>
          <w:color w:val="auto"/>
        </w:rPr>
      </w:pPr>
    </w:p>
    <w:p>
      <w:pPr>
        <w:ind w:left="820" w:hanging="292"/>
        <w:spacing w:after="0"/>
        <w:tabs>
          <w:tab w:leader="none" w:pos="820" w:val="left"/>
        </w:tabs>
        <w:numPr>
          <w:ilvl w:val="1"/>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Gas Card Benefits: Messrs./Mme. Hollandsworth, Fils and Roberts received amounts of $4,347, $0 and $2,064, respectively.</w:t>
      </w:r>
    </w:p>
    <w:p>
      <w:pPr>
        <w:spacing w:after="0" w:line="64" w:lineRule="exact"/>
        <w:rPr>
          <w:rFonts w:ascii="Times New Roman" w:cs="Times New Roman" w:eastAsia="Times New Roman" w:hAnsi="Times New Roman"/>
          <w:sz w:val="15"/>
          <w:szCs w:val="15"/>
          <w:color w:val="auto"/>
        </w:rPr>
      </w:pPr>
    </w:p>
    <w:p>
      <w:pPr>
        <w:ind w:left="820" w:right="219" w:hanging="292"/>
        <w:spacing w:after="0" w:line="290" w:lineRule="auto"/>
        <w:tabs>
          <w:tab w:leader="none" w:pos="820" w:val="left"/>
        </w:tabs>
        <w:numPr>
          <w:ilvl w:val="1"/>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401(k) Plan Matching Contribution: Messrs./Mme. Hollandsworth, Fils and Roberts received amounts of $7,670, $12,983, and $10,154, respectively.</w:t>
      </w:r>
    </w:p>
    <w:p>
      <w:pPr>
        <w:spacing w:after="0" w:line="8" w:lineRule="exact"/>
        <w:rPr>
          <w:rFonts w:ascii="Times New Roman" w:cs="Times New Roman" w:eastAsia="Times New Roman" w:hAnsi="Times New Roman"/>
          <w:sz w:val="15"/>
          <w:szCs w:val="15"/>
          <w:color w:val="auto"/>
        </w:rPr>
      </w:pPr>
    </w:p>
    <w:p>
      <w:pPr>
        <w:ind w:left="820" w:hanging="292"/>
        <w:spacing w:after="0"/>
        <w:tabs>
          <w:tab w:leader="none" w:pos="820" w:val="left"/>
        </w:tabs>
        <w:numPr>
          <w:ilvl w:val="1"/>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Auto Allowance: Messrs./Mme. Hollandsworth, Fils and Roberts received amounts of $7,200, $7,200, and $6,425, respectively.</w:t>
      </w:r>
    </w:p>
    <w:p>
      <w:pPr>
        <w:spacing w:after="0" w:line="64" w:lineRule="exact"/>
        <w:rPr>
          <w:rFonts w:ascii="Times New Roman" w:cs="Times New Roman" w:eastAsia="Times New Roman" w:hAnsi="Times New Roman"/>
          <w:sz w:val="15"/>
          <w:szCs w:val="15"/>
          <w:color w:val="auto"/>
        </w:rPr>
      </w:pPr>
    </w:p>
    <w:p>
      <w:pPr>
        <w:ind w:left="820" w:right="219" w:hanging="292"/>
        <w:spacing w:after="0" w:line="290" w:lineRule="auto"/>
        <w:tabs>
          <w:tab w:leader="none" w:pos="820" w:val="left"/>
        </w:tabs>
        <w:numPr>
          <w:ilvl w:val="1"/>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Benefits (including health and welfare benefits): Messrs./Mme. Hollandsworth, Fils and Roberts received amounts of $2,786, $11,286 and $14,642, respectively.</w:t>
      </w:r>
    </w:p>
    <w:p>
      <w:pPr>
        <w:spacing w:after="0" w:line="8" w:lineRule="exact"/>
        <w:rPr>
          <w:rFonts w:ascii="Times New Roman" w:cs="Times New Roman" w:eastAsia="Times New Roman" w:hAnsi="Times New Roman"/>
          <w:sz w:val="15"/>
          <w:szCs w:val="15"/>
          <w:color w:val="auto"/>
        </w:rPr>
      </w:pPr>
    </w:p>
    <w:p>
      <w:pPr>
        <w:jc w:val="both"/>
        <w:ind w:left="820" w:right="219" w:hanging="292"/>
        <w:spacing w:after="0" w:line="261" w:lineRule="auto"/>
        <w:tabs>
          <w:tab w:leader="none" w:pos="82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 xml:space="preserve">Severance: In connection to Mr. Roberts’ termination of employment, ended on November 3, 2023, Mr. Roberts’ is entitled to receive continued payment of his salary of $700,000 for one year, payment of his COBRA premiums through April 30, 2024, and a cash payment of $53,846 as consideration for consulting services rendered following Mr. Roberts’ termination date through December 28, 2023. </w:t>
      </w:r>
      <w:r>
        <w:rPr>
          <w:rFonts w:ascii="Times New Roman" w:cs="Times New Roman" w:eastAsia="Times New Roman" w:hAnsi="Times New Roman"/>
          <w:sz w:val="16"/>
          <w:szCs w:val="16"/>
          <w:color w:val="auto"/>
        </w:rPr>
        <w:t>Outstanding Equity Awards at 2023 Fiscal Year End.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57" w:name="page58"/>
    <w:bookmarkEnd w:id="57"/>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 w:right="219"/>
        <w:spacing w:after="0" w:line="271" w:lineRule="auto"/>
        <w:rPr>
          <w:sz w:val="20"/>
          <w:szCs w:val="20"/>
          <w:color w:val="auto"/>
        </w:rPr>
      </w:pPr>
      <w:r>
        <w:rPr>
          <w:rFonts w:ascii="Times New Roman" w:cs="Times New Roman" w:eastAsia="Times New Roman" w:hAnsi="Times New Roman"/>
          <w:sz w:val="17"/>
          <w:szCs w:val="17"/>
          <w:color w:val="auto"/>
        </w:rPr>
        <w:t xml:space="preserve">The following table sets forth outstanding equity awards as of December 27, 2023. For more information on the equity awards granted in fiscal 2023, see the </w:t>
      </w:r>
      <w:r>
        <w:rPr>
          <w:rFonts w:ascii="Times New Roman" w:cs="Times New Roman" w:eastAsia="Times New Roman" w:hAnsi="Times New Roman"/>
          <w:sz w:val="17"/>
          <w:szCs w:val="17"/>
          <w:i w:val="1"/>
          <w:iCs w:val="1"/>
          <w:color w:val="auto"/>
        </w:rPr>
        <w:t>“Named Executive Officer Compensation – Long-Term Incentive Awards”</w:t>
      </w:r>
      <w:r>
        <w:rPr>
          <w:rFonts w:ascii="Times New Roman" w:cs="Times New Roman" w:eastAsia="Times New Roman" w:hAnsi="Times New Roman"/>
          <w:sz w:val="17"/>
          <w:szCs w:val="17"/>
          <w:color w:val="auto"/>
        </w:rPr>
        <w:t xml:space="preserve"> section above.</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255"/>
        </w:trPr>
        <w:tc>
          <w:tcPr>
            <w:tcW w:w="14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960" w:type="dxa"/>
            <w:vAlign w:val="bottom"/>
            <w:tcBorders>
              <w:top w:val="single" w:sz="8" w:color="auto"/>
              <w:bottom w:val="single" w:sz="8" w:color="auto"/>
            </w:tcBorders>
            <w:gridSpan w:val="4"/>
          </w:tcPr>
          <w:p>
            <w:pPr>
              <w:ind w:left="540"/>
              <w:spacing w:after="0"/>
              <w:rPr>
                <w:sz w:val="20"/>
                <w:szCs w:val="20"/>
                <w:color w:val="auto"/>
              </w:rPr>
            </w:pPr>
            <w:r>
              <w:rPr>
                <w:rFonts w:ascii="Times New Roman" w:cs="Times New Roman" w:eastAsia="Times New Roman" w:hAnsi="Times New Roman"/>
                <w:sz w:val="20"/>
                <w:szCs w:val="20"/>
                <w:b w:val="1"/>
                <w:bCs w:val="1"/>
                <w:color w:val="auto"/>
              </w:rPr>
              <w:t>Option Awards</w:t>
            </w:r>
          </w:p>
        </w:tc>
        <w:tc>
          <w:tcPr>
            <w:tcW w:w="8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80" w:type="dxa"/>
            <w:vAlign w:val="bottom"/>
            <w:tcBorders>
              <w:top w:val="single" w:sz="8" w:color="auto"/>
              <w:bottom w:val="single" w:sz="8" w:color="auto"/>
            </w:tcBorders>
            <w:gridSpan w:val="4"/>
          </w:tcPr>
          <w:p>
            <w:pPr>
              <w:ind w:left="200"/>
              <w:spacing w:after="0"/>
              <w:rPr>
                <w:sz w:val="20"/>
                <w:szCs w:val="20"/>
                <w:color w:val="auto"/>
              </w:rPr>
            </w:pPr>
            <w:r>
              <w:rPr>
                <w:rFonts w:ascii="Times New Roman" w:cs="Times New Roman" w:eastAsia="Times New Roman" w:hAnsi="Times New Roman"/>
                <w:sz w:val="20"/>
                <w:szCs w:val="20"/>
                <w:b w:val="1"/>
                <w:bCs w:val="1"/>
                <w:color w:val="auto"/>
              </w:rPr>
              <w:t>Stock Awards</w:t>
            </w:r>
          </w:p>
        </w:tc>
      </w:tr>
      <w:tr>
        <w:trPr>
          <w:trHeight w:val="732"/>
        </w:trPr>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25"/>
        </w:trPr>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2"/>
                <w:szCs w:val="12"/>
                <w:b w:val="1"/>
                <w:bCs w:val="1"/>
                <w:color w:val="auto"/>
                <w:w w:val="97"/>
              </w:rPr>
              <w:t>Incentive</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3"/>
              </w:rPr>
              <w:t>Number</w:t>
            </w: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25"/>
        </w:trPr>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2"/>
                <w:szCs w:val="12"/>
                <w:b w:val="1"/>
                <w:bCs w:val="1"/>
                <w:color w:val="auto"/>
                <w:w w:val="93"/>
              </w:rPr>
              <w:t>Plan Awards;</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2"/>
                <w:szCs w:val="12"/>
                <w:b w:val="1"/>
                <w:bCs w:val="1"/>
                <w:color w:val="auto"/>
                <w:w w:val="99"/>
              </w:rPr>
              <w:t>of</w:t>
            </w:r>
          </w:p>
        </w:tc>
        <w:tc>
          <w:tcPr>
            <w:tcW w:w="84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8"/>
              </w:rPr>
              <w:t>Market</w:t>
            </w:r>
          </w:p>
        </w:tc>
      </w:tr>
      <w:tr>
        <w:trPr>
          <w:trHeight w:val="125"/>
        </w:trPr>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102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94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84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2"/>
                <w:szCs w:val="12"/>
                <w:b w:val="1"/>
                <w:bCs w:val="1"/>
                <w:color w:val="auto"/>
                <w:w w:val="92"/>
              </w:rPr>
              <w:t>Value of</w:t>
            </w:r>
          </w:p>
        </w:tc>
      </w:tr>
      <w:tr>
        <w:trPr>
          <w:trHeight w:val="125"/>
        </w:trPr>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5"/>
              </w:rPr>
              <w:t>Securities</w:t>
            </w:r>
          </w:p>
        </w:tc>
        <w:tc>
          <w:tcPr>
            <w:tcW w:w="10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5"/>
              </w:rPr>
              <w:t>Securities</w:t>
            </w:r>
          </w:p>
        </w:tc>
        <w:tc>
          <w:tcPr>
            <w:tcW w:w="94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5"/>
              </w:rPr>
              <w:t>Securities</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rPr>
              <w:t>or units</w:t>
            </w:r>
          </w:p>
        </w:tc>
        <w:tc>
          <w:tcPr>
            <w:tcW w:w="84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2"/>
                <w:szCs w:val="12"/>
                <w:b w:val="1"/>
                <w:bCs w:val="1"/>
                <w:color w:val="auto"/>
                <w:w w:val="97"/>
              </w:rPr>
              <w:t>Shares or</w:t>
            </w:r>
          </w:p>
        </w:tc>
      </w:tr>
      <w:tr>
        <w:trPr>
          <w:trHeight w:val="125"/>
        </w:trPr>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10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94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5"/>
              </w:rPr>
              <w:t>of Stock</w:t>
            </w:r>
          </w:p>
        </w:tc>
        <w:tc>
          <w:tcPr>
            <w:tcW w:w="84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2"/>
                <w:szCs w:val="12"/>
                <w:b w:val="1"/>
                <w:bCs w:val="1"/>
                <w:color w:val="auto"/>
                <w:w w:val="99"/>
              </w:rPr>
              <w:t>Units of</w:t>
            </w:r>
          </w:p>
        </w:tc>
      </w:tr>
      <w:tr>
        <w:trPr>
          <w:trHeight w:val="125"/>
        </w:trPr>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5"/>
              </w:rPr>
              <w:t>Unexercised</w:t>
            </w:r>
          </w:p>
        </w:tc>
        <w:tc>
          <w:tcPr>
            <w:tcW w:w="10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5"/>
              </w:rPr>
              <w:t>Unexercised</w:t>
            </w:r>
          </w:p>
        </w:tc>
        <w:tc>
          <w:tcPr>
            <w:tcW w:w="94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5"/>
              </w:rPr>
              <w:t>Unexercised</w:t>
            </w:r>
          </w:p>
        </w:tc>
        <w:tc>
          <w:tcPr>
            <w:tcW w:w="80" w:type="dxa"/>
            <w:vAlign w:val="bottom"/>
          </w:tcPr>
          <w:p>
            <w:pPr>
              <w:spacing w:after="0"/>
              <w:rPr>
                <w:sz w:val="10"/>
                <w:szCs w:val="10"/>
                <w:color w:val="auto"/>
              </w:rPr>
            </w:pPr>
          </w:p>
        </w:tc>
        <w:tc>
          <w:tcPr>
            <w:tcW w:w="6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7"/>
              </w:rPr>
              <w:t>That</w:t>
            </w:r>
          </w:p>
        </w:tc>
        <w:tc>
          <w:tcPr>
            <w:tcW w:w="84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5"/>
              </w:rPr>
              <w:t>Stock That</w:t>
            </w:r>
          </w:p>
        </w:tc>
      </w:tr>
      <w:tr>
        <w:trPr>
          <w:trHeight w:val="125"/>
        </w:trPr>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10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94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2"/>
                <w:szCs w:val="12"/>
                <w:b w:val="1"/>
                <w:bCs w:val="1"/>
                <w:color w:val="auto"/>
                <w:w w:val="98"/>
              </w:rPr>
              <w:t>Unearned</w:t>
            </w:r>
          </w:p>
        </w:tc>
        <w:tc>
          <w:tcPr>
            <w:tcW w:w="680" w:type="dxa"/>
            <w:vAlign w:val="bottom"/>
            <w:gridSpan w:val="3"/>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6"/>
              </w:rPr>
              <w:t>Exercise</w:t>
            </w:r>
          </w:p>
        </w:tc>
        <w:tc>
          <w:tcPr>
            <w:tcW w:w="8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74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2"/>
                <w:szCs w:val="12"/>
                <w:b w:val="1"/>
                <w:bCs w:val="1"/>
                <w:color w:val="auto"/>
                <w:w w:val="97"/>
              </w:rPr>
              <w:t>Have</w:t>
            </w:r>
          </w:p>
        </w:tc>
        <w:tc>
          <w:tcPr>
            <w:tcW w:w="84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2"/>
                <w:szCs w:val="12"/>
                <w:b w:val="1"/>
                <w:bCs w:val="1"/>
                <w:color w:val="auto"/>
                <w:w w:val="99"/>
              </w:rPr>
              <w:t>Have Not</w:t>
            </w:r>
          </w:p>
        </w:tc>
      </w:tr>
      <w:tr>
        <w:trPr>
          <w:trHeight w:val="125"/>
        </w:trPr>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2"/>
                <w:szCs w:val="12"/>
                <w:b w:val="1"/>
                <w:bCs w:val="1"/>
                <w:color w:val="auto"/>
                <w:w w:val="97"/>
              </w:rPr>
              <w:t>Exercisable</w:t>
            </w:r>
          </w:p>
        </w:tc>
        <w:tc>
          <w:tcPr>
            <w:tcW w:w="102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2"/>
                <w:szCs w:val="12"/>
                <w:b w:val="1"/>
                <w:bCs w:val="1"/>
                <w:color w:val="auto"/>
                <w:w w:val="97"/>
              </w:rPr>
              <w:t>Unexercisable</w:t>
            </w:r>
          </w:p>
        </w:tc>
        <w:tc>
          <w:tcPr>
            <w:tcW w:w="94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8"/>
              </w:rPr>
              <w:t>Options</w:t>
            </w:r>
          </w:p>
        </w:tc>
        <w:tc>
          <w:tcPr>
            <w:tcW w:w="80" w:type="dxa"/>
            <w:vAlign w:val="bottom"/>
          </w:tcPr>
          <w:p>
            <w:pPr>
              <w:spacing w:after="0"/>
              <w:rPr>
                <w:sz w:val="10"/>
                <w:szCs w:val="10"/>
                <w:color w:val="auto"/>
              </w:rPr>
            </w:pPr>
          </w:p>
        </w:tc>
        <w:tc>
          <w:tcPr>
            <w:tcW w:w="6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2"/>
                <w:szCs w:val="12"/>
                <w:b w:val="1"/>
                <w:bCs w:val="1"/>
                <w:color w:val="auto"/>
                <w:w w:val="97"/>
              </w:rPr>
              <w:t>Price</w:t>
            </w:r>
          </w:p>
        </w:tc>
        <w:tc>
          <w:tcPr>
            <w:tcW w:w="82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2"/>
                <w:szCs w:val="12"/>
                <w:b w:val="1"/>
                <w:bCs w:val="1"/>
                <w:color w:val="auto"/>
                <w:w w:val="97"/>
              </w:rPr>
              <w:t>Expiration</w:t>
            </w:r>
          </w:p>
        </w:tc>
        <w:tc>
          <w:tcPr>
            <w:tcW w:w="74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2"/>
                <w:szCs w:val="12"/>
                <w:b w:val="1"/>
                <w:bCs w:val="1"/>
                <w:color w:val="auto"/>
                <w:w w:val="96"/>
              </w:rPr>
              <w:t>Not</w:t>
            </w:r>
          </w:p>
        </w:tc>
        <w:tc>
          <w:tcPr>
            <w:tcW w:w="84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2"/>
                <w:szCs w:val="12"/>
                <w:b w:val="1"/>
                <w:bCs w:val="1"/>
                <w:color w:val="auto"/>
                <w:w w:val="92"/>
              </w:rPr>
              <w:t>Vested</w:t>
            </w:r>
          </w:p>
        </w:tc>
      </w:tr>
      <w:tr>
        <w:trPr>
          <w:trHeight w:val="143"/>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Grant Date</w:t>
            </w:r>
          </w:p>
        </w:tc>
        <w:tc>
          <w:tcPr>
            <w:tcW w:w="1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(2)</w:t>
            </w:r>
          </w:p>
        </w:tc>
        <w:tc>
          <w:tcPr>
            <w:tcW w:w="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2"/>
              </w:rPr>
              <w:t>($)(5)</w:t>
            </w:r>
          </w:p>
        </w:tc>
        <w:tc>
          <w:tcPr>
            <w:tcW w:w="1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Vested</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($)(3)(4)</w:t>
            </w:r>
          </w:p>
        </w:tc>
        <w:tc>
          <w:tcPr>
            <w:tcW w:w="180" w:type="dxa"/>
            <w:vAlign w:val="bottom"/>
            <w:tcBorders>
              <w:bottom w:val="single" w:sz="8" w:color="CCEEFF"/>
            </w:tcBorders>
          </w:tcPr>
          <w:p>
            <w:pPr>
              <w:spacing w:after="0"/>
              <w:rPr>
                <w:sz w:val="12"/>
                <w:szCs w:val="12"/>
                <w:color w:val="auto"/>
              </w:rPr>
            </w:pPr>
          </w:p>
        </w:tc>
      </w:tr>
      <w:tr>
        <w:trPr>
          <w:trHeight w:val="160"/>
        </w:trPr>
        <w:tc>
          <w:tcPr>
            <w:tcW w:w="1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Maria Hollandsworth</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3"/>
              </w:rPr>
              <w:t>5/9/2023</w:t>
            </w:r>
          </w:p>
        </w:tc>
        <w:tc>
          <w:tcPr>
            <w:tcW w:w="1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28,802</w:t>
            </w: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9.06</w:t>
            </w:r>
          </w:p>
        </w:tc>
        <w:tc>
          <w:tcPr>
            <w:tcW w:w="1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5/9/2033</w:t>
            </w:r>
          </w:p>
        </w:tc>
        <w:tc>
          <w:tcPr>
            <w:tcW w:w="1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13,797</w:t>
            </w: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124,863</w:t>
            </w:r>
          </w:p>
        </w:tc>
        <w:tc>
          <w:tcPr>
            <w:tcW w:w="180" w:type="dxa"/>
            <w:vAlign w:val="bottom"/>
            <w:tcBorders>
              <w:bottom w:val="single" w:sz="8" w:color="CCEEFF"/>
            </w:tcBorders>
            <w:shd w:val="clear" w:color="auto" w:fill="CCEEFF"/>
          </w:tcPr>
          <w:p>
            <w:pPr>
              <w:spacing w:after="0"/>
              <w:rPr>
                <w:sz w:val="13"/>
                <w:szCs w:val="13"/>
                <w:color w:val="auto"/>
              </w:rPr>
            </w:pPr>
          </w:p>
        </w:tc>
      </w:tr>
      <w:tr>
        <w:trPr>
          <w:trHeight w:val="171"/>
        </w:trPr>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11/7/2023</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23,641</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213,951</w:t>
            </w:r>
          </w:p>
        </w:tc>
        <w:tc>
          <w:tcPr>
            <w:tcW w:w="180" w:type="dxa"/>
            <w:vAlign w:val="bottom"/>
          </w:tcPr>
          <w:p>
            <w:pPr>
              <w:spacing w:after="0"/>
              <w:rPr>
                <w:sz w:val="14"/>
                <w:szCs w:val="14"/>
                <w:color w:val="auto"/>
              </w:rPr>
            </w:pPr>
          </w:p>
        </w:tc>
      </w:tr>
      <w:tr>
        <w:trPr>
          <w:trHeight w:val="28"/>
        </w:trPr>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80"/>
        </w:trPr>
        <w:tc>
          <w:tcPr>
            <w:tcW w:w="1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Ira Fils</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8/23/2022</w:t>
            </w: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40,107</w:t>
            </w: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362,968</w:t>
            </w:r>
          </w:p>
        </w:tc>
        <w:tc>
          <w:tcPr>
            <w:tcW w:w="180" w:type="dxa"/>
            <w:vAlign w:val="bottom"/>
            <w:tcBorders>
              <w:bottom w:val="single" w:sz="8" w:color="CCEEFF"/>
            </w:tcBorders>
            <w:shd w:val="clear" w:color="auto" w:fill="CCEEFF"/>
          </w:tcPr>
          <w:p>
            <w:pPr>
              <w:spacing w:after="0"/>
              <w:rPr>
                <w:sz w:val="15"/>
                <w:szCs w:val="15"/>
                <w:color w:val="auto"/>
              </w:rPr>
            </w:pPr>
          </w:p>
        </w:tc>
      </w:tr>
      <w:tr>
        <w:trPr>
          <w:trHeight w:val="171"/>
        </w:trPr>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5/9/2023</w:t>
            </w:r>
          </w:p>
        </w:tc>
        <w:tc>
          <w:tcPr>
            <w:tcW w:w="1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57,604</w:t>
            </w:r>
          </w:p>
        </w:tc>
        <w:tc>
          <w:tcPr>
            <w:tcW w:w="180" w:type="dxa"/>
            <w:vAlign w:val="bottom"/>
          </w:tcPr>
          <w:p>
            <w:pPr>
              <w:spacing w:after="0"/>
              <w:rPr>
                <w:sz w:val="14"/>
                <w:szCs w:val="14"/>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9.06</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5/9/2033</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27,594</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249,726</w:t>
            </w:r>
          </w:p>
        </w:tc>
        <w:tc>
          <w:tcPr>
            <w:tcW w:w="180" w:type="dxa"/>
            <w:vAlign w:val="bottom"/>
          </w:tcPr>
          <w:p>
            <w:pPr>
              <w:spacing w:after="0"/>
              <w:rPr>
                <w:sz w:val="14"/>
                <w:szCs w:val="14"/>
                <w:color w:val="auto"/>
              </w:rPr>
            </w:pPr>
          </w:p>
        </w:tc>
      </w:tr>
      <w:tr>
        <w:trPr>
          <w:trHeight w:val="28"/>
        </w:trPr>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80"/>
        </w:trPr>
        <w:tc>
          <w:tcPr>
            <w:tcW w:w="14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11/7/2023</w:t>
            </w: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37,272</w:t>
            </w: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8.46</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11/7/2033</w:t>
            </w:r>
          </w:p>
        </w:tc>
        <w:tc>
          <w:tcPr>
            <w:tcW w:w="1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18,322</w:t>
            </w: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165,814</w:t>
            </w:r>
          </w:p>
        </w:tc>
        <w:tc>
          <w:tcPr>
            <w:tcW w:w="180" w:type="dxa"/>
            <w:vAlign w:val="bottom"/>
            <w:tcBorders>
              <w:bottom w:val="single" w:sz="8" w:color="CCEEFF"/>
            </w:tcBorders>
            <w:shd w:val="clear" w:color="auto" w:fill="CCEEFF"/>
          </w:tcPr>
          <w:p>
            <w:pPr>
              <w:spacing w:after="0"/>
              <w:rPr>
                <w:sz w:val="15"/>
                <w:szCs w:val="15"/>
                <w:color w:val="auto"/>
              </w:rPr>
            </w:pPr>
          </w:p>
        </w:tc>
      </w:tr>
      <w:tr>
        <w:trPr>
          <w:trHeight w:val="171"/>
        </w:trPr>
        <w:tc>
          <w:tcPr>
            <w:tcW w:w="1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Laurance Roberts</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5/10/2017</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29,484</w:t>
            </w:r>
          </w:p>
        </w:tc>
        <w:tc>
          <w:tcPr>
            <w:tcW w:w="16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12.45</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11/3/2026</w:t>
            </w:r>
          </w:p>
        </w:tc>
        <w:tc>
          <w:tcPr>
            <w:tcW w:w="1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80"/>
        </w:trPr>
        <w:tc>
          <w:tcPr>
            <w:tcW w:w="14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3"/>
              </w:rPr>
              <w:t>8/8/2018</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39,684</w:t>
            </w: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9.85</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11/3/2026</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5/8/2019</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42,736</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9.97</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11/3/2026</w:t>
            </w:r>
          </w:p>
        </w:tc>
        <w:tc>
          <w:tcPr>
            <w:tcW w:w="1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80"/>
        </w:trPr>
        <w:tc>
          <w:tcPr>
            <w:tcW w:w="14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5/12/2021</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15,432</w:t>
            </w: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16.05</w:t>
            </w: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11/3/2026</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5/10/2022</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25,510</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9.04</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11/3/2026</w:t>
            </w:r>
          </w:p>
        </w:tc>
        <w:tc>
          <w:tcPr>
            <w:tcW w:w="1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r>
    </w:tbl>
    <w:p>
      <w:pPr>
        <w:spacing w:after="0" w:line="129" w:lineRule="exact"/>
        <w:rPr>
          <w:sz w:val="20"/>
          <w:szCs w:val="20"/>
          <w:color w:val="auto"/>
        </w:rPr>
      </w:pPr>
    </w:p>
    <w:p>
      <w:pPr>
        <w:jc w:val="both"/>
        <w:ind w:left="500" w:right="219" w:hanging="297"/>
        <w:spacing w:after="0" w:line="275" w:lineRule="auto"/>
        <w:tabs>
          <w:tab w:leader="none" w:pos="5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Roberts’ remaining unvested restricted shares were forfeited in connection with his resignation of employment, effective November 3, 2023. Mr. Roberts’ vested options remain exercisable until November 3, 2026 pursuant to the terms of his separation, release and consulting agreement, which is generally an early expiration date than the normal expiration date reported above.</w:t>
      </w:r>
    </w:p>
    <w:p>
      <w:pPr>
        <w:spacing w:after="0" w:line="19" w:lineRule="exact"/>
        <w:rPr>
          <w:rFonts w:ascii="Times New Roman" w:cs="Times New Roman" w:eastAsia="Times New Roman" w:hAnsi="Times New Roman"/>
          <w:sz w:val="15"/>
          <w:szCs w:val="15"/>
          <w:color w:val="auto"/>
        </w:rPr>
      </w:pPr>
    </w:p>
    <w:p>
      <w:pPr>
        <w:jc w:val="both"/>
        <w:ind w:left="500" w:right="219" w:hanging="297"/>
        <w:spacing w:after="0" w:line="270" w:lineRule="auto"/>
        <w:tabs>
          <w:tab w:leader="none" w:pos="5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options, with exception of a one-time retention award grants, vest 25% per year starting with the first anniversary of grant. As a result, Ms. Hollandsworth and Mr. Fils’ unexercisable options granted on May 9, 2023 at an exercise price of $9.06 are scheduled to vest ratably on May 9, 2024, 2025, 2026 and 2027. The unvested portion of Mr. Fils’ unexercisable options granted on November 7, 2023 as part of the Retention Award Agreement at an exercise price of $8.46. are scheduled to vest on November 7, 2024.</w:t>
      </w:r>
    </w:p>
    <w:p>
      <w:pPr>
        <w:spacing w:after="0" w:line="23" w:lineRule="exact"/>
        <w:rPr>
          <w:rFonts w:ascii="Times New Roman" w:cs="Times New Roman" w:eastAsia="Times New Roman" w:hAnsi="Times New Roman"/>
          <w:sz w:val="15"/>
          <w:szCs w:val="15"/>
          <w:color w:val="auto"/>
        </w:rPr>
      </w:pPr>
    </w:p>
    <w:p>
      <w:pPr>
        <w:jc w:val="both"/>
        <w:ind w:left="500" w:right="219" w:hanging="297"/>
        <w:spacing w:after="0" w:line="270" w:lineRule="auto"/>
        <w:tabs>
          <w:tab w:leader="none" w:pos="537"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restricted shares, with exception of a one-time retention award grants, vest 25% per year starting with the first anniversary of grant. Ms. Hollandsworth and Mr. Fils’ unvested restricted shares granted on November 7, 2023 will c</w:t>
      </w:r>
      <w:r>
        <w:rPr>
          <w:rFonts w:ascii="Times New Roman" w:cs="Times New Roman" w:eastAsia="Times New Roman" w:hAnsi="Times New Roman"/>
          <w:sz w:val="16"/>
          <w:szCs w:val="16"/>
          <w:color w:val="auto"/>
        </w:rPr>
        <w:t>liff-vest on the one-year anniversary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 xml:space="preserve">of; (a) the </w:t>
      </w:r>
      <w:r>
        <w:rPr>
          <w:rFonts w:ascii="Times New Roman" w:cs="Times New Roman" w:eastAsia="Times New Roman" w:hAnsi="Times New Roman"/>
          <w:sz w:val="14"/>
          <w:szCs w:val="14"/>
          <w:color w:val="auto"/>
        </w:rPr>
        <w:t>effective date of her employment agreement, in the case of Ms. Hollandsworth and (b) the date of grant, in the case of Mr.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Fils.</w:t>
      </w:r>
    </w:p>
    <w:p>
      <w:pPr>
        <w:spacing w:after="0" w:line="216" w:lineRule="exact"/>
        <w:rPr>
          <w:rFonts w:ascii="Times New Roman" w:cs="Times New Roman" w:eastAsia="Times New Roman" w:hAnsi="Times New Roman"/>
          <w:sz w:val="15"/>
          <w:szCs w:val="15"/>
          <w:color w:val="auto"/>
        </w:rPr>
      </w:pPr>
    </w:p>
    <w:p>
      <w:pPr>
        <w:ind w:left="500" w:right="219" w:hanging="297"/>
        <w:spacing w:after="0" w:line="290" w:lineRule="auto"/>
        <w:tabs>
          <w:tab w:leader="none" w:pos="5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shown in this column are determined by multiplying the number of unvested shares or units reported in the preceding column by $9.05 (the closing price of the Company’s common stock on December 27, 2023, the last trading day of fiscal 2023).</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58" w:name="page59"/>
    <w:bookmarkEnd w:id="58"/>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Grants of Plan-based Awards Table</w:t>
      </w:r>
    </w:p>
    <w:p>
      <w:pPr>
        <w:spacing w:after="0" w:line="108" w:lineRule="exact"/>
        <w:rPr>
          <w:sz w:val="20"/>
          <w:szCs w:val="20"/>
          <w:color w:val="auto"/>
        </w:rPr>
      </w:pPr>
    </w:p>
    <w:p>
      <w:pPr>
        <w:ind w:left="200" w:right="219"/>
        <w:spacing w:after="0" w:line="271" w:lineRule="auto"/>
        <w:rPr>
          <w:sz w:val="20"/>
          <w:szCs w:val="20"/>
          <w:color w:val="auto"/>
        </w:rPr>
      </w:pPr>
      <w:r>
        <w:rPr>
          <w:rFonts w:ascii="Times New Roman" w:cs="Times New Roman" w:eastAsia="Times New Roman" w:hAnsi="Times New Roman"/>
          <w:sz w:val="17"/>
          <w:szCs w:val="17"/>
          <w:color w:val="auto"/>
        </w:rPr>
        <w:t>The following table summarizes information regarding grants of plan-based awards for the NEOs during the fiscal year ended December 27, 2023.</w:t>
      </w:r>
    </w:p>
    <w:p>
      <w:pPr>
        <w:spacing w:after="0" w:line="67" w:lineRule="exact"/>
        <w:rPr>
          <w:sz w:val="20"/>
          <w:szCs w:val="20"/>
          <w:color w:val="auto"/>
        </w:rPr>
      </w:pPr>
    </w:p>
    <w:tbl>
      <w:tblPr>
        <w:tblLayout w:type="fixed"/>
        <w:tblInd w:w="200" w:type="dxa"/>
        <w:tblCellMar>
          <w:top w:w="0" w:type="dxa"/>
          <w:left w:w="0" w:type="dxa"/>
          <w:bottom w:w="0" w:type="dxa"/>
          <w:right w:w="0" w:type="dxa"/>
        </w:tblCellMar>
      </w:tblPr>
      <w:tr>
        <w:trPr>
          <w:trHeight w:val="120"/>
        </w:trPr>
        <w:tc>
          <w:tcPr>
            <w:tcW w:w="1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180" w:type="dxa"/>
            <w:vAlign w:val="bottom"/>
            <w:tcBorders>
              <w:top w:val="single" w:sz="8" w:color="auto"/>
            </w:tcBorders>
            <w:gridSpan w:val="8"/>
          </w:tcPr>
          <w:p>
            <w:pPr>
              <w:ind w:left="60"/>
              <w:spacing w:after="0" w:line="120" w:lineRule="exact"/>
              <w:rPr>
                <w:sz w:val="20"/>
                <w:szCs w:val="20"/>
                <w:color w:val="auto"/>
              </w:rPr>
            </w:pPr>
            <w:r>
              <w:rPr>
                <w:rFonts w:ascii="Times New Roman" w:cs="Times New Roman" w:eastAsia="Times New Roman" w:hAnsi="Times New Roman"/>
                <w:sz w:val="12"/>
                <w:szCs w:val="12"/>
                <w:b w:val="1"/>
                <w:bCs w:val="1"/>
                <w:color w:val="auto"/>
              </w:rPr>
              <w:t>Estimated future payouts under non-</w:t>
            </w:r>
          </w:p>
        </w:tc>
        <w:tc>
          <w:tcPr>
            <w:tcW w:w="880" w:type="dxa"/>
            <w:vAlign w:val="bottom"/>
            <w:tcBorders>
              <w:top w:val="single" w:sz="8" w:color="auto"/>
            </w:tcBorders>
            <w:gridSpan w:val="2"/>
          </w:tcPr>
          <w:p>
            <w:pPr>
              <w:jc w:val="center"/>
              <w:ind w:right="120"/>
              <w:spacing w:after="0" w:line="120" w:lineRule="exact"/>
              <w:rPr>
                <w:sz w:val="20"/>
                <w:szCs w:val="20"/>
                <w:color w:val="auto"/>
              </w:rPr>
            </w:pPr>
            <w:r>
              <w:rPr>
                <w:rFonts w:ascii="Times New Roman" w:cs="Times New Roman" w:eastAsia="Times New Roman" w:hAnsi="Times New Roman"/>
                <w:sz w:val="12"/>
                <w:szCs w:val="12"/>
                <w:b w:val="1"/>
                <w:bCs w:val="1"/>
                <w:color w:val="auto"/>
                <w:w w:val="96"/>
              </w:rPr>
              <w:t>All other</w:t>
            </w:r>
          </w:p>
        </w:tc>
        <w:tc>
          <w:tcPr>
            <w:tcW w:w="9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r>
      <w:tr>
        <w:trPr>
          <w:trHeight w:val="135"/>
        </w:trPr>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gridSpan w:val="8"/>
          </w:tcPr>
          <w:p>
            <w:pPr>
              <w:ind w:left="180"/>
              <w:spacing w:after="0" w:line="125" w:lineRule="exact"/>
              <w:rPr>
                <w:sz w:val="20"/>
                <w:szCs w:val="20"/>
                <w:color w:val="auto"/>
              </w:rPr>
            </w:pPr>
            <w:r>
              <w:rPr>
                <w:rFonts w:ascii="Times New Roman" w:cs="Times New Roman" w:eastAsia="Times New Roman" w:hAnsi="Times New Roman"/>
                <w:sz w:val="12"/>
                <w:szCs w:val="12"/>
                <w:b w:val="1"/>
                <w:bCs w:val="1"/>
                <w:color w:val="auto"/>
              </w:rPr>
              <w:t>equity incentive plan awards (1)</w:t>
            </w:r>
          </w:p>
        </w:tc>
        <w:tc>
          <w:tcPr>
            <w:tcW w:w="88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2"/>
                <w:szCs w:val="12"/>
                <w:b w:val="1"/>
                <w:bCs w:val="1"/>
                <w:color w:val="auto"/>
                <w:w w:val="95"/>
              </w:rPr>
              <w:t>stock awards:</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2"/>
              <w:spacing w:after="0" w:line="125" w:lineRule="exact"/>
              <w:rPr>
                <w:sz w:val="20"/>
                <w:szCs w:val="20"/>
                <w:color w:val="auto"/>
              </w:rPr>
            </w:pPr>
            <w:r>
              <w:rPr>
                <w:rFonts w:ascii="Times New Roman" w:cs="Times New Roman" w:eastAsia="Times New Roman" w:hAnsi="Times New Roman"/>
                <w:sz w:val="12"/>
                <w:szCs w:val="12"/>
                <w:b w:val="1"/>
                <w:bCs w:val="1"/>
                <w:color w:val="auto"/>
                <w:w w:val="99"/>
              </w:rPr>
              <w:t>Grant date</w:t>
            </w:r>
          </w:p>
        </w:tc>
      </w:tr>
      <w:tr>
        <w:trPr>
          <w:trHeight w:val="107"/>
        </w:trPr>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140"/>
              <w:spacing w:after="0" w:line="107"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96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w w:val="98"/>
              </w:rPr>
              <w:t>All other option</w:t>
            </w:r>
          </w:p>
        </w:tc>
        <w:tc>
          <w:tcPr>
            <w:tcW w:w="120" w:type="dxa"/>
            <w:vAlign w:val="bottom"/>
          </w:tcPr>
          <w:p>
            <w:pPr>
              <w:spacing w:after="0"/>
              <w:rPr>
                <w:sz w:val="9"/>
                <w:szCs w:val="9"/>
                <w:color w:val="auto"/>
              </w:rPr>
            </w:pPr>
          </w:p>
        </w:tc>
        <w:tc>
          <w:tcPr>
            <w:tcW w:w="620" w:type="dxa"/>
            <w:vAlign w:val="bottom"/>
            <w:gridSpan w:val="2"/>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w w:val="97"/>
              </w:rPr>
              <w:t>Exercise or</w:t>
            </w:r>
          </w:p>
        </w:tc>
        <w:tc>
          <w:tcPr>
            <w:tcW w:w="120" w:type="dxa"/>
            <w:vAlign w:val="bottom"/>
          </w:tcPr>
          <w:p>
            <w:pPr>
              <w:spacing w:after="0"/>
              <w:rPr>
                <w:sz w:val="9"/>
                <w:szCs w:val="9"/>
                <w:color w:val="auto"/>
              </w:rPr>
            </w:pPr>
          </w:p>
        </w:tc>
        <w:tc>
          <w:tcPr>
            <w:tcW w:w="680" w:type="dxa"/>
            <w:vAlign w:val="bottom"/>
            <w:gridSpan w:val="2"/>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w w:val="96"/>
              </w:rPr>
              <w:t>fair value of</w:t>
            </w:r>
          </w:p>
        </w:tc>
      </w:tr>
      <w:tr>
        <w:trPr>
          <w:trHeight w:val="125"/>
        </w:trPr>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2"/>
                <w:szCs w:val="12"/>
                <w:b w:val="1"/>
                <w:bCs w:val="1"/>
                <w:color w:val="auto"/>
                <w:w w:val="96"/>
              </w:rPr>
              <w:t>shares of</w:t>
            </w:r>
          </w:p>
        </w:tc>
        <w:tc>
          <w:tcPr>
            <w:tcW w:w="9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6"/>
              </w:rPr>
              <w:t>awards: Number</w:t>
            </w:r>
          </w:p>
        </w:tc>
        <w:tc>
          <w:tcPr>
            <w:tcW w:w="120" w:type="dxa"/>
            <w:vAlign w:val="bottom"/>
          </w:tcPr>
          <w:p>
            <w:pPr>
              <w:spacing w:after="0"/>
              <w:rPr>
                <w:sz w:val="10"/>
                <w:szCs w:val="10"/>
                <w:color w:val="auto"/>
              </w:rPr>
            </w:pPr>
          </w:p>
        </w:tc>
        <w:tc>
          <w:tcPr>
            <w:tcW w:w="6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6"/>
              </w:rPr>
              <w:t>base price</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2"/>
              <w:spacing w:after="0" w:line="125" w:lineRule="exact"/>
              <w:rPr>
                <w:sz w:val="20"/>
                <w:szCs w:val="20"/>
                <w:color w:val="auto"/>
              </w:rPr>
            </w:pPr>
            <w:r>
              <w:rPr>
                <w:rFonts w:ascii="Times New Roman" w:cs="Times New Roman" w:eastAsia="Times New Roman" w:hAnsi="Times New Roman"/>
                <w:sz w:val="12"/>
                <w:szCs w:val="12"/>
                <w:b w:val="1"/>
                <w:bCs w:val="1"/>
                <w:color w:val="auto"/>
                <w:w w:val="97"/>
              </w:rPr>
              <w:t>stock and</w:t>
            </w:r>
          </w:p>
        </w:tc>
      </w:tr>
      <w:tr>
        <w:trPr>
          <w:trHeight w:val="125"/>
        </w:trPr>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2"/>
                <w:szCs w:val="12"/>
                <w:b w:val="1"/>
                <w:bCs w:val="1"/>
                <w:color w:val="auto"/>
                <w:w w:val="97"/>
              </w:rPr>
              <w:t>stock or</w:t>
            </w:r>
          </w:p>
        </w:tc>
        <w:tc>
          <w:tcPr>
            <w:tcW w:w="9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8"/>
              </w:rPr>
              <w:t>of securities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22"/>
              <w:spacing w:after="0" w:line="125" w:lineRule="exact"/>
              <w:rPr>
                <w:sz w:val="20"/>
                <w:szCs w:val="20"/>
                <w:color w:val="auto"/>
              </w:rPr>
            </w:pPr>
            <w:r>
              <w:rPr>
                <w:rFonts w:ascii="Times New Roman" w:cs="Times New Roman" w:eastAsia="Times New Roman" w:hAnsi="Times New Roman"/>
                <w:sz w:val="12"/>
                <w:szCs w:val="12"/>
                <w:b w:val="1"/>
                <w:bCs w:val="1"/>
                <w:color w:val="auto"/>
                <w:w w:val="96"/>
              </w:rPr>
              <w:t>of option</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2"/>
              <w:spacing w:after="0" w:line="125" w:lineRule="exact"/>
              <w:rPr>
                <w:sz w:val="20"/>
                <w:szCs w:val="20"/>
                <w:color w:val="auto"/>
              </w:rPr>
            </w:pPr>
            <w:r>
              <w:rPr>
                <w:rFonts w:ascii="Times New Roman" w:cs="Times New Roman" w:eastAsia="Times New Roman" w:hAnsi="Times New Roman"/>
                <w:sz w:val="12"/>
                <w:szCs w:val="12"/>
                <w:b w:val="1"/>
                <w:bCs w:val="1"/>
                <w:color w:val="auto"/>
                <w:w w:val="97"/>
              </w:rPr>
              <w:t>option</w:t>
            </w:r>
          </w:p>
        </w:tc>
      </w:tr>
      <w:tr>
        <w:trPr>
          <w:trHeight w:val="125"/>
        </w:trPr>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center"/>
              <w:ind w:right="140"/>
              <w:spacing w:after="0" w:line="125" w:lineRule="exact"/>
              <w:rPr>
                <w:sz w:val="20"/>
                <w:szCs w:val="20"/>
                <w:color w:val="auto"/>
              </w:rPr>
            </w:pPr>
            <w:r>
              <w:rPr>
                <w:rFonts w:ascii="Times New Roman" w:cs="Times New Roman" w:eastAsia="Times New Roman" w:hAnsi="Times New Roman"/>
                <w:sz w:val="12"/>
                <w:szCs w:val="12"/>
                <w:b w:val="1"/>
                <w:bCs w:val="1"/>
                <w:color w:val="auto"/>
                <w:w w:val="95"/>
              </w:rPr>
              <w:t>Grant</w:t>
            </w:r>
          </w:p>
        </w:tc>
        <w:tc>
          <w:tcPr>
            <w:tcW w:w="7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6"/>
              </w:rPr>
              <w:t>Award</w:t>
            </w:r>
          </w:p>
        </w:tc>
        <w:tc>
          <w:tcPr>
            <w:tcW w:w="120" w:type="dxa"/>
            <w:vAlign w:val="bottom"/>
          </w:tcPr>
          <w:p>
            <w:pPr>
              <w:spacing w:after="0"/>
              <w:rPr>
                <w:sz w:val="10"/>
                <w:szCs w:val="10"/>
                <w:color w:val="auto"/>
              </w:rPr>
            </w:pPr>
          </w:p>
        </w:tc>
        <w:tc>
          <w:tcPr>
            <w:tcW w:w="62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b w:val="1"/>
                <w:bCs w:val="1"/>
                <w:color w:val="auto"/>
              </w:rPr>
              <w:t>Threshold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82"/>
              <w:spacing w:after="0" w:line="125" w:lineRule="exact"/>
              <w:rPr>
                <w:sz w:val="20"/>
                <w:szCs w:val="20"/>
                <w:color w:val="auto"/>
              </w:rPr>
            </w:pPr>
            <w:r>
              <w:rPr>
                <w:rFonts w:ascii="Times New Roman" w:cs="Times New Roman" w:eastAsia="Times New Roman" w:hAnsi="Times New Roman"/>
                <w:sz w:val="12"/>
                <w:szCs w:val="12"/>
                <w:b w:val="1"/>
                <w:bCs w:val="1"/>
                <w:color w:val="auto"/>
                <w:w w:val="97"/>
              </w:rPr>
              <w:t>Target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2"/>
                <w:szCs w:val="12"/>
                <w:b w:val="1"/>
                <w:bCs w:val="1"/>
                <w:color w:val="auto"/>
              </w:rPr>
              <w:t>Maximum</w:t>
            </w:r>
          </w:p>
        </w:tc>
        <w:tc>
          <w:tcPr>
            <w:tcW w:w="880" w:type="dxa"/>
            <w:vAlign w:val="bottom"/>
            <w:gridSpan w:val="2"/>
          </w:tcPr>
          <w:p>
            <w:pPr>
              <w:jc w:val="center"/>
              <w:ind w:right="120"/>
              <w:spacing w:after="0" w:line="125" w:lineRule="exact"/>
              <w:rPr>
                <w:sz w:val="20"/>
                <w:szCs w:val="20"/>
                <w:color w:val="auto"/>
              </w:rPr>
            </w:pPr>
            <w:r>
              <w:rPr>
                <w:rFonts w:ascii="Times New Roman" w:cs="Times New Roman" w:eastAsia="Times New Roman" w:hAnsi="Times New Roman"/>
                <w:sz w:val="12"/>
                <w:szCs w:val="12"/>
                <w:b w:val="1"/>
                <w:bCs w:val="1"/>
                <w:color w:val="auto"/>
                <w:w w:val="94"/>
              </w:rPr>
              <w:t>units</w:t>
            </w:r>
          </w:p>
        </w:tc>
        <w:tc>
          <w:tcPr>
            <w:tcW w:w="9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6"/>
              </w:rPr>
              <w:t>underlying</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22"/>
              <w:spacing w:after="0" w:line="125" w:lineRule="exact"/>
              <w:rPr>
                <w:sz w:val="20"/>
                <w:szCs w:val="20"/>
                <w:color w:val="auto"/>
              </w:rPr>
            </w:pPr>
            <w:r>
              <w:rPr>
                <w:rFonts w:ascii="Times New Roman" w:cs="Times New Roman" w:eastAsia="Times New Roman" w:hAnsi="Times New Roman"/>
                <w:sz w:val="12"/>
                <w:szCs w:val="12"/>
                <w:b w:val="1"/>
                <w:bCs w:val="1"/>
                <w:color w:val="auto"/>
                <w:w w:val="96"/>
              </w:rPr>
              <w:t>awards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2"/>
              <w:spacing w:after="0" w:line="125" w:lineRule="exact"/>
              <w:rPr>
                <w:sz w:val="20"/>
                <w:szCs w:val="20"/>
                <w:color w:val="auto"/>
              </w:rPr>
            </w:pPr>
            <w:r>
              <w:rPr>
                <w:rFonts w:ascii="Times New Roman" w:cs="Times New Roman" w:eastAsia="Times New Roman" w:hAnsi="Times New Roman"/>
                <w:sz w:val="12"/>
                <w:szCs w:val="12"/>
                <w:b w:val="1"/>
                <w:bCs w:val="1"/>
                <w:color w:val="auto"/>
                <w:w w:val="96"/>
              </w:rPr>
              <w:t>awards</w:t>
            </w:r>
          </w:p>
        </w:tc>
      </w:tr>
      <w:tr>
        <w:trPr>
          <w:trHeight w:val="143"/>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Type</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options (#)</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2"/>
                <w:szCs w:val="12"/>
                <w:b w:val="1"/>
                <w:bCs w:val="1"/>
                <w:color w:val="auto"/>
                <w:w w:val="97"/>
              </w:rPr>
              <w:t>($/Sh)</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2"/>
                <w:szCs w:val="12"/>
                <w:b w:val="1"/>
                <w:bCs w:val="1"/>
                <w:color w:val="auto"/>
                <w:w w:val="99"/>
              </w:rPr>
              <w:t>($)(2)</w:t>
            </w:r>
          </w:p>
        </w:tc>
      </w:tr>
      <w:tr>
        <w:trPr>
          <w:trHeight w:val="160"/>
        </w:trPr>
        <w:tc>
          <w:tcPr>
            <w:tcW w:w="1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Maria Hollandsworth</w:t>
            </w:r>
          </w:p>
        </w:tc>
        <w:tc>
          <w:tcPr>
            <w:tcW w:w="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82"/>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ICP</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206,293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519,857</w:t>
            </w: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5/9/2023</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RSA</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13,797</w:t>
            </w:r>
          </w:p>
        </w:tc>
        <w:tc>
          <w:tcPr>
            <w:tcW w:w="120" w:type="dxa"/>
            <w:vAlign w:val="bottom"/>
          </w:tcPr>
          <w:p>
            <w:pPr>
              <w:spacing w:after="0"/>
              <w:rPr>
                <w:sz w:val="14"/>
                <w:szCs w:val="1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125,000</w:t>
            </w:r>
          </w:p>
        </w:tc>
      </w:tr>
      <w:tr>
        <w:trPr>
          <w:trHeight w:val="28"/>
        </w:trPr>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0"/>
        </w:trPr>
        <w:tc>
          <w:tcPr>
            <w:tcW w:w="1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5/9/2023</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Stock Options</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28,802</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9.06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125,000</w:t>
            </w:r>
          </w:p>
        </w:tc>
      </w:tr>
      <w:tr>
        <w:trPr>
          <w:trHeight w:val="171"/>
        </w:trPr>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11/7/2023</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RSU</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23,641</w:t>
            </w:r>
          </w:p>
        </w:tc>
        <w:tc>
          <w:tcPr>
            <w:tcW w:w="120" w:type="dxa"/>
            <w:vAlign w:val="bottom"/>
          </w:tcPr>
          <w:p>
            <w:pPr>
              <w:spacing w:after="0"/>
              <w:rPr>
                <w:sz w:val="14"/>
                <w:szCs w:val="1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200,000</w:t>
            </w:r>
          </w:p>
        </w:tc>
      </w:tr>
      <w:tr>
        <w:trPr>
          <w:trHeight w:val="28"/>
        </w:trPr>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0"/>
        </w:trPr>
        <w:tc>
          <w:tcPr>
            <w:tcW w:w="1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Ira Fils</w:t>
            </w:r>
          </w:p>
        </w:tc>
        <w:tc>
          <w:tcPr>
            <w:tcW w:w="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82"/>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ICP</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312,000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786,240</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5/9/2023</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RSA</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27,594</w:t>
            </w:r>
          </w:p>
        </w:tc>
        <w:tc>
          <w:tcPr>
            <w:tcW w:w="120" w:type="dxa"/>
            <w:vAlign w:val="bottom"/>
          </w:tcPr>
          <w:p>
            <w:pPr>
              <w:spacing w:after="0"/>
              <w:rPr>
                <w:sz w:val="14"/>
                <w:szCs w:val="1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250,000</w:t>
            </w:r>
          </w:p>
        </w:tc>
      </w:tr>
      <w:tr>
        <w:trPr>
          <w:trHeight w:val="28"/>
        </w:trPr>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0"/>
        </w:trPr>
        <w:tc>
          <w:tcPr>
            <w:tcW w:w="1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5/9/2023</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Stock Options</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57,604</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9.06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w:t>
            </w:r>
          </w:p>
        </w:tc>
      </w:tr>
      <w:tr>
        <w:trPr>
          <w:trHeight w:val="171"/>
        </w:trPr>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11/7/2023</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RSU</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18,322</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155,000</w:t>
            </w:r>
          </w:p>
        </w:tc>
      </w:tr>
      <w:tr>
        <w:trPr>
          <w:trHeight w:val="28"/>
        </w:trPr>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0"/>
        </w:trPr>
        <w:tc>
          <w:tcPr>
            <w:tcW w:w="1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11/7/2023</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Stock Options</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38,272</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8.46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155,000</w:t>
            </w:r>
          </w:p>
        </w:tc>
      </w:tr>
      <w:tr>
        <w:trPr>
          <w:trHeight w:val="171"/>
        </w:trPr>
        <w:tc>
          <w:tcPr>
            <w:tcW w:w="1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Laurance Roberts</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82"/>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ICP</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571,154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1,439,308</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8"/>
        </w:trPr>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0"/>
        </w:trPr>
        <w:tc>
          <w:tcPr>
            <w:tcW w:w="1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8/8/2023</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Stock Options</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57,471</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10.63</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300,000</w:t>
            </w:r>
          </w:p>
        </w:tc>
      </w:tr>
      <w:tr>
        <w:trPr>
          <w:trHeight w:val="171"/>
        </w:trPr>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8/8/2023</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RSA</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28,222</w:t>
            </w:r>
          </w:p>
        </w:tc>
        <w:tc>
          <w:tcPr>
            <w:tcW w:w="120" w:type="dxa"/>
            <w:vAlign w:val="bottom"/>
          </w:tcPr>
          <w:p>
            <w:pPr>
              <w:spacing w:after="0"/>
              <w:rPr>
                <w:sz w:val="14"/>
                <w:szCs w:val="14"/>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300,000</w:t>
            </w:r>
          </w:p>
        </w:tc>
      </w:tr>
      <w:tr>
        <w:trPr>
          <w:trHeight w:val="28"/>
        </w:trPr>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80"/>
        </w:trPr>
        <w:tc>
          <w:tcPr>
            <w:tcW w:w="1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5/9/2023</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4"/>
              </w:rPr>
              <w:t>RSA</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55,188</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500,000</w:t>
            </w:r>
          </w:p>
        </w:tc>
      </w:tr>
      <w:tr>
        <w:trPr>
          <w:trHeight w:val="171"/>
        </w:trPr>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5/9/2023</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Stock Options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115,207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500,000</w:t>
            </w:r>
          </w:p>
        </w:tc>
      </w:tr>
    </w:tbl>
    <w:p>
      <w:pPr>
        <w:spacing w:after="0" w:line="129" w:lineRule="exact"/>
        <w:rPr>
          <w:sz w:val="20"/>
          <w:szCs w:val="20"/>
          <w:color w:val="auto"/>
        </w:rPr>
      </w:pPr>
    </w:p>
    <w:p>
      <w:pPr>
        <w:jc w:val="both"/>
        <w:ind w:left="500" w:right="219" w:hanging="297"/>
        <w:spacing w:after="0" w:line="263" w:lineRule="auto"/>
        <w:tabs>
          <w:tab w:leader="none" w:pos="5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executive officer was entitled to a cash award to be paid under our 2023 Annual Incentive Plan as described under the section entitled </w:t>
      </w:r>
      <w:r>
        <w:rPr>
          <w:rFonts w:ascii="Times New Roman" w:cs="Times New Roman" w:eastAsia="Times New Roman" w:hAnsi="Times New Roman"/>
          <w:sz w:val="15"/>
          <w:szCs w:val="15"/>
          <w:i w:val="1"/>
          <w:iCs w:val="1"/>
          <w:color w:val="auto"/>
        </w:rPr>
        <w:t>“Compensation Discussion and Analysis – Annual Incentive Plan.”</w:t>
      </w:r>
      <w:r>
        <w:rPr>
          <w:rFonts w:ascii="Times New Roman" w:cs="Times New Roman" w:eastAsia="Times New Roman" w:hAnsi="Times New Roman"/>
          <w:sz w:val="15"/>
          <w:szCs w:val="15"/>
          <w:color w:val="auto"/>
        </w:rPr>
        <w:t xml:space="preserve"> Annual Incentive Plan awards were based on achievement of the Company performance metric, modified by an individual performance factor. Actual awards attributable to the Company performance metric component may range from 0% to 180% for achievement of adjusted EBITDA and 0 to 180% for achievement of Company revenue. The individual performance factor, which adjusts the achievement of the Company performance metrics range from 0% to 140% of the amount attributable to the Company performance metric as determined by the Compensation Committee in its discretion. The “Threshold” column reflects amounts that would be paid under the Annual Incentive Plan if each executive officer achieved the lowest amount payable which would be 0% regardless of Company payout. Amounts under Target reflect the target Annual Incentive Plan award that would have been paid to the executive officer if each of the Company performance factors and individual performance factor under the Annual Incentive Plan had been set at 100%. Amounts under Maximum reflect the Annual Incentive Plan award that would have been payable had each of the Company performance factors been achieved at the maximum level of 180% and the individual performance factor been at the maximum level of 140%. Actual Annual Incentive Plan awards paid are reflected in the “Non-Equity Incentive Plan Compensation” column of the table labeled 2023 Summary Compensation Table above.</w:t>
      </w:r>
    </w:p>
    <w:p>
      <w:pPr>
        <w:spacing w:after="0" w:line="29" w:lineRule="exact"/>
        <w:rPr>
          <w:rFonts w:ascii="Times New Roman" w:cs="Times New Roman" w:eastAsia="Times New Roman" w:hAnsi="Times New Roman"/>
          <w:sz w:val="15"/>
          <w:szCs w:val="15"/>
          <w:color w:val="auto"/>
        </w:rPr>
      </w:pPr>
    </w:p>
    <w:p>
      <w:pPr>
        <w:jc w:val="both"/>
        <w:ind w:left="500" w:right="219" w:hanging="297"/>
        <w:spacing w:after="0" w:line="275" w:lineRule="auto"/>
        <w:tabs>
          <w:tab w:leader="none" w:pos="50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 Note 11 to our audited consolidated financial statements for the year ended December 27, 2023, which are included in our Annual Report filed with the SEC on March 8, 2024, for descriptions of the methodologies and assumptions we used to value equity awards pursuant to FASB Topic 718.</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Option Exercises and Stock Vested Table</w:t>
      </w:r>
    </w:p>
    <w:p>
      <w:pPr>
        <w:spacing w:after="0" w:line="1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following table sets forth information regarding option exercises and stock vesting for the NEOs for the fiscal year ended</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December 27, 2023:</w:t>
      </w:r>
    </w:p>
    <w:p>
      <w:pPr>
        <w:spacing w:after="0" w:line="97" w:lineRule="exact"/>
        <w:rPr>
          <w:sz w:val="20"/>
          <w:szCs w:val="20"/>
          <w:color w:val="auto"/>
        </w:rPr>
      </w:pPr>
    </w:p>
    <w:tbl>
      <w:tblPr>
        <w:tblLayout w:type="fixed"/>
        <w:tblInd w:w="200" w:type="dxa"/>
        <w:tblCellMar>
          <w:top w:w="0" w:type="dxa"/>
          <w:left w:w="0" w:type="dxa"/>
          <w:bottom w:w="0" w:type="dxa"/>
          <w:right w:w="0" w:type="dxa"/>
        </w:tblCellMar>
      </w:tblPr>
      <w:tr>
        <w:trPr>
          <w:trHeight w:val="292"/>
        </w:trPr>
        <w:tc>
          <w:tcPr>
            <w:tcW w:w="38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20"/>
                <w:szCs w:val="20"/>
                <w:b w:val="1"/>
                <w:bCs w:val="1"/>
                <w:color w:val="auto"/>
              </w:rPr>
              <w:t>Option Awards</w:t>
            </w:r>
          </w:p>
        </w:tc>
        <w:tc>
          <w:tcPr>
            <w:tcW w:w="2440" w:type="dxa"/>
            <w:vAlign w:val="bottom"/>
            <w:tcBorders>
              <w:top w:val="single" w:sz="8" w:color="auto"/>
            </w:tcBorders>
            <w:gridSpan w:val="4"/>
          </w:tcPr>
          <w:p>
            <w:pPr>
              <w:jc w:val="right"/>
              <w:ind w:right="557"/>
              <w:spacing w:after="0"/>
              <w:rPr>
                <w:sz w:val="20"/>
                <w:szCs w:val="20"/>
                <w:color w:val="auto"/>
              </w:rPr>
            </w:pPr>
            <w:r>
              <w:rPr>
                <w:rFonts w:ascii="Times New Roman" w:cs="Times New Roman" w:eastAsia="Times New Roman" w:hAnsi="Times New Roman"/>
                <w:sz w:val="20"/>
                <w:szCs w:val="20"/>
                <w:b w:val="1"/>
                <w:bCs w:val="1"/>
                <w:color w:val="auto"/>
              </w:rPr>
              <w:t>Stock Awards</w:t>
            </w:r>
          </w:p>
        </w:tc>
      </w:tr>
      <w:tr>
        <w:trPr>
          <w:trHeight w:val="180"/>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Borders>
              <w:top w:val="single" w:sz="8" w:color="auto"/>
            </w:tcBorders>
            <w:gridSpan w:val="2"/>
          </w:tcPr>
          <w:p>
            <w:pPr>
              <w:jc w:val="center"/>
              <w:ind w:right="180"/>
              <w:spacing w:after="0" w:line="180" w:lineRule="exact"/>
              <w:rPr>
                <w:sz w:val="20"/>
                <w:szCs w:val="20"/>
                <w:color w:val="auto"/>
              </w:rPr>
            </w:pPr>
            <w:r>
              <w:rPr>
                <w:rFonts w:ascii="Times New Roman" w:cs="Times New Roman" w:eastAsia="Times New Roman" w:hAnsi="Times New Roman"/>
                <w:sz w:val="17"/>
                <w:szCs w:val="17"/>
                <w:b w:val="1"/>
                <w:bCs w:val="1"/>
                <w:color w:val="auto"/>
                <w:w w:val="96"/>
              </w:rPr>
              <w:t>Number of</w:t>
            </w: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200"/>
        </w:trPr>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4"/>
              </w:rPr>
              <w:t>shares</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Number of shares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4"/>
              </w:rPr>
              <w:t>Value</w:t>
            </w:r>
          </w:p>
        </w:tc>
      </w:tr>
      <w:tr>
        <w:trPr>
          <w:trHeight w:val="200"/>
        </w:trPr>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acquired on</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realized on</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acquired on</w:t>
            </w:r>
          </w:p>
        </w:tc>
        <w:tc>
          <w:tcPr>
            <w:tcW w:w="18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realized on</w:t>
            </w:r>
          </w:p>
        </w:tc>
      </w:tr>
      <w:tr>
        <w:trPr>
          <w:trHeight w:val="200"/>
        </w:trPr>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vesting</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7"/>
              </w:rPr>
              <w:t>vesting</w:t>
            </w:r>
          </w:p>
        </w:tc>
      </w:tr>
      <w:tr>
        <w:trPr>
          <w:trHeight w:val="220"/>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($)(2)</w:t>
            </w:r>
          </w:p>
        </w:tc>
        <w:tc>
          <w:tcPr>
            <w:tcW w:w="1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5"/>
              </w:rPr>
              <w:t>($)(3)</w:t>
            </w:r>
          </w:p>
        </w:tc>
      </w:tr>
      <w:tr>
        <w:trPr>
          <w:trHeight w:val="192"/>
        </w:trPr>
        <w:tc>
          <w:tcPr>
            <w:tcW w:w="38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Maria Hollandsworth</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4,496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37,811</w:t>
            </w:r>
          </w:p>
        </w:tc>
      </w:tr>
      <w:tr>
        <w:trPr>
          <w:trHeight w:val="200"/>
        </w:trPr>
        <w:tc>
          <w:tcPr>
            <w:tcW w:w="4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Ira Fils</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131,417</w:t>
            </w:r>
          </w:p>
        </w:tc>
      </w:tr>
      <w:tr>
        <w:trPr>
          <w:trHeight w:val="255"/>
        </w:trPr>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Laurance Roberts</w:t>
            </w:r>
          </w:p>
        </w:tc>
        <w:tc>
          <w:tcPr>
            <w:tcW w:w="9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179,950</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915,362</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30,901</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286,534</w:t>
            </w:r>
          </w:p>
        </w:tc>
      </w:tr>
      <w:tr>
        <w:trPr>
          <w:trHeight w:val="712"/>
        </w:trPr>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56</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17"/>
        </w:trPr>
        <w:tc>
          <w:tcPr>
            <w:tcW w:w="3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23" w:right="1440" w:bottom="1440" w:gutter="0" w:footer="0" w:header="0"/>
        </w:sectPr>
      </w:pPr>
    </w:p>
    <w:bookmarkStart w:id="59" w:name="page60"/>
    <w:bookmarkEnd w:id="59"/>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00" w:hanging="297"/>
        <w:spacing w:after="0"/>
        <w:tabs>
          <w:tab w:leader="none" w:pos="5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number of shares of the company’s common stock acquired on exercise of option awards or vesting of restricted stock.</w:t>
      </w:r>
    </w:p>
    <w:p>
      <w:pPr>
        <w:spacing w:after="0" w:line="64" w:lineRule="exact"/>
        <w:rPr>
          <w:rFonts w:ascii="Times New Roman" w:cs="Times New Roman" w:eastAsia="Times New Roman" w:hAnsi="Times New Roman"/>
          <w:sz w:val="15"/>
          <w:szCs w:val="15"/>
          <w:color w:val="auto"/>
        </w:rPr>
      </w:pPr>
    </w:p>
    <w:p>
      <w:pPr>
        <w:ind w:left="500" w:right="219" w:hanging="297"/>
        <w:spacing w:after="0" w:line="290" w:lineRule="auto"/>
        <w:tabs>
          <w:tab w:leader="none" w:pos="5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Equals the number of underlying shares exercised multiplied by the difference between the closing price of the company’s stock price on the exercise date and the exercise price.</w:t>
      </w:r>
    </w:p>
    <w:p>
      <w:pPr>
        <w:spacing w:after="0" w:line="8" w:lineRule="exact"/>
        <w:rPr>
          <w:rFonts w:ascii="Times New Roman" w:cs="Times New Roman" w:eastAsia="Times New Roman" w:hAnsi="Times New Roman"/>
          <w:sz w:val="15"/>
          <w:szCs w:val="15"/>
          <w:color w:val="auto"/>
        </w:rPr>
      </w:pPr>
    </w:p>
    <w:p>
      <w:pPr>
        <w:ind w:left="500" w:hanging="297"/>
        <w:spacing w:after="0"/>
        <w:tabs>
          <w:tab w:leader="none" w:pos="50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Equals closing price of the company’s common stock on the vesting date multiplied by the number of shares vested.</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208"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color w:val="auto"/>
        </w:rPr>
        <w:t>The following section describes the benefits that may become payable to Mr. Fils and Ms. Hollandsworth in connection with a termination of their employment with us and/or a change in control of the Company. The benefits described in this section are generally provided under Mr. Fils’ or Ms. Hollandsworth’s employment agreements or under the terms governing outstanding equity-based awards. For each of Mr. Fils and Ms. Hollandsworth, payment of the severance benefits provided for under his or her employment agreement is conditioned upon the executive’s execution and delivery of (and not revoking) a general release in favor of us. All of the benefits described below would be provided by us. Please see the Compensation Discussion and Analysis section above for a discussion of how the level of these benefits was determined and for a discussion of the relevant employment agreement and equity award provisions.</w:t>
      </w:r>
    </w:p>
    <w:p>
      <w:pPr>
        <w:spacing w:after="0" w:line="177"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color w:val="auto"/>
        </w:rPr>
        <w:t>The following table provides information concerning the potential termination or change in control payments that would be made to each of Mr. Fils and Ms. Hollandsworth under the circumstances described above. As prescribed by the SEC’s disclosure rules, in calculating the amount of any potential payments, we have assumed that the applicable triggering event (i.e., termination of employment and/or change in control) occurred on December 27, 2023. In the following table, we use the term “involuntary termination” to refer to a termination by us without good cause or by the executive for good reason.</w:t>
      </w:r>
    </w:p>
    <w:p>
      <w:pPr>
        <w:sectPr>
          <w:pgSz w:w="11900" w:h="16838" w:orient="portrait"/>
          <w:cols w:equalWidth="0" w:num="1">
            <w:col w:w="9019"/>
          </w:cols>
          <w:pgMar w:left="1440" w:top="6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Ira Fils</w:t>
      </w:r>
    </w:p>
    <w:p>
      <w:pPr>
        <w:spacing w:after="0" w:line="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Death or Disability</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Involuntary Termination</w:t>
      </w:r>
    </w:p>
    <w:p>
      <w:pPr>
        <w:spacing w:after="0" w:line="42"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7"/>
          <w:szCs w:val="17"/>
          <w:color w:val="auto"/>
        </w:rPr>
        <w:t>Involuntary Termination in Connection with Change in Control</w:t>
      </w:r>
    </w:p>
    <w:p>
      <w:pPr>
        <w:ind w:left="200"/>
        <w:spacing w:after="0"/>
        <w:rPr>
          <w:sz w:val="20"/>
          <w:szCs w:val="20"/>
          <w:color w:val="auto"/>
        </w:rPr>
      </w:pPr>
      <w:r>
        <w:rPr>
          <w:rFonts w:ascii="Times New Roman" w:cs="Times New Roman" w:eastAsia="Times New Roman" w:hAnsi="Times New Roman"/>
          <w:sz w:val="17"/>
          <w:szCs w:val="17"/>
          <w:b w:val="1"/>
          <w:bCs w:val="1"/>
          <w:color w:val="auto"/>
        </w:rPr>
        <w:t>Maria Hollandsworth</w:t>
      </w:r>
    </w:p>
    <w:p>
      <w:pPr>
        <w:spacing w:after="0" w:line="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Death or Disability</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Involuntary Termination</w:t>
      </w:r>
    </w:p>
    <w:p>
      <w:pPr>
        <w:spacing w:after="0" w:line="21"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7"/>
          <w:szCs w:val="17"/>
          <w:color w:val="auto"/>
        </w:rPr>
        <w:t>Involuntary Termination in Connection with Change in Control</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20" w:type="dxa"/>
            <w:vAlign w:val="bottom"/>
          </w:tcPr>
          <w:p>
            <w:pPr>
              <w:spacing w:after="0"/>
              <w:rPr>
                <w:sz w:val="17"/>
                <w:szCs w:val="17"/>
                <w:color w:val="auto"/>
              </w:rPr>
            </w:pPr>
          </w:p>
        </w:tc>
        <w:tc>
          <w:tcPr>
            <w:tcW w:w="1320" w:type="dxa"/>
            <w:vAlign w:val="bottom"/>
            <w:vMerge w:val="restart"/>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Cash Severance</w:t>
            </w:r>
          </w:p>
        </w:tc>
        <w:tc>
          <w:tcPr>
            <w:tcW w:w="2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Accelerated Value</w:t>
            </w:r>
          </w:p>
        </w:tc>
        <w:tc>
          <w:tcPr>
            <w:tcW w:w="3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20" w:type="dxa"/>
            <w:vAlign w:val="bottom"/>
          </w:tcPr>
          <w:p>
            <w:pPr>
              <w:spacing w:after="0"/>
              <w:rPr>
                <w:sz w:val="8"/>
                <w:szCs w:val="8"/>
                <w:color w:val="auto"/>
              </w:rPr>
            </w:pPr>
          </w:p>
        </w:tc>
        <w:tc>
          <w:tcPr>
            <w:tcW w:w="1320" w:type="dxa"/>
            <w:vAlign w:val="bottom"/>
            <w:vMerge w:val="restart"/>
          </w:tcPr>
          <w:p>
            <w:pPr>
              <w:jc w:val="right"/>
              <w:ind w:right="497"/>
              <w:spacing w:after="0"/>
              <w:rPr>
                <w:sz w:val="20"/>
                <w:szCs w:val="20"/>
                <w:color w:val="auto"/>
              </w:rPr>
            </w:pPr>
            <w:r>
              <w:rPr>
                <w:rFonts w:ascii="Times New Roman" w:cs="Times New Roman" w:eastAsia="Times New Roman" w:hAnsi="Times New Roman"/>
                <w:sz w:val="17"/>
                <w:szCs w:val="17"/>
                <w:b w:val="1"/>
                <w:bCs w:val="1"/>
                <w:color w:val="auto"/>
              </w:rPr>
              <w:t>(1)</w:t>
            </w:r>
          </w:p>
        </w:tc>
        <w:tc>
          <w:tcPr>
            <w:tcW w:w="28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(2)</w:t>
            </w:r>
          </w:p>
        </w:tc>
        <w:tc>
          <w:tcPr>
            <w:tcW w:w="300" w:type="dxa"/>
            <w:vAlign w:val="bottom"/>
          </w:tcPr>
          <w:p>
            <w:pPr>
              <w:spacing w:after="0"/>
              <w:rPr>
                <w:sz w:val="10"/>
                <w:szCs w:val="10"/>
                <w:color w:val="auto"/>
              </w:rPr>
            </w:pPr>
          </w:p>
        </w:tc>
        <w:tc>
          <w:tcPr>
            <w:tcW w:w="1260" w:type="dxa"/>
            <w:vAlign w:val="bottom"/>
            <w:vMerge w:val="restart"/>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Total ($)</w:t>
            </w:r>
          </w:p>
        </w:tc>
        <w:tc>
          <w:tcPr>
            <w:tcW w:w="0" w:type="dxa"/>
            <w:vAlign w:val="bottom"/>
          </w:tcPr>
          <w:p>
            <w:pPr>
              <w:spacing w:after="0"/>
              <w:rPr>
                <w:sz w:val="1"/>
                <w:szCs w:val="1"/>
                <w:color w:val="auto"/>
              </w:rPr>
            </w:pPr>
          </w:p>
        </w:tc>
      </w:tr>
      <w:tr>
        <w:trPr>
          <w:trHeight w:val="100"/>
        </w:trPr>
        <w:tc>
          <w:tcPr>
            <w:tcW w:w="12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Borders>
              <w:bottom w:val="single" w:sz="8" w:color="auto"/>
            </w:tcBorders>
            <w:vMerge w:val="continue"/>
          </w:tcPr>
          <w:p>
            <w:pPr>
              <w:spacing w:after="0"/>
              <w:rPr>
                <w:sz w:val="8"/>
                <w:szCs w:val="8"/>
                <w:color w:val="auto"/>
              </w:rPr>
            </w:pPr>
          </w:p>
        </w:tc>
        <w:tc>
          <w:tcPr>
            <w:tcW w:w="300" w:type="dxa"/>
            <w:vAlign w:val="bottom"/>
          </w:tcPr>
          <w:p>
            <w:pPr>
              <w:spacing w:after="0"/>
              <w:rPr>
                <w:sz w:val="8"/>
                <w:szCs w:val="8"/>
                <w:color w:val="auto"/>
              </w:rPr>
            </w:pPr>
          </w:p>
        </w:tc>
        <w:tc>
          <w:tcPr>
            <w:tcW w:w="12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92"/>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416,000</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416,000</w:t>
            </w:r>
          </w:p>
        </w:tc>
        <w:tc>
          <w:tcPr>
            <w:tcW w:w="0" w:type="dxa"/>
            <w:vAlign w:val="bottom"/>
          </w:tcPr>
          <w:p>
            <w:pPr>
              <w:spacing w:after="0"/>
              <w:rPr>
                <w:sz w:val="1"/>
                <w:szCs w:val="1"/>
                <w:color w:val="auto"/>
              </w:rPr>
            </w:pPr>
          </w:p>
        </w:tc>
      </w:tr>
      <w:tr>
        <w:trPr>
          <w:trHeight w:val="337"/>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416,000</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797,498</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1,213,498</w:t>
            </w:r>
          </w:p>
        </w:tc>
        <w:tc>
          <w:tcPr>
            <w:tcW w:w="0" w:type="dxa"/>
            <w:vAlign w:val="bottom"/>
          </w:tcPr>
          <w:p>
            <w:pPr>
              <w:spacing w:after="0"/>
              <w:rPr>
                <w:sz w:val="1"/>
                <w:szCs w:val="1"/>
                <w:color w:val="auto"/>
              </w:rPr>
            </w:pPr>
          </w:p>
        </w:tc>
      </w:tr>
      <w:tr>
        <w:trPr>
          <w:trHeight w:val="587"/>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213,951</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613,951</w:t>
            </w:r>
          </w:p>
        </w:tc>
        <w:tc>
          <w:tcPr>
            <w:tcW w:w="0" w:type="dxa"/>
            <w:vAlign w:val="bottom"/>
          </w:tcPr>
          <w:p>
            <w:pPr>
              <w:spacing w:after="0"/>
              <w:rPr>
                <w:sz w:val="1"/>
                <w:szCs w:val="1"/>
                <w:color w:val="auto"/>
              </w:rPr>
            </w:pPr>
          </w:p>
        </w:tc>
      </w:tr>
      <w:tr>
        <w:trPr>
          <w:trHeight w:val="312"/>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338,814</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738,814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-1428115</wp:posOffset>
            </wp:positionV>
            <wp:extent cx="5459730" cy="1746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459730" cy="174625"/>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-1078865</wp:posOffset>
            </wp:positionV>
            <wp:extent cx="5459730" cy="1746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459730" cy="174625"/>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-650240</wp:posOffset>
            </wp:positionV>
            <wp:extent cx="5459730" cy="1746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459730" cy="174625"/>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-332740</wp:posOffset>
            </wp:positionV>
            <wp:extent cx="5459730" cy="142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459730" cy="142875"/>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63500</wp:posOffset>
            </wp:positionV>
            <wp:extent cx="5459730"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459730" cy="15875"/>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-1816735</wp:posOffset>
            </wp:positionV>
            <wp:extent cx="545973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5459730" cy="7620"/>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3800" w:space="380"/>
            <w:col w:w="4839"/>
          </w:cols>
          <w:pgMar w:left="1440" w:top="623" w:right="1440" w:bottom="1440" w:gutter="0" w:footer="0" w:header="0"/>
          <w:type w:val="continuous"/>
        </w:sectPr>
      </w:pPr>
    </w:p>
    <w:p>
      <w:pPr>
        <w:jc w:val="both"/>
        <w:ind w:left="500" w:right="219" w:hanging="297"/>
        <w:spacing w:after="0" w:line="254" w:lineRule="auto"/>
        <w:tabs>
          <w:tab w:leader="none" w:pos="5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executives would have been entitled to an additional pro-rated bonus payment from us for a termination of employment occurring at the end of the 2023 fiscal year, so the pro-rated bonus-based severance provisions contained in each executive’s employment agreement would not result in any additional severance amounts for a termination occurring at year end.</w:t>
      </w:r>
    </w:p>
    <w:p>
      <w:pPr>
        <w:spacing w:after="0" w:line="172" w:lineRule="exact"/>
        <w:rPr>
          <w:rFonts w:ascii="Times New Roman" w:cs="Times New Roman" w:eastAsia="Times New Roman" w:hAnsi="Times New Roman"/>
          <w:sz w:val="17"/>
          <w:szCs w:val="17"/>
          <w:color w:val="auto"/>
        </w:rPr>
      </w:pPr>
    </w:p>
    <w:p>
      <w:pPr>
        <w:ind w:left="500" w:right="219" w:hanging="297"/>
        <w:spacing w:after="0" w:line="271" w:lineRule="auto"/>
        <w:tabs>
          <w:tab w:leader="none" w:pos="5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upon the closing price of our common stock ($9.05) on December 27, 2023, which was the last trading day of fiscal 2023.</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Laurance Roberts</w:t>
      </w:r>
    </w:p>
    <w:p>
      <w:pPr>
        <w:spacing w:after="0" w:line="208" w:lineRule="exact"/>
        <w:rPr>
          <w:sz w:val="20"/>
          <w:szCs w:val="20"/>
          <w:color w:val="auto"/>
        </w:rPr>
      </w:pPr>
    </w:p>
    <w:p>
      <w:pPr>
        <w:ind w:left="200" w:right="319"/>
        <w:spacing w:after="0" w:line="254" w:lineRule="auto"/>
        <w:rPr>
          <w:sz w:val="20"/>
          <w:szCs w:val="20"/>
          <w:color w:val="auto"/>
        </w:rPr>
      </w:pPr>
      <w:r>
        <w:rPr>
          <w:rFonts w:ascii="Times New Roman" w:cs="Times New Roman" w:eastAsia="Times New Roman" w:hAnsi="Times New Roman"/>
          <w:sz w:val="17"/>
          <w:szCs w:val="17"/>
          <w:color w:val="auto"/>
        </w:rPr>
        <w:t>In connection with Mr. Roberts’ termination of employment, the Company entered into a separation, release and consulting agreement with Mr. Roberts, dated November 1, 2023. Subject to Mr. Roberts’ execution of a general release of claims in favor of the Company and his provision of consulting services related to the transition of his duties through December 28, 2023, Mr. Roberts will receive continued payment of his base salary of $700,000 for</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type w:val="continuous"/>
        </w:sectPr>
      </w:pPr>
    </w:p>
    <w:bookmarkStart w:id="60" w:name="page61"/>
    <w:bookmarkEnd w:id="60"/>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 w:right="239"/>
        <w:spacing w:after="0" w:line="266" w:lineRule="auto"/>
        <w:rPr>
          <w:sz w:val="20"/>
          <w:szCs w:val="20"/>
          <w:color w:val="auto"/>
        </w:rPr>
      </w:pPr>
      <w:r>
        <w:rPr>
          <w:rFonts w:ascii="Times New Roman" w:cs="Times New Roman" w:eastAsia="Times New Roman" w:hAnsi="Times New Roman"/>
          <w:sz w:val="16"/>
          <w:szCs w:val="16"/>
          <w:color w:val="auto"/>
        </w:rPr>
        <w:t>one year, a pro-rata portion of his 2023 bonus based on performance equal to $186,196, a lump sum gross consulting payment of $53,846, and extension of the exercise period for all of Mr. Roberts’ stock options vested as of the date of his termination of employment (“Vested Options”) such that the Vested Options will remain exercisable until the earliest of (1) the three-year anniversary of the date of his termination of employment, (2) the normal expiration date of the applicable Vested Options, and</w:t>
      </w:r>
    </w:p>
    <w:p>
      <w:pPr>
        <w:spacing w:after="0" w:line="1" w:lineRule="exact"/>
        <w:rPr>
          <w:sz w:val="20"/>
          <w:szCs w:val="20"/>
          <w:color w:val="auto"/>
        </w:rPr>
      </w:pPr>
    </w:p>
    <w:p>
      <w:pPr>
        <w:ind w:left="200" w:right="379" w:firstLine="3"/>
        <w:spacing w:after="0" w:line="247" w:lineRule="auto"/>
        <w:tabs>
          <w:tab w:leader="none" w:pos="43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of any termination of the Vested Options as a result of any corporate transaction provided for under the equity plan under which the Vested Options were awarded. Mr. Roberts is also entitled to reimbursement of his premiums charged to continue medical coverage pursuant to the Consolidated Omnibus Budget Reconciliation Act of 1985 (commonly known as COBRA) through April 30, 2024 (with an estimated cost of $13,343.05).</w:t>
      </w:r>
    </w:p>
    <w:p>
      <w:pPr>
        <w:spacing w:after="0" w:line="1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Pay Ratio Disclosure</w:t>
      </w:r>
    </w:p>
    <w:p>
      <w:pPr>
        <w:spacing w:after="0" w:line="208"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17"/>
          <w:szCs w:val="17"/>
          <w:color w:val="auto"/>
        </w:rPr>
        <w:t>Pursuant to the Exchange Act, we are required to disclose in this proxy statement the ratio of the annual total compensation of our Interim Chief Executive Officer to the median of the annual total compensation of all of our employees (excluding our Interim Chief Executive Officer). Based on SEC rules for this disclosure and applying the methodology described below, we have determined that our Interim Chief Executive Officer’s total compensation for 2023 was $3,161,265 and the median of the total 2023 compensation of all of our employees (excluding our Interim Chief Executive Officer) was $19,642. Accordingly, we estimate the ratio of our Interim Chief Executive Officer’s total compensation for 2023 to the median of the total 2023 compensation of all of our employees (excluding our Interim Chief Executive Officer) to be approximately 50 to 1. For purpose of calculating this ratio, we used the total 2023 compensation for Ms. Hollandsworth because she was serving as our Interim Chief Executive Officer at the time our median employee was identified.</w:t>
      </w:r>
    </w:p>
    <w:p>
      <w:pPr>
        <w:spacing w:after="0" w:line="182"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color w:val="auto"/>
        </w:rPr>
        <w:t>We identified the median employee by taking into account the total gross wages as reported on Form W-2 paid in 2023 to all individuals, excluding our Interim Chief Executive Officer, who were employed by us on December 31, 2023. We included all employees, whether employed on a full-time, part-time, or seasonal basis. We did not make any assumptions, adjustments or estimates with respect to their total gross wages for 2023. We believe total gross wages for all employees is an appropriate measure.</w:t>
      </w:r>
    </w:p>
    <w:p>
      <w:pPr>
        <w:spacing w:after="0" w:line="178" w:lineRule="exact"/>
        <w:rPr>
          <w:sz w:val="20"/>
          <w:szCs w:val="20"/>
          <w:color w:val="auto"/>
        </w:rPr>
      </w:pPr>
    </w:p>
    <w:p>
      <w:pPr>
        <w:jc w:val="both"/>
        <w:ind w:left="200" w:right="219"/>
        <w:spacing w:after="0" w:line="274" w:lineRule="auto"/>
        <w:rPr>
          <w:sz w:val="20"/>
          <w:szCs w:val="20"/>
          <w:color w:val="auto"/>
        </w:rPr>
      </w:pPr>
      <w:r>
        <w:rPr>
          <w:rFonts w:ascii="Times New Roman" w:cs="Times New Roman" w:eastAsia="Times New Roman" w:hAnsi="Times New Roman"/>
          <w:sz w:val="16"/>
          <w:szCs w:val="16"/>
          <w:color w:val="auto"/>
        </w:rPr>
        <w:t>Once the median employee was identified as described above, that employee’s annual total compensation for 2023 was determined using the same rules that apply to reporting the compensation of our Named Executive Officers (including our Interim Chief Executive Officer) in the “Total” column of the 2023 Summary Compensation Table above. The total compensation amounts included in the first paragraph of this pay ratio disclosure were determined based on that methodology.</w:t>
      </w:r>
    </w:p>
    <w:p>
      <w:pPr>
        <w:spacing w:after="0" w:line="160"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We believe that the pay ratio disclosure presented above is a reasonable estimate. Because the SEC rules for identifying the median employee and calculating the pay ratio allow companies to use different methodologies, exemptions, estimates and assumptions, the pay ratio disclosure may not be comparable to the pay ratio reported by other public companies.</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208"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color w:val="auto"/>
        </w:rPr>
        <w:t>We are providing the following information about the relationship between executive compensation actually paid and certain financial performance of the Company as required by Section 953(a) of the Dodd-Frank Wall Street Reform and Consumer Protection Act, and Item 402(v) of Regulation S-K. For further information regarding the Company’s pay-for-performance philosophy and how the Company aligns executive compensation with performance, see the Compensation Discussion and Analysis (CD&amp;A) earlier in this proxy statement.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61" w:name="page62"/>
    <w:bookmarkEnd w:id="61"/>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Pay versus Performance Table</w:t>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20"/>
        </w:trPr>
        <w:tc>
          <w:tcPr>
            <w:tcW w:w="5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ind w:left="80"/>
              <w:spacing w:after="0" w:line="120" w:lineRule="exact"/>
              <w:rPr>
                <w:sz w:val="20"/>
                <w:szCs w:val="20"/>
                <w:color w:val="auto"/>
              </w:rPr>
            </w:pPr>
            <w:r>
              <w:rPr>
                <w:rFonts w:ascii="Times New Roman" w:cs="Times New Roman" w:eastAsia="Times New Roman" w:hAnsi="Times New Roman"/>
                <w:sz w:val="12"/>
                <w:szCs w:val="12"/>
                <w:b w:val="1"/>
                <w:bCs w:val="1"/>
                <w:color w:val="auto"/>
                <w:w w:val="99"/>
              </w:rPr>
              <w:t>Value of Initial Fixed $100</w:t>
            </w:r>
          </w:p>
        </w:tc>
        <w:tc>
          <w:tcPr>
            <w:tcW w:w="7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860" w:type="dxa"/>
            <w:vAlign w:val="bottom"/>
            <w:vMerge w:val="restart"/>
          </w:tcPr>
          <w:p>
            <w:pPr>
              <w:jc w:val="center"/>
              <w:ind w:left="19"/>
              <w:spacing w:after="0"/>
              <w:rPr>
                <w:sz w:val="20"/>
                <w:szCs w:val="20"/>
                <w:color w:val="auto"/>
              </w:rPr>
            </w:pPr>
            <w:r>
              <w:rPr>
                <w:rFonts w:ascii="Times New Roman" w:cs="Times New Roman" w:eastAsia="Times New Roman" w:hAnsi="Times New Roman"/>
                <w:sz w:val="12"/>
                <w:szCs w:val="12"/>
                <w:b w:val="1"/>
                <w:bCs w:val="1"/>
                <w:color w:val="auto"/>
                <w:w w:val="98"/>
              </w:rPr>
              <w:t>Summary</w:t>
            </w:r>
          </w:p>
        </w:tc>
        <w:tc>
          <w:tcPr>
            <w:tcW w:w="7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Summary</w:t>
            </w:r>
          </w:p>
        </w:tc>
        <w:tc>
          <w:tcPr>
            <w:tcW w:w="8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Avg. Summary</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Average</w:t>
            </w:r>
          </w:p>
        </w:tc>
        <w:tc>
          <w:tcPr>
            <w:tcW w:w="1460" w:type="dxa"/>
            <w:vAlign w:val="bottom"/>
            <w:tcBorders>
              <w:bottom w:val="single" w:sz="8" w:color="auto"/>
            </w:tcBorders>
            <w:gridSpan w:val="2"/>
          </w:tcPr>
          <w:p>
            <w:pPr>
              <w:jc w:val="right"/>
              <w:ind w:right="117"/>
              <w:spacing w:after="0"/>
              <w:rPr>
                <w:sz w:val="20"/>
                <w:szCs w:val="20"/>
                <w:color w:val="auto"/>
              </w:rPr>
            </w:pPr>
            <w:r>
              <w:rPr>
                <w:rFonts w:ascii="Times New Roman" w:cs="Times New Roman" w:eastAsia="Times New Roman" w:hAnsi="Times New Roman"/>
                <w:sz w:val="12"/>
                <w:szCs w:val="12"/>
                <w:b w:val="1"/>
                <w:bCs w:val="1"/>
                <w:color w:val="auto"/>
              </w:rPr>
              <w:t>Investment Based on:</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5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40" w:type="dxa"/>
            <w:vAlign w:val="bottom"/>
          </w:tcPr>
          <w:p>
            <w:pPr>
              <w:spacing w:after="0"/>
              <w:rPr>
                <w:sz w:val="10"/>
                <w:szCs w:val="10"/>
                <w:color w:val="auto"/>
              </w:rPr>
            </w:pPr>
          </w:p>
        </w:tc>
        <w:tc>
          <w:tcPr>
            <w:tcW w:w="8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78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b w:val="1"/>
                <w:bCs w:val="1"/>
                <w:color w:val="auto"/>
                <w:w w:val="99"/>
              </w:rPr>
              <w:t>Compensation</w:t>
            </w:r>
          </w:p>
        </w:tc>
        <w:tc>
          <w:tcPr>
            <w:tcW w:w="8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80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b w:val="1"/>
                <w:bCs w:val="1"/>
                <w:color w:val="auto"/>
                <w:w w:val="99"/>
              </w:rPr>
              <w:t>Compensation</w:t>
            </w:r>
          </w:p>
        </w:tc>
        <w:tc>
          <w:tcPr>
            <w:tcW w:w="8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8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680" w:type="dxa"/>
            <w:vAlign w:val="bottom"/>
          </w:tcPr>
          <w:p>
            <w:pPr>
              <w:spacing w:after="0"/>
              <w:rPr>
                <w:sz w:val="10"/>
                <w:szCs w:val="10"/>
                <w:color w:val="auto"/>
              </w:rPr>
            </w:pPr>
          </w:p>
        </w:tc>
        <w:tc>
          <w:tcPr>
            <w:tcW w:w="7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4"/>
              </w:rPr>
              <w:t>S&amp;P 1500</w:t>
            </w: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40" w:type="dxa"/>
            <w:vAlign w:val="bottom"/>
          </w:tcPr>
          <w:p>
            <w:pPr>
              <w:spacing w:after="0"/>
              <w:rPr>
                <w:sz w:val="10"/>
                <w:szCs w:val="10"/>
                <w:color w:val="auto"/>
              </w:rPr>
            </w:pPr>
          </w:p>
        </w:tc>
        <w:tc>
          <w:tcPr>
            <w:tcW w:w="8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3"/>
              </w:rPr>
              <w:t>Table Total</w:t>
            </w:r>
          </w:p>
        </w:tc>
        <w:tc>
          <w:tcPr>
            <w:tcW w:w="78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b w:val="1"/>
                <w:bCs w:val="1"/>
                <w:color w:val="auto"/>
              </w:rPr>
              <w:t>Actually Paid</w:t>
            </w:r>
          </w:p>
        </w:tc>
        <w:tc>
          <w:tcPr>
            <w:tcW w:w="8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3"/>
              </w:rPr>
              <w:t>Table Total</w:t>
            </w:r>
          </w:p>
        </w:tc>
        <w:tc>
          <w:tcPr>
            <w:tcW w:w="800" w:type="dxa"/>
            <w:vAlign w:val="bottom"/>
          </w:tcPr>
          <w:p>
            <w:pPr>
              <w:jc w:val="right"/>
              <w:ind w:right="18"/>
              <w:spacing w:after="0" w:line="125" w:lineRule="exact"/>
              <w:rPr>
                <w:sz w:val="20"/>
                <w:szCs w:val="20"/>
                <w:color w:val="auto"/>
              </w:rPr>
            </w:pPr>
            <w:r>
              <w:rPr>
                <w:rFonts w:ascii="Times New Roman" w:cs="Times New Roman" w:eastAsia="Times New Roman" w:hAnsi="Times New Roman"/>
                <w:sz w:val="12"/>
                <w:szCs w:val="12"/>
                <w:b w:val="1"/>
                <w:bCs w:val="1"/>
                <w:color w:val="auto"/>
              </w:rPr>
              <w:t>Actually Paid</w:t>
            </w:r>
          </w:p>
        </w:tc>
        <w:tc>
          <w:tcPr>
            <w:tcW w:w="8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0"/>
              </w:rPr>
              <w:t>Table Total</w:t>
            </w:r>
          </w:p>
        </w:tc>
        <w:tc>
          <w:tcPr>
            <w:tcW w:w="8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Actually Paid</w:t>
            </w:r>
          </w:p>
        </w:tc>
        <w:tc>
          <w:tcPr>
            <w:tcW w:w="680" w:type="dxa"/>
            <w:vAlign w:val="bottom"/>
          </w:tcPr>
          <w:p>
            <w:pPr>
              <w:ind w:left="80"/>
              <w:spacing w:after="0" w:line="125" w:lineRule="exact"/>
              <w:rPr>
                <w:sz w:val="20"/>
                <w:szCs w:val="20"/>
                <w:color w:val="auto"/>
              </w:rPr>
            </w:pPr>
            <w:r>
              <w:rPr>
                <w:rFonts w:ascii="Times New Roman" w:cs="Times New Roman" w:eastAsia="Times New Roman" w:hAnsi="Times New Roman"/>
                <w:sz w:val="12"/>
                <w:szCs w:val="12"/>
                <w:b w:val="1"/>
                <w:bCs w:val="1"/>
                <w:color w:val="auto"/>
              </w:rPr>
              <w:t>Company</w:t>
            </w:r>
          </w:p>
        </w:tc>
        <w:tc>
          <w:tcPr>
            <w:tcW w:w="7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6"/>
              </w:rPr>
              <w:t>Restaurants</w:t>
            </w:r>
          </w:p>
        </w:tc>
        <w:tc>
          <w:tcPr>
            <w:tcW w:w="760" w:type="dxa"/>
            <w:vAlign w:val="bottom"/>
          </w:tcPr>
          <w:p>
            <w:pPr>
              <w:jc w:val="right"/>
              <w:ind w:right="237"/>
              <w:spacing w:after="0" w:line="125" w:lineRule="exact"/>
              <w:rPr>
                <w:sz w:val="20"/>
                <w:szCs w:val="20"/>
                <w:color w:val="auto"/>
              </w:rPr>
            </w:pPr>
            <w:r>
              <w:rPr>
                <w:rFonts w:ascii="Times New Roman" w:cs="Times New Roman" w:eastAsia="Times New Roman" w:hAnsi="Times New Roman"/>
                <w:sz w:val="12"/>
                <w:szCs w:val="12"/>
                <w:b w:val="1"/>
                <w:bCs w:val="1"/>
                <w:color w:val="auto"/>
              </w:rPr>
              <w:t>Net</w:t>
            </w:r>
          </w:p>
        </w:tc>
        <w:tc>
          <w:tcPr>
            <w:tcW w:w="920" w:type="dxa"/>
            <w:vAlign w:val="bottom"/>
          </w:tcPr>
          <w:p>
            <w:pPr>
              <w:jc w:val="right"/>
              <w:ind w:right="177"/>
              <w:spacing w:after="0" w:line="125"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0" w:type="dxa"/>
            <w:vAlign w:val="bottom"/>
          </w:tcPr>
          <w:p>
            <w:pPr>
              <w:spacing w:after="0"/>
              <w:rPr>
                <w:sz w:val="1"/>
                <w:szCs w:val="1"/>
                <w:color w:val="auto"/>
              </w:rPr>
            </w:pPr>
          </w:p>
        </w:tc>
      </w:tr>
      <w:tr>
        <w:trPr>
          <w:trHeight w:val="125"/>
        </w:trPr>
        <w:tc>
          <w:tcPr>
            <w:tcW w:w="540" w:type="dxa"/>
            <w:vAlign w:val="bottom"/>
          </w:tcPr>
          <w:p>
            <w:pPr>
              <w:spacing w:after="0"/>
              <w:rPr>
                <w:sz w:val="10"/>
                <w:szCs w:val="10"/>
                <w:color w:val="auto"/>
              </w:rPr>
            </w:pPr>
          </w:p>
        </w:tc>
        <w:tc>
          <w:tcPr>
            <w:tcW w:w="860" w:type="dxa"/>
            <w:vAlign w:val="bottom"/>
          </w:tcPr>
          <w:p>
            <w:pPr>
              <w:jc w:val="center"/>
              <w:ind w:left="19"/>
              <w:spacing w:after="0" w:line="125" w:lineRule="exact"/>
              <w:rPr>
                <w:sz w:val="20"/>
                <w:szCs w:val="20"/>
                <w:color w:val="auto"/>
              </w:rPr>
            </w:pPr>
            <w:r>
              <w:rPr>
                <w:rFonts w:ascii="Times New Roman" w:cs="Times New Roman" w:eastAsia="Times New Roman" w:hAnsi="Times New Roman"/>
                <w:sz w:val="12"/>
                <w:szCs w:val="12"/>
                <w:b w:val="1"/>
                <w:bCs w:val="1"/>
                <w:color w:val="auto"/>
                <w:w w:val="97"/>
              </w:rPr>
              <w:t>PEO1</w:t>
            </w:r>
          </w:p>
        </w:tc>
        <w:tc>
          <w:tcPr>
            <w:tcW w:w="7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PEO1</w:t>
            </w:r>
          </w:p>
        </w:tc>
        <w:tc>
          <w:tcPr>
            <w:tcW w:w="8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PEO2</w:t>
            </w:r>
          </w:p>
        </w:tc>
        <w:tc>
          <w:tcPr>
            <w:tcW w:w="80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7"/>
              </w:rPr>
              <w:t>PEO2</w:t>
            </w:r>
          </w:p>
        </w:tc>
        <w:tc>
          <w:tcPr>
            <w:tcW w:w="8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8"/>
              </w:rPr>
              <w:t>Non-PEO NEO</w:t>
            </w:r>
          </w:p>
        </w:tc>
        <w:tc>
          <w:tcPr>
            <w:tcW w:w="8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6"/>
              </w:rPr>
              <w:t>Non-PEO NEO</w:t>
            </w:r>
          </w:p>
        </w:tc>
        <w:tc>
          <w:tcPr>
            <w:tcW w:w="680" w:type="dxa"/>
            <w:vAlign w:val="bottom"/>
          </w:tcPr>
          <w:p>
            <w:pPr>
              <w:jc w:val="right"/>
              <w:ind w:right="98"/>
              <w:spacing w:after="0" w:line="125" w:lineRule="exact"/>
              <w:rPr>
                <w:sz w:val="20"/>
                <w:szCs w:val="20"/>
                <w:color w:val="auto"/>
              </w:rPr>
            </w:pPr>
            <w:r>
              <w:rPr>
                <w:rFonts w:ascii="Times New Roman" w:cs="Times New Roman" w:eastAsia="Times New Roman" w:hAnsi="Times New Roman"/>
                <w:sz w:val="12"/>
                <w:szCs w:val="12"/>
                <w:b w:val="1"/>
                <w:bCs w:val="1"/>
                <w:color w:val="auto"/>
              </w:rPr>
              <w:t>TSR (3)</w:t>
            </w:r>
          </w:p>
        </w:tc>
        <w:tc>
          <w:tcPr>
            <w:tcW w:w="7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9"/>
              </w:rPr>
              <w:t>TSR (4)</w:t>
            </w:r>
          </w:p>
        </w:tc>
        <w:tc>
          <w:tcPr>
            <w:tcW w:w="760" w:type="dxa"/>
            <w:vAlign w:val="bottom"/>
          </w:tcPr>
          <w:p>
            <w:pPr>
              <w:jc w:val="right"/>
              <w:ind w:right="137"/>
              <w:spacing w:after="0" w:line="125" w:lineRule="exact"/>
              <w:rPr>
                <w:sz w:val="20"/>
                <w:szCs w:val="20"/>
                <w:color w:val="auto"/>
              </w:rPr>
            </w:pPr>
            <w:r>
              <w:rPr>
                <w:rFonts w:ascii="Times New Roman" w:cs="Times New Roman" w:eastAsia="Times New Roman" w:hAnsi="Times New Roman"/>
                <w:sz w:val="12"/>
                <w:szCs w:val="12"/>
                <w:b w:val="1"/>
                <w:bCs w:val="1"/>
                <w:color w:val="auto"/>
              </w:rPr>
              <w:t>Income</w:t>
            </w:r>
          </w:p>
        </w:tc>
        <w:tc>
          <w:tcPr>
            <w:tcW w:w="920" w:type="dxa"/>
            <w:vAlign w:val="bottom"/>
          </w:tcPr>
          <w:p>
            <w:pPr>
              <w:jc w:val="right"/>
              <w:ind w:right="177"/>
              <w:spacing w:after="0" w:line="125" w:lineRule="exact"/>
              <w:rPr>
                <w:sz w:val="20"/>
                <w:szCs w:val="20"/>
                <w:color w:val="auto"/>
              </w:rPr>
            </w:pPr>
            <w:r>
              <w:rPr>
                <w:rFonts w:ascii="Times New Roman" w:cs="Times New Roman" w:eastAsia="Times New Roman" w:hAnsi="Times New Roman"/>
                <w:sz w:val="12"/>
                <w:szCs w:val="12"/>
                <w:b w:val="1"/>
                <w:bCs w:val="1"/>
                <w:color w:val="auto"/>
              </w:rPr>
              <w:t>EBITDA</w:t>
            </w:r>
          </w:p>
        </w:tc>
        <w:tc>
          <w:tcPr>
            <w:tcW w:w="0" w:type="dxa"/>
            <w:vAlign w:val="bottom"/>
          </w:tcPr>
          <w:p>
            <w:pPr>
              <w:spacing w:after="0"/>
              <w:rPr>
                <w:sz w:val="1"/>
                <w:szCs w:val="1"/>
                <w:color w:val="auto"/>
              </w:rPr>
            </w:pPr>
          </w:p>
        </w:tc>
      </w:tr>
      <w:tr>
        <w:trPr>
          <w:trHeight w:val="148"/>
        </w:trPr>
        <w:tc>
          <w:tcPr>
            <w:tcW w:w="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Year</w:t>
            </w:r>
          </w:p>
        </w:tc>
        <w:tc>
          <w:tcPr>
            <w:tcW w:w="8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($)(1)</w:t>
            </w:r>
          </w:p>
        </w:tc>
        <w:tc>
          <w:tcPr>
            <w:tcW w:w="7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($)(1,2)</w:t>
            </w:r>
          </w:p>
        </w:tc>
        <w:tc>
          <w:tcPr>
            <w:tcW w:w="8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($)(1)</w:t>
            </w:r>
          </w:p>
        </w:tc>
        <w:tc>
          <w:tcPr>
            <w:tcW w:w="8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rPr>
              <w:t>($)(1,2)</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($)(1)</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($)(1,2)</w:t>
            </w:r>
          </w:p>
        </w:tc>
        <w:tc>
          <w:tcPr>
            <w:tcW w:w="6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 thousands)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 thousands) (5)</w:t>
            </w:r>
          </w:p>
        </w:tc>
        <w:tc>
          <w:tcPr>
            <w:tcW w:w="0" w:type="dxa"/>
            <w:vAlign w:val="bottom"/>
          </w:tcPr>
          <w:p>
            <w:pPr>
              <w:spacing w:after="0"/>
              <w:rPr>
                <w:sz w:val="1"/>
                <w:szCs w:val="1"/>
                <w:color w:val="auto"/>
              </w:rPr>
            </w:pPr>
          </w:p>
        </w:tc>
      </w:tr>
      <w:tr>
        <w:trPr>
          <w:trHeight w:val="137"/>
        </w:trPr>
        <w:tc>
          <w:tcPr>
            <w:tcW w:w="54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2023</w:t>
            </w:r>
          </w:p>
        </w:tc>
        <w:tc>
          <w:tcPr>
            <w:tcW w:w="8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3,161,265</w:t>
            </w:r>
          </w:p>
        </w:tc>
        <w:tc>
          <w:tcPr>
            <w:tcW w:w="7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389,246</w:t>
            </w: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983,361</w:t>
            </w: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983,009</w:t>
            </w:r>
          </w:p>
        </w:tc>
        <w:tc>
          <w:tcPr>
            <w:tcW w:w="8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1,359,787</w:t>
            </w:r>
          </w:p>
        </w:tc>
        <w:tc>
          <w:tcPr>
            <w:tcW w:w="8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1,331,336</w:t>
            </w: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60</w:t>
            </w:r>
          </w:p>
        </w:tc>
        <w:tc>
          <w:tcPr>
            <w:tcW w:w="7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154</w:t>
            </w:r>
          </w:p>
        </w:tc>
        <w:tc>
          <w:tcPr>
            <w:tcW w:w="7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25,554</w:t>
            </w: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57,356</w:t>
            </w:r>
          </w:p>
        </w:tc>
        <w:tc>
          <w:tcPr>
            <w:tcW w:w="0" w:type="dxa"/>
            <w:vAlign w:val="bottom"/>
          </w:tcPr>
          <w:p>
            <w:pPr>
              <w:spacing w:after="0"/>
              <w:rPr>
                <w:sz w:val="1"/>
                <w:szCs w:val="1"/>
                <w:color w:val="auto"/>
              </w:rPr>
            </w:pPr>
          </w:p>
        </w:tc>
      </w:tr>
      <w:tr>
        <w:trPr>
          <w:trHeight w:val="137"/>
        </w:trPr>
        <w:tc>
          <w:tcPr>
            <w:tcW w:w="54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auto"/>
              </w:rPr>
              <w:t>2022</w:t>
            </w:r>
          </w:p>
        </w:tc>
        <w:tc>
          <w:tcPr>
            <w:tcW w:w="8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1,744,863</w:t>
            </w:r>
          </w:p>
        </w:tc>
        <w:tc>
          <w:tcPr>
            <w:tcW w:w="7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1,274,565</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699,093</w:t>
            </w:r>
          </w:p>
        </w:tc>
        <w:tc>
          <w:tcPr>
            <w:tcW w:w="8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73,571</w:t>
            </w:r>
          </w:p>
        </w:tc>
        <w:tc>
          <w:tcPr>
            <w:tcW w:w="6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66</w:t>
            </w:r>
          </w:p>
        </w:tc>
        <w:tc>
          <w:tcPr>
            <w:tcW w:w="7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133</w:t>
            </w:r>
          </w:p>
        </w:tc>
        <w:tc>
          <w:tcPr>
            <w:tcW w:w="7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20,801</w:t>
            </w:r>
          </w:p>
        </w:tc>
        <w:tc>
          <w:tcPr>
            <w:tcW w:w="9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48,676</w:t>
            </w:r>
          </w:p>
        </w:tc>
        <w:tc>
          <w:tcPr>
            <w:tcW w:w="0" w:type="dxa"/>
            <w:vAlign w:val="bottom"/>
          </w:tcPr>
          <w:p>
            <w:pPr>
              <w:spacing w:after="0"/>
              <w:rPr>
                <w:sz w:val="1"/>
                <w:szCs w:val="1"/>
                <w:color w:val="auto"/>
              </w:rPr>
            </w:pPr>
          </w:p>
        </w:tc>
      </w:tr>
      <w:tr>
        <w:trPr>
          <w:trHeight w:val="137"/>
        </w:trPr>
        <w:tc>
          <w:tcPr>
            <w:tcW w:w="54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2021</w:t>
            </w:r>
          </w:p>
        </w:tc>
        <w:tc>
          <w:tcPr>
            <w:tcW w:w="8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1,499,832</w:t>
            </w:r>
          </w:p>
        </w:tc>
        <w:tc>
          <w:tcPr>
            <w:tcW w:w="7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1,046,794</w:t>
            </w: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1,738,455</w:t>
            </w:r>
          </w:p>
        </w:tc>
        <w:tc>
          <w:tcPr>
            <w:tcW w:w="8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(3,456,667)</w:t>
            </w:r>
          </w:p>
        </w:tc>
        <w:tc>
          <w:tcPr>
            <w:tcW w:w="8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1,107,640</w:t>
            </w:r>
          </w:p>
        </w:tc>
        <w:tc>
          <w:tcPr>
            <w:tcW w:w="8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705,482</w:t>
            </w: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93</w:t>
            </w:r>
          </w:p>
        </w:tc>
        <w:tc>
          <w:tcPr>
            <w:tcW w:w="7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146</w:t>
            </w:r>
          </w:p>
        </w:tc>
        <w:tc>
          <w:tcPr>
            <w:tcW w:w="7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29,121</w:t>
            </w:r>
          </w:p>
        </w:tc>
        <w:tc>
          <w:tcPr>
            <w:tcW w:w="9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63,395</w:t>
            </w:r>
          </w:p>
        </w:tc>
        <w:tc>
          <w:tcPr>
            <w:tcW w:w="0" w:type="dxa"/>
            <w:vAlign w:val="bottom"/>
          </w:tcPr>
          <w:p>
            <w:pPr>
              <w:spacing w:after="0"/>
              <w:rPr>
                <w:sz w:val="1"/>
                <w:szCs w:val="1"/>
                <w:color w:val="auto"/>
              </w:rPr>
            </w:pPr>
          </w:p>
        </w:tc>
      </w:tr>
      <w:tr>
        <w:trPr>
          <w:trHeight w:val="173"/>
        </w:trPr>
        <w:tc>
          <w:tcPr>
            <w:tcW w:w="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2020</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2,011,266</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2,941,145</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1,156,719</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1,079,739</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24,474</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61,595</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200"/>
        <w:spacing w:after="0"/>
        <w:tabs>
          <w:tab w:leader="none" w:pos="480" w:val="left"/>
        </w:tabs>
        <w:rPr>
          <w:sz w:val="20"/>
          <w:szCs w:val="20"/>
          <w:color w:val="auto"/>
        </w:rPr>
      </w:pPr>
      <w:r>
        <w:rPr>
          <w:rFonts w:ascii="Times New Roman" w:cs="Times New Roman" w:eastAsia="Times New Roman" w:hAnsi="Times New Roman"/>
          <w:sz w:val="15"/>
          <w:szCs w:val="15"/>
          <w:color w:val="auto"/>
        </w:rPr>
        <w:t>(1)</w:t>
        <w:tab/>
        <w:t>The executive officers included in the table above are noted below:</w:t>
      </w:r>
    </w:p>
    <w:p>
      <w:pPr>
        <w:spacing w:after="0" w:line="307"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72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Year</w:t>
            </w:r>
          </w:p>
        </w:tc>
        <w:tc>
          <w:tcPr>
            <w:tcW w:w="16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PEO1</w:t>
            </w:r>
          </w:p>
        </w:tc>
        <w:tc>
          <w:tcPr>
            <w:tcW w:w="21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PEO2</w:t>
            </w:r>
          </w:p>
        </w:tc>
        <w:tc>
          <w:tcPr>
            <w:tcW w:w="40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NEO</w:t>
            </w:r>
          </w:p>
        </w:tc>
      </w:tr>
      <w:tr>
        <w:trPr>
          <w:trHeight w:val="200"/>
        </w:trPr>
        <w:tc>
          <w:tcPr>
            <w:tcW w:w="7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2023</w:t>
            </w:r>
          </w:p>
        </w:tc>
        <w:tc>
          <w:tcPr>
            <w:tcW w:w="2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 Roberts</w:t>
            </w:r>
          </w:p>
        </w:tc>
        <w:tc>
          <w:tcPr>
            <w:tcW w:w="20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 Hollandsworth</w:t>
            </w:r>
          </w:p>
        </w:tc>
        <w:tc>
          <w:tcPr>
            <w:tcW w:w="200" w:type="dxa"/>
            <w:vAlign w:val="bottom"/>
            <w:tcBorders>
              <w:top w:val="single" w:sz="8" w:color="CCEEFF"/>
            </w:tcBorders>
            <w:shd w:val="clear" w:color="auto" w:fill="CCEEFF"/>
          </w:tcPr>
          <w:p>
            <w:pPr>
              <w:spacing w:after="0"/>
              <w:rPr>
                <w:sz w:val="17"/>
                <w:szCs w:val="17"/>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 Fils</w:t>
            </w:r>
          </w:p>
        </w:tc>
      </w:tr>
      <w:tr>
        <w:trPr>
          <w:trHeight w:val="200"/>
        </w:trPr>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2022</w:t>
            </w: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L. Roberts</w:t>
            </w: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 Fils, M. Hollandsworth, M. Lozano</w:t>
            </w:r>
          </w:p>
        </w:tc>
      </w:tr>
      <w:tr>
        <w:trPr>
          <w:trHeight w:val="200"/>
        </w:trPr>
        <w:tc>
          <w:tcPr>
            <w:tcW w:w="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2021</w:t>
            </w:r>
          </w:p>
        </w:tc>
        <w:tc>
          <w:tcPr>
            <w:tcW w:w="1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 Roberts</w:t>
            </w:r>
          </w:p>
        </w:tc>
        <w:tc>
          <w:tcPr>
            <w:tcW w:w="2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 Acoca</w:t>
            </w:r>
          </w:p>
        </w:tc>
        <w:tc>
          <w:tcPr>
            <w:tcW w:w="4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 Lozano</w:t>
            </w:r>
          </w:p>
        </w:tc>
      </w:tr>
      <w:tr>
        <w:trPr>
          <w:trHeight w:val="216"/>
        </w:trPr>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2020</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B. Acoca</w:t>
            </w:r>
          </w:p>
        </w:tc>
        <w:tc>
          <w:tcPr>
            <w:tcW w:w="4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 Lozano, L. Roberts</w:t>
            </w:r>
          </w:p>
        </w:tc>
      </w:tr>
    </w:tbl>
    <w:p>
      <w:pPr>
        <w:spacing w:after="0" w:line="21" w:lineRule="exact"/>
        <w:rPr>
          <w:sz w:val="20"/>
          <w:szCs w:val="20"/>
          <w:color w:val="auto"/>
        </w:rPr>
      </w:pPr>
    </w:p>
    <w:p>
      <w:pPr>
        <w:jc w:val="both"/>
        <w:ind w:left="500" w:right="219" w:hanging="297"/>
        <w:spacing w:after="0" w:line="270" w:lineRule="auto"/>
        <w:tabs>
          <w:tab w:leader="none" w:pos="50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dollar amounts reported in the Compensation Actually Paid columns (CAP) are calculated in accordance with Item 402(v) of Regulation S-K. The fair value or change in fair value, as applicable, of equity awards included in such calculations was computed in accordance with FASB ASC Topic 718. The following adjustments were made to Summary Compensation Table total compensation for each year to determine Compensation Actually Paid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181610</wp:posOffset>
            </wp:positionV>
            <wp:extent cx="316674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166745" cy="7620"/>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Adjustments</w:t>
      </w:r>
    </w:p>
    <w:p>
      <w:pPr>
        <w:spacing w:after="0" w:line="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Summary</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Compensation Table</w:t>
      </w:r>
    </w:p>
    <w:p>
      <w:pPr>
        <w:ind w:left="200"/>
        <w:spacing w:after="0"/>
        <w:rPr>
          <w:sz w:val="20"/>
          <w:szCs w:val="20"/>
          <w:color w:val="auto"/>
        </w:rPr>
      </w:pPr>
      <w:r>
        <w:rPr>
          <w:rFonts w:ascii="Times New Roman" w:cs="Times New Roman" w:eastAsia="Times New Roman" w:hAnsi="Times New Roman"/>
          <w:sz w:val="12"/>
          <w:szCs w:val="12"/>
          <w:b w:val="1"/>
          <w:bCs w:val="1"/>
          <w:color w:val="auto"/>
        </w:rPr>
        <w:t>Total ($)</w:t>
      </w:r>
    </w:p>
    <w:p>
      <w:pPr>
        <w:ind w:left="200"/>
        <w:spacing w:after="0"/>
        <w:rPr>
          <w:sz w:val="20"/>
          <w:szCs w:val="20"/>
          <w:color w:val="auto"/>
        </w:rPr>
      </w:pPr>
      <w:r>
        <w:rPr>
          <w:rFonts w:ascii="Times New Roman" w:cs="Times New Roman" w:eastAsia="Times New Roman" w:hAnsi="Times New Roman"/>
          <w:sz w:val="12"/>
          <w:szCs w:val="12"/>
          <w:color w:val="auto"/>
        </w:rPr>
        <w:t>Grant date fair value of equity awards made in the year and reported in the Summary Compensation Table ($) Year-end fair value of awards made in the year that were unvested at the end of the year ($) Change in fair value during the year of awards made in prior years that were unvested at the end of the year ($)</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Change in fair value during the year of awards made in prior years that vested during the year ($) Fair value at the beginning of the year of any awards granted prior years that failed to meet the applicable vesting conditions during the year</w:t>
      </w:r>
    </w:p>
    <w:p>
      <w:pPr>
        <w:spacing w:after="0" w:line="1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Compensation Actually</w:t>
      </w:r>
    </w:p>
    <w:p>
      <w:pPr>
        <w:ind w:left="200"/>
        <w:spacing w:after="0"/>
        <w:rPr>
          <w:sz w:val="20"/>
          <w:szCs w:val="20"/>
          <w:color w:val="auto"/>
        </w:rPr>
      </w:pPr>
      <w:r>
        <w:rPr>
          <w:rFonts w:ascii="Times New Roman" w:cs="Times New Roman" w:eastAsia="Times New Roman" w:hAnsi="Times New Roman"/>
          <w:sz w:val="12"/>
          <w:szCs w:val="12"/>
          <w:b w:val="1"/>
          <w:bCs w:val="1"/>
          <w:color w:val="auto"/>
        </w:rPr>
        <w:t>Paid</w:t>
      </w:r>
    </w:p>
    <w:p>
      <w:pPr>
        <w:ind w:left="200"/>
        <w:spacing w:after="0"/>
        <w:rPr>
          <w:sz w:val="20"/>
          <w:szCs w:val="20"/>
          <w:color w:val="auto"/>
        </w:rPr>
      </w:pPr>
      <w:r>
        <w:rPr>
          <w:rFonts w:ascii="Times New Roman" w:cs="Times New Roman" w:eastAsia="Times New Roman" w:hAnsi="Times New Roman"/>
          <w:sz w:val="12"/>
          <w:szCs w:val="12"/>
          <w:b w:val="1"/>
          <w:bCs w:val="1"/>
          <w:color w:val="auto"/>
        </w:rPr>
        <w:t>("CAP") ($)</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2023</w:t>
            </w:r>
          </w:p>
        </w:tc>
        <w:tc>
          <w:tcPr>
            <w:tcW w:w="7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Borders>
              <w:bottom w:val="single" w:sz="8" w:color="auto"/>
            </w:tcBorders>
            <w:gridSpan w:val="2"/>
          </w:tcPr>
          <w:p>
            <w:pPr>
              <w:jc w:val="right"/>
              <w:ind w:right="558"/>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rPr>
              <w:t>2021</w:t>
            </w:r>
          </w:p>
        </w:tc>
        <w:tc>
          <w:tcPr>
            <w:tcW w:w="7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2020</w:t>
            </w:r>
          </w:p>
        </w:tc>
        <w:tc>
          <w:tcPr>
            <w:tcW w:w="5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780" w:type="dxa"/>
            <w:vAlign w:val="bottom"/>
            <w:vMerge w:val="restart"/>
          </w:tcPr>
          <w:p>
            <w:pPr>
              <w:jc w:val="right"/>
              <w:ind w:right="218"/>
              <w:spacing w:after="0"/>
              <w:rPr>
                <w:sz w:val="20"/>
                <w:szCs w:val="20"/>
                <w:color w:val="auto"/>
              </w:rPr>
            </w:pPr>
            <w:r>
              <w:rPr>
                <w:rFonts w:ascii="Times New Roman" w:cs="Times New Roman" w:eastAsia="Times New Roman" w:hAnsi="Times New Roman"/>
                <w:sz w:val="12"/>
                <w:szCs w:val="12"/>
                <w:b w:val="1"/>
                <w:bCs w:val="1"/>
                <w:color w:val="auto"/>
              </w:rPr>
              <w:t>PEO1</w:t>
            </w:r>
          </w:p>
        </w:tc>
        <w:tc>
          <w:tcPr>
            <w:tcW w:w="600" w:type="dxa"/>
            <w:vAlign w:val="bottom"/>
            <w:vMerge w:val="restart"/>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rPr>
              <w:t>PEO2</w:t>
            </w: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Average NEO</w:t>
            </w:r>
          </w:p>
        </w:tc>
        <w:tc>
          <w:tcPr>
            <w:tcW w:w="700" w:type="dxa"/>
            <w:vAlign w:val="bottom"/>
            <w:vMerge w:val="restart"/>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rPr>
              <w:t>PEO1</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Average NEO</w:t>
            </w:r>
          </w:p>
        </w:tc>
        <w:tc>
          <w:tcPr>
            <w:tcW w:w="740" w:type="dxa"/>
            <w:vAlign w:val="bottom"/>
            <w:vMerge w:val="restart"/>
          </w:tcPr>
          <w:p>
            <w:pPr>
              <w:jc w:val="right"/>
              <w:ind w:right="198"/>
              <w:spacing w:after="0"/>
              <w:rPr>
                <w:sz w:val="20"/>
                <w:szCs w:val="20"/>
                <w:color w:val="auto"/>
              </w:rPr>
            </w:pPr>
            <w:r>
              <w:rPr>
                <w:rFonts w:ascii="Times New Roman" w:cs="Times New Roman" w:eastAsia="Times New Roman" w:hAnsi="Times New Roman"/>
                <w:sz w:val="12"/>
                <w:szCs w:val="12"/>
                <w:b w:val="1"/>
                <w:bCs w:val="1"/>
                <w:color w:val="auto"/>
              </w:rPr>
              <w:t>PEO1</w:t>
            </w:r>
          </w:p>
        </w:tc>
        <w:tc>
          <w:tcPr>
            <w:tcW w:w="660" w:type="dxa"/>
            <w:vAlign w:val="bottom"/>
            <w:vMerge w:val="restart"/>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rPr>
              <w:t>PEO2</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Average NEO</w:t>
            </w:r>
          </w:p>
        </w:tc>
        <w:tc>
          <w:tcPr>
            <w:tcW w:w="820" w:type="dxa"/>
            <w:vAlign w:val="bottom"/>
            <w:vMerge w:val="restart"/>
          </w:tcPr>
          <w:p>
            <w:pPr>
              <w:jc w:val="right"/>
              <w:ind w:right="258"/>
              <w:spacing w:after="0"/>
              <w:rPr>
                <w:sz w:val="20"/>
                <w:szCs w:val="20"/>
                <w:color w:val="auto"/>
              </w:rPr>
            </w:pPr>
            <w:r>
              <w:rPr>
                <w:rFonts w:ascii="Times New Roman" w:cs="Times New Roman" w:eastAsia="Times New Roman" w:hAnsi="Times New Roman"/>
                <w:sz w:val="12"/>
                <w:szCs w:val="12"/>
                <w:b w:val="1"/>
                <w:bCs w:val="1"/>
                <w:color w:val="auto"/>
              </w:rPr>
              <w:t>PEO2</w:t>
            </w:r>
          </w:p>
        </w:tc>
        <w:tc>
          <w:tcPr>
            <w:tcW w:w="560" w:type="dxa"/>
            <w:vAlign w:val="bottom"/>
          </w:tcPr>
          <w:p>
            <w:pPr>
              <w:jc w:val="right"/>
              <w:ind w:right="78"/>
              <w:spacing w:after="0" w:line="107"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0" w:type="dxa"/>
            <w:vAlign w:val="bottom"/>
          </w:tcPr>
          <w:p>
            <w:pPr>
              <w:spacing w:after="0"/>
              <w:rPr>
                <w:sz w:val="1"/>
                <w:szCs w:val="1"/>
                <w:color w:val="auto"/>
              </w:rPr>
            </w:pPr>
          </w:p>
        </w:tc>
      </w:tr>
      <w:tr>
        <w:trPr>
          <w:trHeight w:val="89"/>
        </w:trPr>
        <w:tc>
          <w:tcPr>
            <w:tcW w:w="7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60" w:type="dxa"/>
            <w:vAlign w:val="bottom"/>
            <w:vMerge w:val="restart"/>
          </w:tcPr>
          <w:p>
            <w:pPr>
              <w:jc w:val="right"/>
              <w:ind w:right="158"/>
              <w:spacing w:after="0"/>
              <w:rPr>
                <w:sz w:val="20"/>
                <w:szCs w:val="20"/>
                <w:color w:val="auto"/>
              </w:rPr>
            </w:pPr>
            <w:r>
              <w:rPr>
                <w:rFonts w:ascii="Times New Roman" w:cs="Times New Roman" w:eastAsia="Times New Roman" w:hAnsi="Times New Roman"/>
                <w:sz w:val="12"/>
                <w:szCs w:val="12"/>
                <w:b w:val="1"/>
                <w:bCs w:val="1"/>
                <w:color w:val="auto"/>
              </w:rPr>
              <w:t>NEO</w:t>
            </w:r>
          </w:p>
        </w:tc>
        <w:tc>
          <w:tcPr>
            <w:tcW w:w="0" w:type="dxa"/>
            <w:vAlign w:val="bottom"/>
          </w:tcPr>
          <w:p>
            <w:pPr>
              <w:spacing w:after="0"/>
              <w:rPr>
                <w:sz w:val="1"/>
                <w:szCs w:val="1"/>
                <w:color w:val="auto"/>
              </w:rPr>
            </w:pPr>
          </w:p>
        </w:tc>
      </w:tr>
      <w:tr>
        <w:trPr>
          <w:trHeight w:val="58"/>
        </w:trPr>
        <w:tc>
          <w:tcPr>
            <w:tcW w:w="7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780" w:type="dxa"/>
            <w:vAlign w:val="bottom"/>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3,161,265</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983,361</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1,359,787</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1,744,863</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699,093</w:t>
            </w:r>
          </w:p>
        </w:tc>
        <w:tc>
          <w:tcPr>
            <w:tcW w:w="60" w:type="dxa"/>
            <w:vAlign w:val="bottom"/>
          </w:tcPr>
          <w:p>
            <w:pPr>
              <w:spacing w:after="0"/>
              <w:rPr>
                <w:sz w:val="24"/>
                <w:szCs w:val="24"/>
                <w:color w:val="auto"/>
              </w:rPr>
            </w:pP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1,499,832</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1,738,455</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1,107,640</w:t>
            </w:r>
          </w:p>
        </w:tc>
        <w:tc>
          <w:tcPr>
            <w:tcW w:w="60" w:type="dxa"/>
            <w:vAlign w:val="bottom"/>
          </w:tcPr>
          <w:p>
            <w:pPr>
              <w:spacing w:after="0"/>
              <w:rPr>
                <w:sz w:val="24"/>
                <w:szCs w:val="24"/>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2,011,266</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1,156,719</w:t>
            </w:r>
          </w:p>
        </w:tc>
        <w:tc>
          <w:tcPr>
            <w:tcW w:w="0" w:type="dxa"/>
            <w:vAlign w:val="bottom"/>
          </w:tcPr>
          <w:p>
            <w:pPr>
              <w:spacing w:after="0"/>
              <w:rPr>
                <w:sz w:val="1"/>
                <w:szCs w:val="1"/>
                <w:color w:val="auto"/>
              </w:rPr>
            </w:pPr>
          </w:p>
        </w:tc>
      </w:tr>
      <w:tr>
        <w:trPr>
          <w:trHeight w:val="550"/>
        </w:trPr>
        <w:tc>
          <w:tcPr>
            <w:tcW w:w="78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(1,600,000)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(450,000)</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(810,000)</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(700,000)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(1,000,000)</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(625,019)</w:t>
            </w:r>
          </w:p>
        </w:tc>
        <w:tc>
          <w:tcPr>
            <w:tcW w:w="0" w:type="dxa"/>
            <w:vAlign w:val="bottom"/>
          </w:tcPr>
          <w:p>
            <w:pPr>
              <w:spacing w:after="0"/>
              <w:rPr>
                <w:sz w:val="1"/>
                <w:szCs w:val="1"/>
                <w:color w:val="auto"/>
              </w:rPr>
            </w:pPr>
          </w:p>
        </w:tc>
      </w:tr>
      <w:tr>
        <w:trPr>
          <w:trHeight w:val="612"/>
        </w:trPr>
        <w:tc>
          <w:tcPr>
            <w:tcW w:w="78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456,932</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829,142</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950,717</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192,467</w:t>
            </w:r>
          </w:p>
        </w:tc>
        <w:tc>
          <w:tcPr>
            <w:tcW w:w="60" w:type="dxa"/>
            <w:vAlign w:val="bottom"/>
          </w:tcPr>
          <w:p>
            <w:pPr>
              <w:spacing w:after="0"/>
              <w:rPr>
                <w:sz w:val="24"/>
                <w:szCs w:val="24"/>
                <w:color w:val="auto"/>
              </w:rPr>
            </w:pP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553,406</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367,190</w:t>
            </w:r>
          </w:p>
        </w:tc>
        <w:tc>
          <w:tcPr>
            <w:tcW w:w="60" w:type="dxa"/>
            <w:vAlign w:val="bottom"/>
          </w:tcPr>
          <w:p>
            <w:pPr>
              <w:spacing w:after="0"/>
              <w:rPr>
                <w:sz w:val="24"/>
                <w:szCs w:val="24"/>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1,452,706</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907,932</w:t>
            </w:r>
          </w:p>
        </w:tc>
        <w:tc>
          <w:tcPr>
            <w:tcW w:w="0" w:type="dxa"/>
            <w:vAlign w:val="bottom"/>
          </w:tcPr>
          <w:p>
            <w:pPr>
              <w:spacing w:after="0"/>
              <w:rPr>
                <w:sz w:val="1"/>
                <w:szCs w:val="1"/>
                <w:color w:val="auto"/>
              </w:rPr>
            </w:pPr>
          </w:p>
        </w:tc>
      </w:tr>
      <w:tr>
        <w:trPr>
          <w:trHeight w:val="625"/>
        </w:trPr>
        <w:tc>
          <w:tcPr>
            <w:tcW w:w="78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(45,722)</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(230,513)</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(292,071)</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(249,235)</w:t>
            </w:r>
          </w:p>
        </w:tc>
        <w:tc>
          <w:tcPr>
            <w:tcW w:w="60" w:type="dxa"/>
            <w:vAlign w:val="bottom"/>
          </w:tcPr>
          <w:p>
            <w:pPr>
              <w:spacing w:after="0"/>
              <w:rPr>
                <w:sz w:val="24"/>
                <w:szCs w:val="24"/>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582,806</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152,122</w:t>
            </w:r>
          </w:p>
        </w:tc>
        <w:tc>
          <w:tcPr>
            <w:tcW w:w="0" w:type="dxa"/>
            <w:vAlign w:val="bottom"/>
          </w:tcPr>
          <w:p>
            <w:pPr>
              <w:spacing w:after="0"/>
              <w:rPr>
                <w:sz w:val="1"/>
                <w:szCs w:val="1"/>
                <w:color w:val="auto"/>
              </w:rPr>
            </w:pPr>
          </w:p>
        </w:tc>
      </w:tr>
      <w:tr>
        <w:trPr>
          <w:trHeight w:val="612"/>
        </w:trPr>
        <w:tc>
          <w:tcPr>
            <w:tcW w:w="78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(118,900)</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(7,284)</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(1,872)</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(190,502)</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(31,486)</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(14,373)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(63,346)</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(20,113)</w:t>
            </w:r>
          </w:p>
        </w:tc>
        <w:tc>
          <w:tcPr>
            <w:tcW w:w="60" w:type="dxa"/>
            <w:vAlign w:val="bottom"/>
          </w:tcPr>
          <w:p>
            <w:pPr>
              <w:spacing w:after="0"/>
              <w:rPr>
                <w:sz w:val="24"/>
                <w:szCs w:val="24"/>
                <w:color w:val="auto"/>
              </w:rPr>
            </w:pPr>
          </w:p>
        </w:tc>
        <w:tc>
          <w:tcPr>
            <w:tcW w:w="8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(105,632)</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(8,950)</w:t>
            </w:r>
          </w:p>
        </w:tc>
        <w:tc>
          <w:tcPr>
            <w:tcW w:w="0" w:type="dxa"/>
            <w:vAlign w:val="bottom"/>
          </w:tcPr>
          <w:p>
            <w:pPr>
              <w:spacing w:after="0"/>
              <w:rPr>
                <w:sz w:val="1"/>
                <w:szCs w:val="1"/>
                <w:color w:val="auto"/>
              </w:rPr>
            </w:pPr>
          </w:p>
        </w:tc>
      </w:tr>
      <w:tr>
        <w:trPr>
          <w:trHeight w:val="762"/>
        </w:trPr>
        <w:tc>
          <w:tcPr>
            <w:tcW w:w="78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(1,053,120)</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(436,502)</w:t>
            </w:r>
          </w:p>
        </w:tc>
        <w:tc>
          <w:tcPr>
            <w:tcW w:w="60" w:type="dxa"/>
            <w:vAlign w:val="bottom"/>
          </w:tcPr>
          <w:p>
            <w:pPr>
              <w:spacing w:after="0"/>
              <w:rPr>
                <w:sz w:val="24"/>
                <w:szCs w:val="24"/>
                <w:color w:val="auto"/>
              </w:rPr>
            </w:pP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12"/>
                <w:szCs w:val="12"/>
                <w:color w:val="auto"/>
              </w:rPr>
              <w:t>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(4,131,776)</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60" w:type="dxa"/>
            <w:vAlign w:val="bottom"/>
          </w:tcPr>
          <w:p>
            <w:pPr>
              <w:spacing w:after="0"/>
              <w:rPr>
                <w:sz w:val="24"/>
                <w:szCs w:val="24"/>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(503,065)</w:t>
            </w:r>
          </w:p>
        </w:tc>
        <w:tc>
          <w:tcPr>
            <w:tcW w:w="0" w:type="dxa"/>
            <w:vAlign w:val="bottom"/>
          </w:tcPr>
          <w:p>
            <w:pPr>
              <w:spacing w:after="0"/>
              <w:rPr>
                <w:sz w:val="1"/>
                <w:szCs w:val="1"/>
                <w:color w:val="auto"/>
              </w:rPr>
            </w:pPr>
          </w:p>
        </w:tc>
      </w:tr>
      <w:tr>
        <w:trPr>
          <w:trHeight w:val="687"/>
        </w:trPr>
        <w:tc>
          <w:tcPr>
            <w:tcW w:w="780" w:type="dxa"/>
            <w:vAlign w:val="bottom"/>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389,246</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983,009</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1,331,336</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1,274,565</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73,571</w:t>
            </w:r>
          </w:p>
        </w:tc>
        <w:tc>
          <w:tcPr>
            <w:tcW w:w="60" w:type="dxa"/>
            <w:vAlign w:val="bottom"/>
          </w:tcPr>
          <w:p>
            <w:pPr>
              <w:spacing w:after="0"/>
              <w:rPr>
                <w:sz w:val="24"/>
                <w:szCs w:val="24"/>
                <w:color w:val="auto"/>
              </w:rPr>
            </w:pP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1,046,794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(3,456,667)</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1,205,482</w:t>
            </w:r>
          </w:p>
        </w:tc>
        <w:tc>
          <w:tcPr>
            <w:tcW w:w="60" w:type="dxa"/>
            <w:vAlign w:val="bottom"/>
          </w:tcPr>
          <w:p>
            <w:pPr>
              <w:spacing w:after="0"/>
              <w:rPr>
                <w:sz w:val="24"/>
                <w:szCs w:val="24"/>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2,941,145</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1,079,739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-1927860</wp:posOffset>
            </wp:positionV>
            <wp:extent cx="5499735" cy="3492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5499735" cy="349250"/>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-1142365</wp:posOffset>
            </wp:positionV>
            <wp:extent cx="5499735" cy="3492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5499735" cy="349250"/>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-182245</wp:posOffset>
            </wp:positionV>
            <wp:extent cx="5499735" cy="261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5499735" cy="261620"/>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-2642235</wp:posOffset>
            </wp:positionV>
            <wp:extent cx="5499735" cy="2774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499735" cy="2774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80" w:space="80"/>
            <w:col w:w="7459"/>
          </w:cols>
          <w:pgMar w:left="1440" w:top="623" w:right="1440" w:bottom="1440" w:gutter="0" w:footer="0" w:header="0"/>
          <w:type w:val="continuous"/>
        </w:sectPr>
      </w:pPr>
    </w:p>
    <w:p>
      <w:pPr>
        <w:ind w:left="500" w:hanging="297"/>
        <w:spacing w:after="0"/>
        <w:tabs>
          <w:tab w:leader="none" w:pos="5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TSR (Total Shareholder Return) is calculated in accordance with Item 402(v) of Regulation S-K.</w:t>
      </w:r>
    </w:p>
    <w:p>
      <w:pPr>
        <w:spacing w:after="0" w:line="200" w:lineRule="exact"/>
        <w:rPr>
          <w:rFonts w:ascii="Times New Roman" w:cs="Times New Roman" w:eastAsia="Times New Roman" w:hAnsi="Times New Roman"/>
          <w:sz w:val="14"/>
          <w:szCs w:val="14"/>
          <w:color w:val="auto"/>
        </w:rPr>
      </w:pPr>
    </w:p>
    <w:p>
      <w:pPr>
        <w:spacing w:after="0" w:line="272" w:lineRule="exact"/>
        <w:rPr>
          <w:rFonts w:ascii="Times New Roman" w:cs="Times New Roman" w:eastAsia="Times New Roman" w:hAnsi="Times New Roman"/>
          <w:sz w:val="14"/>
          <w:szCs w:val="14"/>
          <w:color w:val="auto"/>
        </w:rPr>
      </w:pPr>
    </w:p>
    <w:p>
      <w:pPr>
        <w:ind w:left="4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type w:val="continuous"/>
        </w:sectPr>
      </w:pPr>
    </w:p>
    <w:bookmarkStart w:id="62" w:name="page63"/>
    <w:bookmarkEnd w:id="62"/>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500" w:right="219" w:hanging="297"/>
        <w:spacing w:after="0" w:line="275" w:lineRule="auto"/>
        <w:tabs>
          <w:tab w:leader="none" w:pos="50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Refers to the S&amp;P 1500 Restaurant Index included in “Item 5. Market for Registrant’s Common Equity, Related Stockholder Matters and Issuer Purchases of Equity Securities-Stock Performance Graph” in the Company’s Annual Report on Form 10-K for the fiscal year ended December 27, 2023.</w:t>
      </w:r>
    </w:p>
    <w:p>
      <w:pPr>
        <w:spacing w:after="0" w:line="19" w:lineRule="exact"/>
        <w:rPr>
          <w:rFonts w:ascii="Times New Roman" w:cs="Times New Roman" w:eastAsia="Times New Roman" w:hAnsi="Times New Roman"/>
          <w:sz w:val="15"/>
          <w:szCs w:val="15"/>
          <w:color w:val="auto"/>
        </w:rPr>
      </w:pPr>
    </w:p>
    <w:p>
      <w:pPr>
        <w:ind w:left="500" w:hanging="297"/>
        <w:spacing w:after="0"/>
        <w:tabs>
          <w:tab w:leader="none" w:pos="50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EBITDA is defined below in (Appendix A: "Definition of Non-GAAP and other Key Financial Measures").</w:t>
      </w: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Analysis of Relationship of Compensation Actually Paid and Performance</w:t>
      </w:r>
    </w:p>
    <w:p>
      <w:pPr>
        <w:spacing w:after="0" w:line="208"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The charts below represent the relationship between the CAP of our PEO and average NEO with the Company’s TSR, net income, and Adjusted EBITDA (1). For purposes of these analyses, the PEO in 2023, 2022, and 2021 is Mr. Roberts, and the PEO in 2020 is Mr. Acoca. The NEOs are as listed in note 1 to the Pay versus Performance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118110</wp:posOffset>
            </wp:positionV>
            <wp:extent cx="4841240" cy="32619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4841240" cy="3261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292"/>
        <w:spacing w:after="0"/>
        <w:tabs>
          <w:tab w:leader="none" w:pos="8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 Adjusted EBITDA, and Net Income are in USD millions. TSR is a percentage.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4" w:lineRule="exact"/>
        <w:rPr>
          <w:rFonts w:ascii="Times New Roman" w:cs="Times New Roman" w:eastAsia="Times New Roman" w:hAnsi="Times New Roman"/>
          <w:sz w:val="17"/>
          <w:szCs w:val="17"/>
          <w:color w:val="auto"/>
        </w:rPr>
      </w:pPr>
    </w:p>
    <w:p>
      <w:pPr>
        <w:ind w:left="4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63" w:name="page64"/>
    <w:bookmarkEnd w:id="63"/>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208" w:lineRule="exact"/>
        <w:rPr>
          <w:sz w:val="20"/>
          <w:szCs w:val="20"/>
          <w:color w:val="auto"/>
        </w:rPr>
      </w:pPr>
    </w:p>
    <w:p>
      <w:pPr>
        <w:jc w:val="both"/>
        <w:ind w:left="200" w:right="299"/>
        <w:spacing w:after="0" w:line="254" w:lineRule="auto"/>
        <w:rPr>
          <w:sz w:val="20"/>
          <w:szCs w:val="20"/>
          <w:color w:val="auto"/>
        </w:rPr>
      </w:pPr>
      <w:r>
        <w:rPr>
          <w:rFonts w:ascii="Times New Roman" w:cs="Times New Roman" w:eastAsia="Times New Roman" w:hAnsi="Times New Roman"/>
          <w:sz w:val="17"/>
          <w:szCs w:val="17"/>
          <w:color w:val="auto"/>
        </w:rPr>
        <w:t>The following graph illustrates the total cumulative shareholder return for (i) our common stock and (ii) the Nasdaq Composite Total Return Index, for the four years ended December 27, 2023. The graph assumes the investment of $100 at the beginning of the period (at the closing price of our common stock on December 24, 2019) and the reinvestment of all dividends. Stockholder returns over the indicated period should not be considered indicative of future stockholder returns.</w:t>
      </w:r>
    </w:p>
    <w:p>
      <w:pPr>
        <w:spacing w:after="0" w:line="170" w:lineRule="exact"/>
        <w:rPr>
          <w:sz w:val="20"/>
          <w:szCs w:val="20"/>
          <w:color w:val="auto"/>
        </w:rPr>
      </w:pPr>
    </w:p>
    <w:p>
      <w:pPr>
        <w:ind w:left="200" w:right="259"/>
        <w:spacing w:after="0" w:line="252" w:lineRule="auto"/>
        <w:rPr>
          <w:sz w:val="20"/>
          <w:szCs w:val="20"/>
          <w:color w:val="auto"/>
        </w:rPr>
      </w:pPr>
      <w:r>
        <w:rPr>
          <w:rFonts w:ascii="Times New Roman" w:cs="Times New Roman" w:eastAsia="Times New Roman" w:hAnsi="Times New Roman"/>
          <w:sz w:val="17"/>
          <w:szCs w:val="17"/>
          <w:i w:val="1"/>
          <w:iCs w:val="1"/>
          <w:color w:val="auto"/>
        </w:rPr>
        <w:t>The stock performance graph shall not be deemed soliciting material or to be filed with the SEC or subject to Regulation 14A or 14C under the Exchange Act or to the liabilities of Section 18 of the Exchange Act, nor shall it be incorporated by reference into any past or future filing under the Securities Act of 1933, as amended (the “Securities Act”) or the Exchange Act, except to the extent we specifically request that it be treated as soliciting material or specifically incorporate it by reference into a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121920</wp:posOffset>
            </wp:positionV>
            <wp:extent cx="4841240" cy="22777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4841240" cy="2277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Tabular List of Performance Measures</w:t>
      </w:r>
    </w:p>
    <w:p>
      <w:pPr>
        <w:spacing w:after="0" w:line="213" w:lineRule="exact"/>
        <w:rPr>
          <w:sz w:val="20"/>
          <w:szCs w:val="20"/>
          <w:color w:val="auto"/>
        </w:rPr>
      </w:pPr>
    </w:p>
    <w:p>
      <w:pPr>
        <w:ind w:left="200" w:right="359"/>
        <w:spacing w:after="0" w:line="290" w:lineRule="auto"/>
        <w:rPr>
          <w:sz w:val="20"/>
          <w:szCs w:val="20"/>
          <w:color w:val="auto"/>
        </w:rPr>
      </w:pPr>
      <w:r>
        <w:rPr>
          <w:rFonts w:ascii="Times New Roman" w:cs="Times New Roman" w:eastAsia="Times New Roman" w:hAnsi="Times New Roman"/>
          <w:sz w:val="15"/>
          <w:szCs w:val="15"/>
          <w:color w:val="auto"/>
        </w:rPr>
        <w:t>As described in our Compensation Discussion and Analysis, the table below lists the Company’s most important performance measures used to link compensation actually paid for our NEOs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107950</wp:posOffset>
            </wp:positionV>
            <wp:extent cx="141287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412875" cy="7620"/>
                    </a:xfrm>
                    <a:prstGeom prst="rect">
                      <a:avLst/>
                    </a:prstGeom>
                    <a:noFill/>
                  </pic:spPr>
                </pic:pic>
              </a:graphicData>
            </a:graphic>
          </wp:anchor>
        </w:drawing>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34925</wp:posOffset>
            </wp:positionV>
            <wp:extent cx="1412875" cy="1270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412875" cy="127000"/>
                    </a:xfrm>
                    <a:prstGeom prst="rect">
                      <a:avLst/>
                    </a:prstGeom>
                    <a:noFill/>
                  </pic:spPr>
                </pic:pic>
              </a:graphicData>
            </a:graphic>
          </wp:anchor>
        </w:drawing>
      </w:r>
    </w:p>
    <w:p>
      <w:pPr>
        <w:spacing w:after="0" w:line="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Adjusted EBITDA</w:t>
      </w:r>
    </w:p>
    <w:p>
      <w:pPr>
        <w:spacing w:after="0" w:line="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64" w:name="page65"/>
    <w:bookmarkEnd w:id="64"/>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200" w:right="219"/>
        <w:spacing w:after="0" w:line="271" w:lineRule="auto"/>
        <w:rPr>
          <w:sz w:val="20"/>
          <w:szCs w:val="20"/>
          <w:color w:val="auto"/>
        </w:rPr>
      </w:pPr>
      <w:r>
        <w:rPr>
          <w:rFonts w:ascii="Times New Roman" w:cs="Times New Roman" w:eastAsia="Times New Roman" w:hAnsi="Times New Roman"/>
          <w:sz w:val="30"/>
          <w:szCs w:val="30"/>
          <w:b w:val="1"/>
          <w:bCs w:val="1"/>
          <w:color w:val="auto"/>
        </w:rPr>
        <w:t>SECURITY OWNERSHIP OF CERTAIN BENEFICIAL OWNERS</w:t>
      </w:r>
    </w:p>
    <w:p>
      <w:pPr>
        <w:spacing w:after="0" w:line="124"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color w:val="auto"/>
        </w:rPr>
        <w:t>The table below sets forth the beneficial ownership information for our common stock for: (i) each of our named executive officers, (ii) each of our directors, (iii) all our executive officers and directors as a group, and (iv) each person known to us to be the beneficial owner of more than 5% of our shares of common stock. Except as otherwise disclosed, the information in the table set forth below is as of the record date, April 1, 2024, and is based on 31,183,427 shares of our common stock issued and outstanding as of such date.</w:t>
      </w:r>
    </w:p>
    <w:p>
      <w:pPr>
        <w:spacing w:after="0" w:line="178"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color w:val="auto"/>
        </w:rPr>
        <w:t>Unless otherwise noted below, the address for each person listed below is 3535 Harbor Boulevard, Suite 100, Costa Mesa, California 92626. We have determined beneficial ownership in accordance with the rules of the SEC. Except as indicated by the footnotes below, we believe, based on the information furnished to us, that the persons named below have sole voting and investment power with respect to all shares of common stock that they beneficially own, subject to applicable community property laws.</w:t>
      </w:r>
    </w:p>
    <w:p>
      <w:pPr>
        <w:spacing w:after="0" w:line="178"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In computing the number of shares of common stock beneficially owned by a person and the percentage ownership of that person, we deemed outstanding shares subject to options or restricted share units held by that person exercisable or vesting within 60 days of the record date. We did not deem these shares outstanding, however, for the purpose of computing the percentage ownership of any other person.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65" w:name="page66"/>
    <w:bookmarkEnd w:id="65"/>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592455</wp:posOffset>
            </wp:positionV>
            <wp:extent cx="545973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4597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0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Acquirable</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center"/>
              <w:ind w:right="200"/>
              <w:spacing w:after="0" w:line="225" w:lineRule="exact"/>
              <w:rPr>
                <w:sz w:val="20"/>
                <w:szCs w:val="20"/>
                <w:color w:val="auto"/>
              </w:rPr>
            </w:pPr>
            <w:r>
              <w:rPr>
                <w:rFonts w:ascii="Times New Roman" w:cs="Times New Roman" w:eastAsia="Times New Roman" w:hAnsi="Times New Roman"/>
                <w:sz w:val="20"/>
                <w:szCs w:val="20"/>
                <w:b w:val="1"/>
                <w:bCs w:val="1"/>
                <w:color w:val="auto"/>
              </w:rPr>
              <w:t>within 60</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rPr>
              <w:t>Percent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Common</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Vested but</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Days of the</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of</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7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Unexercised</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Record Date</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7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Class</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0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7"/>
                <w:szCs w:val="17"/>
                <w:b w:val="1"/>
                <w:bCs w:val="1"/>
                <w:color w:val="auto"/>
              </w:rPr>
              <w:t>Named Executive Officers and</w:t>
            </w:r>
          </w:p>
        </w:tc>
        <w:tc>
          <w:tcPr>
            <w:tcW w:w="2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7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Directors: (1)</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Maria Hollandsworth</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40,361</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7,200</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47,561</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7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Elizabeth Williams</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5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Ira Fils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94,753</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14,401</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109,154</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7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Laurance Roberts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83,825</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152,846</w:t>
            </w:r>
          </w:p>
        </w:tc>
        <w:tc>
          <w:tcPr>
            <w:tcW w:w="20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236,671</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5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 R. Floyd</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47,389</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47,389</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7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Douglas J. Babb</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34,382</w:t>
            </w:r>
          </w:p>
        </w:tc>
        <w:tc>
          <w:tcPr>
            <w:tcW w:w="22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34,382</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5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Samuel N. Borgese</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47,635</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47,635</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7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Mark Buller</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44,302</w:t>
            </w:r>
          </w:p>
        </w:tc>
        <w:tc>
          <w:tcPr>
            <w:tcW w:w="22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44,302</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5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Carol ("Lili") Lynton</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41,870</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41,870</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7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Michael G. Maselli</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44,772</w:t>
            </w:r>
          </w:p>
        </w:tc>
        <w:tc>
          <w:tcPr>
            <w:tcW w:w="22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44,772</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5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Deborah Gonzalez</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15,627</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15,627</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7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Nancy Faginas-Cody</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15,627</w:t>
            </w:r>
          </w:p>
        </w:tc>
        <w:tc>
          <w:tcPr>
            <w:tcW w:w="22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15,627</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7"/>
                <w:szCs w:val="17"/>
                <w:b w:val="1"/>
                <w:bCs w:val="1"/>
                <w:color w:val="auto"/>
                <w:w w:val="98"/>
              </w:rPr>
              <w:t>All directors and executive officers</w:t>
            </w: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426,718</w:t>
            </w:r>
          </w:p>
        </w:tc>
        <w:tc>
          <w:tcPr>
            <w:tcW w:w="2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152,846</w:t>
            </w:r>
          </w:p>
        </w:tc>
        <w:tc>
          <w:tcPr>
            <w:tcW w:w="2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21,601</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601,165</w:t>
            </w:r>
          </w:p>
        </w:tc>
        <w:tc>
          <w:tcPr>
            <w:tcW w:w="220" w:type="dxa"/>
            <w:vAlign w:val="bottom"/>
            <w:shd w:val="clear" w:color="auto" w:fill="CCEEFF"/>
          </w:tcPr>
          <w:p>
            <w:pPr>
              <w:spacing w:after="0"/>
              <w:rPr>
                <w:sz w:val="14"/>
                <w:szCs w:val="14"/>
                <w:color w:val="auto"/>
              </w:rPr>
            </w:pPr>
          </w:p>
        </w:tc>
        <w:tc>
          <w:tcPr>
            <w:tcW w:w="9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1.9 %</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a group (11 people)</w:t>
            </w:r>
          </w:p>
        </w:tc>
        <w:tc>
          <w:tcPr>
            <w:tcW w:w="260" w:type="dxa"/>
            <w:vAlign w:val="bottom"/>
            <w:vMerge w:val="restart"/>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gridSpan w:val="3"/>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500" w:type="dxa"/>
            <w:vAlign w:val="bottom"/>
            <w:tcBorders>
              <w:bottom w:val="single" w:sz="8" w:color="auto"/>
            </w:tcBorders>
            <w:vMerge w:val="continue"/>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860" w:type="dxa"/>
            <w:vAlign w:val="bottom"/>
            <w:tcBorders>
              <w:bottom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tcBorders>
              <w:bottom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0" w:type="dxa"/>
            <w:vAlign w:val="bottom"/>
            <w:tcBorders>
              <w:bottom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tcBorders>
              <w:bottom w:val="single" w:sz="8" w:color="auto"/>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7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5% Stockholders: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5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Sardar Biglari and affiliates (2)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4,120,000</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4,120,000</w:t>
            </w: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37"/>
        </w:trPr>
        <w:tc>
          <w:tcPr>
            <w:tcW w:w="27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BlackRock, Inc. (3)</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2,475,121</w:t>
            </w:r>
          </w:p>
        </w:tc>
        <w:tc>
          <w:tcPr>
            <w:tcW w:w="22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2,475,121</w:t>
            </w:r>
          </w:p>
        </w:tc>
        <w:tc>
          <w:tcPr>
            <w:tcW w:w="22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7.9 %</w:t>
            </w:r>
          </w:p>
        </w:tc>
        <w:tc>
          <w:tcPr>
            <w:tcW w:w="0" w:type="dxa"/>
            <w:vAlign w:val="bottom"/>
          </w:tcPr>
          <w:p>
            <w:pPr>
              <w:spacing w:after="0"/>
              <w:rPr>
                <w:sz w:val="1"/>
                <w:szCs w:val="1"/>
                <w:color w:val="auto"/>
              </w:rPr>
            </w:pPr>
          </w:p>
        </w:tc>
      </w:tr>
      <w:tr>
        <w:trPr>
          <w:trHeight w:val="37"/>
        </w:trPr>
        <w:tc>
          <w:tcPr>
            <w:tcW w:w="25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Dimensional Fund Advisors LP (4)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2,360,543</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2,360,543</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7.6 %</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76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CapitalSpring Finance Company,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1,573,329</w:t>
            </w:r>
          </w:p>
        </w:tc>
        <w:tc>
          <w:tcPr>
            <w:tcW w:w="220" w:type="dxa"/>
            <w:vAlign w:val="bottom"/>
          </w:tcPr>
          <w:p>
            <w:pPr>
              <w:spacing w:after="0"/>
              <w:rPr>
                <w:sz w:val="15"/>
                <w:szCs w:val="15"/>
                <w:color w:val="auto"/>
              </w:rPr>
            </w:pPr>
          </w:p>
        </w:tc>
        <w:tc>
          <w:tcPr>
            <w:tcW w:w="13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1,573,329</w:t>
            </w:r>
          </w:p>
        </w:tc>
        <w:tc>
          <w:tcPr>
            <w:tcW w:w="220" w:type="dxa"/>
            <w:vAlign w:val="bottom"/>
          </w:tcPr>
          <w:p>
            <w:pPr>
              <w:spacing w:after="0"/>
              <w:rPr>
                <w:sz w:val="15"/>
                <w:szCs w:val="15"/>
                <w:color w:val="auto"/>
              </w:rPr>
            </w:pPr>
          </w:p>
        </w:tc>
        <w:tc>
          <w:tcPr>
            <w:tcW w:w="9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5.0 %</w:t>
            </w:r>
          </w:p>
        </w:tc>
        <w:tc>
          <w:tcPr>
            <w:tcW w:w="0" w:type="dxa"/>
            <w:vAlign w:val="bottom"/>
          </w:tcPr>
          <w:p>
            <w:pPr>
              <w:spacing w:after="0"/>
              <w:rPr>
                <w:sz w:val="1"/>
                <w:szCs w:val="1"/>
                <w:color w:val="auto"/>
              </w:rPr>
            </w:pPr>
          </w:p>
        </w:tc>
      </w:tr>
      <w:tr>
        <w:trPr>
          <w:trHeight w:val="116"/>
        </w:trPr>
        <w:tc>
          <w:tcPr>
            <w:tcW w:w="27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LLC and affiliates (5)</w:t>
            </w: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780" w:type="dxa"/>
            <w:vAlign w:val="bottom"/>
            <w:tcBorders>
              <w:bottom w:val="single" w:sz="8" w:color="auto"/>
            </w:tcBorders>
            <w:gridSpan w:val="3"/>
            <w:vMerge w:val="continue"/>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500" w:hanging="297"/>
        <w:spacing w:after="0"/>
        <w:tabs>
          <w:tab w:leader="none" w:pos="5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one percent.</w:t>
      </w:r>
    </w:p>
    <w:p>
      <w:pPr>
        <w:spacing w:after="0" w:line="59" w:lineRule="exact"/>
        <w:rPr>
          <w:sz w:val="20"/>
          <w:szCs w:val="20"/>
          <w:color w:val="auto"/>
        </w:rPr>
      </w:pPr>
    </w:p>
    <w:p>
      <w:pPr>
        <w:ind w:left="500" w:hanging="297"/>
        <w:spacing w:after="0"/>
        <w:tabs>
          <w:tab w:leader="none" w:pos="5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held reflect grants of restricted shares, including shares still subject to vesting periods.</w:t>
      </w:r>
    </w:p>
    <w:p>
      <w:pPr>
        <w:spacing w:after="0" w:line="64" w:lineRule="exact"/>
        <w:rPr>
          <w:rFonts w:ascii="Times New Roman" w:cs="Times New Roman" w:eastAsia="Times New Roman" w:hAnsi="Times New Roman"/>
          <w:sz w:val="15"/>
          <w:szCs w:val="15"/>
          <w:color w:val="auto"/>
        </w:rPr>
      </w:pPr>
    </w:p>
    <w:p>
      <w:pPr>
        <w:jc w:val="both"/>
        <w:ind w:left="500" w:right="219" w:hanging="297"/>
        <w:spacing w:after="0" w:line="262" w:lineRule="auto"/>
        <w:tabs>
          <w:tab w:leader="none" w:pos="5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solely on a Schedule 13G/A filed on February 14, 2024 by (i) Biglari Holdings Inc. (“Biglari Holdings”), (ii) The Lion Fund II, L.P. (“Lion Fund II”), (iii) First Guard Insurance Company (“First Guard”), (iv) Biglari Capital Corp. (“BCC”) and (v) Sardar Biglari (collectively, the “Biglari Parties”), as of December 31, 2023. According to the Schedule 13G/A, Biglari Holdings has shared voting and dispositive power over 120,000 shares of our comment stock; Lion Fund II has shared voting and dispositive power over 4,000,000 shares of our common stock; First Guard has shared voting and dispositive power over 120,000 shares of our common stock; BCC has shared voting and dispositive power over 4,000,000 shares of our common stock; and Mr. Biglari has shared voting and dispositive power of 4,120,000 shares of our common stock. The share amounts reported herein consist of (i) 4,000,000 shares of Common Stock held of record by Lion Fund II and (ii) 120,000 shares of Common Stock held of record by First Guard. Mr. Biglari is the sole member, Chairman and Chief Executive Officer of BCC, which is the general partner of Lion Fund II. By virtue of these relationships, Mr. Biglari and BCC may be deemed to share beneficial ownership of the securities held by Lion Fund II. Mr. Biglari is also the Chairman and Chief Executive Officer of Biglari Holdings and maintains investment and voting control of the securities held by Biglari Holdings. First Guard is a wholly owned subsidiary of Biglari Holdings. By virtue of these relationships, Mr. Biglari and Biglari Holdings may be deemed to share beneficial ownership of the securities held by First Guard. The principal business address for First Guard is 240 Nokomis Ave S., Venice, FL 34285. The principal business address for each of the other Biglari Parties is 19100 Ridgewood Parkway, Suite 1200, San Antonio, TX 78259.</w:t>
      </w:r>
    </w:p>
    <w:p>
      <w:pPr>
        <w:spacing w:after="0" w:line="37" w:lineRule="exact"/>
        <w:rPr>
          <w:rFonts w:ascii="Times New Roman" w:cs="Times New Roman" w:eastAsia="Times New Roman" w:hAnsi="Times New Roman"/>
          <w:sz w:val="15"/>
          <w:szCs w:val="15"/>
          <w:color w:val="auto"/>
        </w:rPr>
      </w:pPr>
    </w:p>
    <w:p>
      <w:pPr>
        <w:jc w:val="both"/>
        <w:ind w:left="500" w:right="219" w:hanging="297"/>
        <w:spacing w:after="0" w:line="270" w:lineRule="auto"/>
        <w:tabs>
          <w:tab w:leader="none" w:pos="5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solely on a Schedule 13G/A filed on January 26, 2024, by BlackRock, Inc., as a parent holding company or control person, relating to stock held directly, or indirectly by certain subsidiaries, as of December 31, 2023. The Schedule 13G/A indicated that BlackRock, Inc. had sole dispositive power for 2,475,121 shares and sole voting power for 2,416,969 shares. BlackRock, Inc. has an address of 50 Hudson Yard, New York, New York 1001.</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66" w:name="page67"/>
    <w:bookmarkEnd w:id="66"/>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500" w:right="219" w:hanging="297"/>
        <w:spacing w:after="0" w:line="270" w:lineRule="auto"/>
        <w:tabs>
          <w:tab w:leader="none" w:pos="50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solely on a Schedule 13G filed on February 9, 2024 by Dimensional Fund Advisors LP, as an investment adviser, as of December 29, 2023. According to the Schedule 13G, Dimensional Fund Advisors LP had sole voting power over 2,320,714 shares of our common stock and sole dispositive power over 2,360,543 shares of our common stock. Dimensional Fund Advisors LP has and address of 6300 Bee Cave Road, Building One, Austin, TX 78746.</w:t>
      </w:r>
    </w:p>
    <w:p>
      <w:pPr>
        <w:spacing w:after="0" w:line="23" w:lineRule="exact"/>
        <w:rPr>
          <w:rFonts w:ascii="Times New Roman" w:cs="Times New Roman" w:eastAsia="Times New Roman" w:hAnsi="Times New Roman"/>
          <w:sz w:val="15"/>
          <w:szCs w:val="15"/>
          <w:color w:val="auto"/>
        </w:rPr>
      </w:pPr>
    </w:p>
    <w:p>
      <w:pPr>
        <w:jc w:val="both"/>
        <w:ind w:left="500" w:right="219" w:hanging="297"/>
        <w:spacing w:after="0" w:line="265" w:lineRule="auto"/>
        <w:tabs>
          <w:tab w:leader="none" w:pos="50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solely on a Schedule 13G filed on February 9, 2024 by (i) CSIP VI Corporate Acquisitions, LP (“CSIP VI”), (ii) CSFC Financing I, LLC (“CSFC Fin I”), (iii) CSFC Management Company, LLC (“CapitalSpring”), (iv) CapitalSpring Finance Company, LLC (“CFC”) and (v) Richard Fitzgerald (collectively, the “CapitalSpring Parties”), as of December 31, 2023. Based solely on the Schedule 13G, as of the close of December 31, 2023, CSIP VI held 1,541,862 Shares and CSFC Fin I held 31,467 shares of our common stock. CFC is the parent company of CapitalSpring, and CapitalSpring is the manager of CSFC Fin I and CFC and the investment manager of CSIP VI. Mr. Fitzgerald is the Managing Partner of CapitalSpring. The principal business address for each of the CapitalSpring Parties is 3100 West End Avenue, Suite 940, Nashville, TN 37203.</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EQUITY COMPENSATION PLAN INFORMATION</w:t>
      </w:r>
    </w:p>
    <w:p>
      <w:pPr>
        <w:spacing w:after="0" w:line="221"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The following table sets forth information, as of December 27, 2023, about outstanding awards and shares of common stock available for future awards under our Equity Incentive Plan and our 2014 Omnibus Equity Incentive Plan (the “ 2014 Plan”), which are the Company’s only equity compensation plans. All our equity compensation plans have been approved by our security holders.</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12"/>
        </w:trPr>
        <w:tc>
          <w:tcPr>
            <w:tcW w:w="4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w:t>
            </w: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(b)</w:t>
            </w: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(c)</w:t>
            </w:r>
          </w:p>
        </w:tc>
      </w:tr>
      <w:tr>
        <w:trPr>
          <w:trHeight w:val="172"/>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7"/>
                <w:szCs w:val="17"/>
                <w:b w:val="1"/>
                <w:bCs w:val="1"/>
                <w:color w:val="auto"/>
                <w:w w:val="98"/>
              </w:rPr>
              <w:t>Number of</w:t>
            </w:r>
          </w:p>
        </w:tc>
      </w:tr>
      <w:tr>
        <w:trPr>
          <w:trHeight w:val="200"/>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Securities</w:t>
            </w:r>
          </w:p>
        </w:tc>
      </w:tr>
      <w:tr>
        <w:trPr>
          <w:trHeight w:val="200"/>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Remaining</w:t>
            </w:r>
          </w:p>
        </w:tc>
      </w:tr>
      <w:tr>
        <w:trPr>
          <w:trHeight w:val="200"/>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Number of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Available for</w:t>
            </w:r>
          </w:p>
        </w:tc>
      </w:tr>
      <w:tr>
        <w:trPr>
          <w:trHeight w:val="200"/>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Securities to Be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Future Issuance</w:t>
            </w:r>
          </w:p>
        </w:tc>
      </w:tr>
      <w:tr>
        <w:trPr>
          <w:trHeight w:val="200"/>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Issued upon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Under Equity</w:t>
            </w:r>
          </w:p>
        </w:tc>
      </w:tr>
      <w:tr>
        <w:trPr>
          <w:trHeight w:val="200"/>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Exercise of</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Exercise Price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Compensation</w:t>
            </w:r>
          </w:p>
        </w:tc>
      </w:tr>
      <w:tr>
        <w:trPr>
          <w:trHeight w:val="200"/>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Outstanding</w:t>
            </w:r>
          </w:p>
        </w:tc>
        <w:tc>
          <w:tcPr>
            <w:tcW w:w="180" w:type="dxa"/>
            <w:vAlign w:val="bottom"/>
          </w:tcPr>
          <w:p>
            <w:pPr>
              <w:spacing w:after="0"/>
              <w:rPr>
                <w:sz w:val="17"/>
                <w:szCs w:val="17"/>
                <w:color w:val="auto"/>
              </w:rPr>
            </w:pPr>
          </w:p>
        </w:tc>
        <w:tc>
          <w:tcPr>
            <w:tcW w:w="136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of Outstanding</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Plans (Excluding</w:t>
            </w:r>
          </w:p>
        </w:tc>
      </w:tr>
      <w:tr>
        <w:trPr>
          <w:trHeight w:val="200"/>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Options,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Securities</w:t>
            </w:r>
          </w:p>
        </w:tc>
      </w:tr>
      <w:tr>
        <w:trPr>
          <w:trHeight w:val="200"/>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Warrants, and</w:t>
            </w:r>
          </w:p>
        </w:tc>
        <w:tc>
          <w:tcPr>
            <w:tcW w:w="180" w:type="dxa"/>
            <w:vAlign w:val="bottom"/>
          </w:tcPr>
          <w:p>
            <w:pPr>
              <w:spacing w:after="0"/>
              <w:rPr>
                <w:sz w:val="17"/>
                <w:szCs w:val="17"/>
                <w:color w:val="auto"/>
              </w:rPr>
            </w:pPr>
          </w:p>
        </w:tc>
        <w:tc>
          <w:tcPr>
            <w:tcW w:w="136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5"/>
              </w:rPr>
              <w:t>Warrants, and</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Reflected in</w:t>
            </w:r>
          </w:p>
        </w:tc>
      </w:tr>
      <w:tr>
        <w:trPr>
          <w:trHeight w:val="220"/>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Rights</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Rights (1)</w:t>
            </w: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Column (a) (2)</w:t>
            </w:r>
          </w:p>
        </w:tc>
      </w:tr>
      <w:tr>
        <w:trPr>
          <w:trHeight w:val="235"/>
        </w:trPr>
        <w:tc>
          <w:tcPr>
            <w:tcW w:w="4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885,283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610,098</w:t>
            </w:r>
          </w:p>
        </w:tc>
      </w:tr>
      <w:tr>
        <w:trPr>
          <w:trHeight w:val="237"/>
        </w:trPr>
        <w:tc>
          <w:tcPr>
            <w:tcW w:w="4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7"/>
        </w:trPr>
        <w:tc>
          <w:tcPr>
            <w:tcW w:w="4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5"/>
        </w:trPr>
        <w:tc>
          <w:tcPr>
            <w:tcW w:w="4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885,283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10.13</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610,098</w:t>
            </w:r>
          </w:p>
        </w:tc>
      </w:tr>
      <w:tr>
        <w:trPr>
          <w:trHeight w:val="37"/>
        </w:trPr>
        <w:tc>
          <w:tcPr>
            <w:tcW w:w="434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20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10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340" w:type="dxa"/>
            <w:vAlign w:val="bottom"/>
            <w:shd w:val="clear" w:color="auto" w:fill="000000"/>
          </w:tcPr>
          <w:p>
            <w:pPr>
              <w:spacing w:after="0"/>
              <w:rPr>
                <w:sz w:val="3"/>
                <w:szCs w:val="3"/>
                <w:color w:val="auto"/>
              </w:rPr>
            </w:pPr>
          </w:p>
        </w:tc>
      </w:tr>
    </w:tbl>
    <w:p>
      <w:pPr>
        <w:spacing w:after="0" w:line="50" w:lineRule="exact"/>
        <w:rPr>
          <w:sz w:val="20"/>
          <w:szCs w:val="20"/>
          <w:color w:val="auto"/>
        </w:rPr>
      </w:pPr>
    </w:p>
    <w:p>
      <w:pPr>
        <w:ind w:left="500" w:right="219" w:hanging="297"/>
        <w:spacing w:after="0" w:line="290" w:lineRule="auto"/>
        <w:tabs>
          <w:tab w:leader="none" w:pos="5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Outstanding restricted share unit awards do not have an exercise price and are therefore not included in calculating the weighted-average exercise price of outstanding options.</w:t>
      </w:r>
    </w:p>
    <w:p>
      <w:pPr>
        <w:spacing w:after="0" w:line="8" w:lineRule="exact"/>
        <w:rPr>
          <w:rFonts w:ascii="Times New Roman" w:cs="Times New Roman" w:eastAsia="Times New Roman" w:hAnsi="Times New Roman"/>
          <w:sz w:val="15"/>
          <w:szCs w:val="15"/>
          <w:color w:val="auto"/>
        </w:rPr>
      </w:pPr>
    </w:p>
    <w:p>
      <w:pPr>
        <w:jc w:val="both"/>
        <w:ind w:left="500" w:right="219" w:hanging="297"/>
        <w:spacing w:after="0" w:line="270" w:lineRule="auto"/>
        <w:tabs>
          <w:tab w:leader="none" w:pos="5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these common shares remain available for future issuance under our Equity Incentive Plan and may be granted as options, share appreciation rights, restricted shares, restricted share units, and other share-based awards authorized under the Incentive Plan. No new awards may be granted under the 2014 Plan. The amounts reported in this column do not include the 1,250,000 additional shares that will be available under the Equity Incentive Plan if the amended version of the Equity Incentive Plan is approved by our security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67" w:name="page68"/>
    <w:bookmarkEnd w:id="67"/>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CERTAIN RELATIONSHIPS AND RELATED PARTY</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TRANSACTIONS</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Policy Concerning Related Party Transactions</w:t>
      </w:r>
    </w:p>
    <w:p>
      <w:pPr>
        <w:spacing w:after="0" w:line="208"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We have adopted a written policy relating to the approval of related party transactions. Our Audit Committee is to review certain financial transactions, arrangements, and relationships between us and any of the following related parties to determine whether any such transaction, arrangement, or relationship is a related party transaction:</w:t>
      </w:r>
    </w:p>
    <w:p>
      <w:pPr>
        <w:spacing w:after="0" w:line="169" w:lineRule="exact"/>
        <w:rPr>
          <w:sz w:val="20"/>
          <w:szCs w:val="20"/>
          <w:color w:val="auto"/>
        </w:rPr>
      </w:pPr>
    </w:p>
    <w:p>
      <w:pPr>
        <w:ind w:left="1120" w:hanging="293"/>
        <w:spacing w:after="0"/>
        <w:tabs>
          <w:tab w:leader="none" w:pos="11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directors, director nominees, or executive officers;</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beneficial owner of more than 5% of our outstanding stock;</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immediate family member of any of the foregoing; and</w:t>
      </w:r>
    </w:p>
    <w:p>
      <w:pPr>
        <w:spacing w:after="0" w:line="104" w:lineRule="exact"/>
        <w:rPr>
          <w:rFonts w:ascii="Times New Roman" w:cs="Times New Roman" w:eastAsia="Times New Roman" w:hAnsi="Times New Roman"/>
          <w:sz w:val="17"/>
          <w:szCs w:val="17"/>
          <w:color w:val="auto"/>
        </w:rPr>
      </w:pPr>
    </w:p>
    <w:p>
      <w:pPr>
        <w:ind w:left="1120" w:right="219" w:hanging="293"/>
        <w:spacing w:after="0" w:line="271" w:lineRule="auto"/>
        <w:tabs>
          <w:tab w:leader="none" w:pos="112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firm, corporation or other entity in which any of the foregoing persons is employed or is a partner or principal in a similar position or on which such person has a 5% or greater beneficial ownership interest.</w:t>
      </w:r>
    </w:p>
    <w:p>
      <w:pPr>
        <w:spacing w:after="0" w:line="15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Our Audit Committee will review any financial transaction, arrangement, or relationship that:</w:t>
      </w:r>
    </w:p>
    <w:p>
      <w:pPr>
        <w:spacing w:after="0" w:line="204" w:lineRule="exact"/>
        <w:rPr>
          <w:sz w:val="20"/>
          <w:szCs w:val="20"/>
          <w:color w:val="auto"/>
        </w:rPr>
      </w:pPr>
    </w:p>
    <w:p>
      <w:pPr>
        <w:ind w:left="1120" w:right="219" w:hanging="293"/>
        <w:spacing w:after="0" w:line="271" w:lineRule="auto"/>
        <w:tabs>
          <w:tab w:leader="none" w:pos="11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involves or will involve, directly or indirectly, any related party identified above and is in an amount greater than $120,000;</w:t>
      </w:r>
    </w:p>
    <w:p>
      <w:pPr>
        <w:spacing w:after="0" w:line="58"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would cast doubt on the independence of a director;</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would present the appearance of a conflict of interest between us and the related party; or</w:t>
      </w:r>
    </w:p>
    <w:p>
      <w:pPr>
        <w:spacing w:after="0" w:line="104" w:lineRule="exact"/>
        <w:rPr>
          <w:rFonts w:ascii="Times New Roman" w:cs="Times New Roman" w:eastAsia="Times New Roman" w:hAnsi="Times New Roman"/>
          <w:sz w:val="17"/>
          <w:szCs w:val="17"/>
          <w:color w:val="auto"/>
        </w:rPr>
      </w:pPr>
    </w:p>
    <w:p>
      <w:pPr>
        <w:ind w:left="1120" w:hanging="293"/>
        <w:spacing w:after="0"/>
        <w:tabs>
          <w:tab w:leader="none" w:pos="112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otherwise prohibited by law, rule, or regulation.</w:t>
      </w:r>
    </w:p>
    <w:p>
      <w:pPr>
        <w:spacing w:after="0" w:line="204"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color w:val="auto"/>
        </w:rPr>
        <w:t>The Audit Committee will review each such transaction, arrangement, or relationship to determine whether a related party has, has had, or expects to have, a direct or indirect material interest. Following its review, the Audit Committee will take such action as it deems necessary and appropriate under the circumstances, including approving, disapproving, ratifying, canceling, or recommending to management how to proceed if it determines that a related party has a direct or indirect material interest in a transaction, arrangement, or relationship with us. Any member of the Audit Committee who is a related party with respect to a transaction under review will not be permitted to participate in the discussions or evaluations of the transaction; however, the Audit Committee member will provide all material information concerning the transaction to the Audit Committee. The Audit Committee will report its action with respect to any related party transaction to the Board.</w:t>
      </w:r>
    </w:p>
    <w:p>
      <w:pPr>
        <w:spacing w:after="0" w:line="1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Stockholders Agreement</w:t>
      </w:r>
    </w:p>
    <w:p>
      <w:pPr>
        <w:spacing w:after="0" w:line="208" w:lineRule="exact"/>
        <w:rPr>
          <w:sz w:val="20"/>
          <w:szCs w:val="20"/>
          <w:color w:val="auto"/>
        </w:rPr>
      </w:pPr>
    </w:p>
    <w:p>
      <w:pPr>
        <w:ind w:left="240" w:right="219"/>
        <w:spacing w:after="0" w:line="271" w:lineRule="auto"/>
        <w:rPr>
          <w:sz w:val="20"/>
          <w:szCs w:val="20"/>
          <w:color w:val="auto"/>
        </w:rPr>
      </w:pPr>
      <w:r>
        <w:rPr>
          <w:rFonts w:ascii="Times New Roman" w:cs="Times New Roman" w:eastAsia="Times New Roman" w:hAnsi="Times New Roman"/>
          <w:sz w:val="16"/>
          <w:szCs w:val="16"/>
          <w:color w:val="auto"/>
        </w:rPr>
        <w:t>We are a party to a stockholders’ agreement with LLC and certain third-party investors. The stockholders’ agreement permits (i) LLC to make an unlimited number of demands that we use our best efforts to register our shares under the Securities Act and</w:t>
      </w:r>
    </w:p>
    <w:p>
      <w:pPr>
        <w:spacing w:after="0" w:line="1" w:lineRule="exact"/>
        <w:rPr>
          <w:sz w:val="20"/>
          <w:szCs w:val="20"/>
          <w:color w:val="auto"/>
        </w:rPr>
      </w:pPr>
    </w:p>
    <w:p>
      <w:pPr>
        <w:jc w:val="both"/>
        <w:ind w:left="240" w:right="219" w:hanging="4"/>
        <w:spacing w:after="0" w:line="246" w:lineRule="auto"/>
        <w:tabs>
          <w:tab w:leader="none" w:pos="489"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Freeman Spogli to make two demands that we use our best efforts to register its shares under the Securities Act, for so long as they own 10% or more of the membership interests of LLC. On February 15, 2023, we filed a registration statement on Form S-3 with the SEC allowing for the resale of the shares of our common stock held by LLC, which registration statement was declared effective on March 1, 2023. Any such sales by the LLC or Freeman Spogli, or the prospect of any such sales, could materially impact the market price of our common stock.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the stockholders’ agreement, LLC may also preempt any demand request by Freeman Spogli, in which case</w:t>
      </w:r>
    </w:p>
    <w:p>
      <w:pPr>
        <w:spacing w:after="0" w:line="21" w:lineRule="exact"/>
        <w:rPr>
          <w:sz w:val="20"/>
          <w:szCs w:val="20"/>
          <w:color w:val="auto"/>
        </w:rPr>
      </w:pPr>
    </w:p>
    <w:p>
      <w:pPr>
        <w:ind w:left="240" w:right="219" w:hanging="4"/>
        <w:spacing w:after="0" w:line="251" w:lineRule="auto"/>
        <w:tabs>
          <w:tab w:leader="none" w:pos="449"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participation in such demand registration by LLC and Freeman Spogli shall be on a pro rata basis, and (ii) Freeman Spogli shall not be deemed to have exercised a demand notice. By exercising these registration rights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68" w:name="page69"/>
    <w:bookmarkEnd w:id="68"/>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40" w:right="219"/>
        <w:spacing w:after="0" w:line="248" w:lineRule="auto"/>
        <w:rPr>
          <w:sz w:val="20"/>
          <w:szCs w:val="20"/>
          <w:color w:val="auto"/>
        </w:rPr>
      </w:pPr>
      <w:r>
        <w:rPr>
          <w:rFonts w:ascii="Times New Roman" w:cs="Times New Roman" w:eastAsia="Times New Roman" w:hAnsi="Times New Roman"/>
          <w:sz w:val="17"/>
          <w:szCs w:val="17"/>
          <w:color w:val="auto"/>
        </w:rPr>
        <w:t>and selling a large number of shares of our common stock, the price of our common stock could decline. In demand registrations, subject to certain exceptions, the parties to the stockholder’s agreement have certain rights to participate on a pro rata basis, subject to certain conditions. In addition, if we decide to sell our common stock, LLC and the other parties to the stockholders’ agreement, including members of our management, will also have certain rights to participate on a pro rata basis, subject to certain conditions. At least 10 days prior to the anticipated filing date of any registration statement, notice is to be given to all holders of registrable securities party to the stockholders agreement outlining their rights to include their shares in that registration statement, and we must use our best efforts to register any securities which such holders request, within 10 days of receipt of notice, to be registered. A stockholder may, until 7 days prior to the effectiveness of a registration statement, withdraw any securities that it has previously elected to include such registration statement pursuant to these piggyback registration rights.</w:t>
      </w:r>
    </w:p>
    <w:p>
      <w:pPr>
        <w:spacing w:after="0" w:line="180"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We are required to bear substantially all costs incurred in these registrations of securities, other than underwriting discounts and commissions and transfer taxes. These registration rights could result in substantial future expenses for us and adversely affect any future equity or debt offerings.</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LLC Agreement</w:t>
      </w:r>
    </w:p>
    <w:p>
      <w:pPr>
        <w:spacing w:after="0" w:line="208"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color w:val="auto"/>
        </w:rPr>
        <w:t>Affiliates of Trimaran, Freeman Spogli, and certain other third-party investors entered into a limited liability company operating agreement (the “LLC agreement”) for LLC. The LLC agreement generally restricted the transfer of interests in LLC owned by the parties other than affiliates of Trimaran. Exceptions to this restriction included transfers to affiliates. In addition, the third-party investors had “tag-along” rights to sell their interests on a pro rata basis with Trimaran affiliates in significant sales to third parties. Similarly, Trimaran affiliates had “drag-along” rights to cause Freeman Spogli and the third-party investors to sell their interests, on a pro rata basis with Trimaran affiliates, in significant sales to third parties. The members of LLC had preemptive rights in order to maintain their respective percentage ownership interests in LLC in the event of an issuance of additional membership interests.</w:t>
      </w:r>
    </w:p>
    <w:p>
      <w:pPr>
        <w:spacing w:after="0" w:line="177"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color w:val="auto"/>
        </w:rPr>
        <w:t xml:space="preserve">The LLC agreement permitted a member of LLC who holds more than 15% of LLC’s outstanding membership units to cause LLC to exercise one of its demand registration rights (as described under </w:t>
      </w:r>
      <w:r>
        <w:rPr>
          <w:rFonts w:ascii="Times New Roman" w:cs="Times New Roman" w:eastAsia="Times New Roman" w:hAnsi="Times New Roman"/>
          <w:sz w:val="17"/>
          <w:szCs w:val="17"/>
          <w:i w:val="1"/>
          <w:iCs w:val="1"/>
          <w:color w:val="auto"/>
        </w:rPr>
        <w:t>“Stockholders Agreement”</w:t>
      </w:r>
      <w:r>
        <w:rPr>
          <w:rFonts w:ascii="Times New Roman" w:cs="Times New Roman" w:eastAsia="Times New Roman" w:hAnsi="Times New Roman"/>
          <w:sz w:val="17"/>
          <w:szCs w:val="17"/>
          <w:color w:val="auto"/>
        </w:rPr>
        <w:t xml:space="preserve">) with respect to the pro rata portion of securities owned by such member through LLC, subject to certain exceptions. To the extent that LLC did not exercise the “piggyback” registration rights described under </w:t>
      </w:r>
      <w:r>
        <w:rPr>
          <w:rFonts w:ascii="Times New Roman" w:cs="Times New Roman" w:eastAsia="Times New Roman" w:hAnsi="Times New Roman"/>
          <w:sz w:val="17"/>
          <w:szCs w:val="17"/>
          <w:i w:val="1"/>
          <w:iCs w:val="1"/>
          <w:color w:val="auto"/>
        </w:rPr>
        <w:t>“Stockholders Agreement,”</w:t>
      </w:r>
      <w:r>
        <w:rPr>
          <w:rFonts w:ascii="Times New Roman" w:cs="Times New Roman" w:eastAsia="Times New Roman" w:hAnsi="Times New Roman"/>
          <w:sz w:val="17"/>
          <w:szCs w:val="17"/>
          <w:color w:val="auto"/>
        </w:rPr>
        <w:t xml:space="preserve"> any member of LLC could require us to include in any registration the pro rata portion of securities owned by such member through LLC.</w:t>
      </w:r>
    </w:p>
    <w:p>
      <w:pPr>
        <w:spacing w:after="0" w:line="178" w:lineRule="exact"/>
        <w:rPr>
          <w:sz w:val="20"/>
          <w:szCs w:val="20"/>
          <w:color w:val="auto"/>
        </w:rPr>
      </w:pPr>
    </w:p>
    <w:p>
      <w:pPr>
        <w:ind w:left="200" w:right="399"/>
        <w:spacing w:after="0" w:line="250" w:lineRule="auto"/>
        <w:rPr>
          <w:sz w:val="20"/>
          <w:szCs w:val="20"/>
          <w:color w:val="auto"/>
        </w:rPr>
      </w:pPr>
      <w:r>
        <w:rPr>
          <w:rFonts w:ascii="Times New Roman" w:cs="Times New Roman" w:eastAsia="Times New Roman" w:hAnsi="Times New Roman"/>
          <w:sz w:val="17"/>
          <w:szCs w:val="17"/>
          <w:color w:val="auto"/>
        </w:rPr>
        <w:t>Under the terms of the LLC agreement, LLC was solely managed by a Trimaran affiliate. Mr. Maselli, and Mr. Roth were designated as directors of the Company pursuant to the LLC agreement, and each has since been re-elected to the Board. Mr. Maselli is a current member of the Board of Directors but will not continue as a director following the 2024 annual meeting of stockholders, and Mr. Roth retired from the Board on August 16, 2023. The LLC agreement terminated on July 27, 2020. On March 28, 2023, the Trimaran Group effected the Distribution, and the Trimaran Group intends to subsequently liquidate or distribute its remaining assets and wind up.</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Income Tax Receivable Agreement</w:t>
      </w:r>
    </w:p>
    <w:p>
      <w:pPr>
        <w:spacing w:after="0" w:line="208"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We expect to be able to utilize net operating losses and other tax attributes that arose prior to our initial public offering, assuming generation of future income. These net operating loss carryforwards and other tax attributes will reduce the amount of tax that we and our subsidiaries would otherwise be required to pay in the future.</w:t>
      </w:r>
    </w:p>
    <w:p>
      <w:pPr>
        <w:spacing w:after="0" w:line="169"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17"/>
          <w:szCs w:val="17"/>
          <w:color w:val="auto"/>
        </w:rPr>
        <w:t>We have entered into an income tax receivable agreement (the “TRA”) with our pre-IPO stockholders, including LLC, which provides for payment by us to our pre-IPO stockholders of 85% of the amount of cash savings, if any, in federal, state, local, and foreign income tax that we and our subsidiaries actually realize (or are deemed to realize in the case of an early termination by us or a change of control, as discussed below) as a result of the utilization of our net operating losses and other tax attributes attributable to periods prior to our initial public offering together with interest accrued at a rate of LIBOR plus 200 basis points from the date that the applicable tax return is due (without extension) until paid.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69" w:name="page70"/>
    <w:bookmarkEnd w:id="69"/>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For purposes of the TRA, cash savings in income tax is computed by comparing our actual income tax liability to the amount of such taxes that we would have been required to pay had we not been able to utilize the tax benefits subject to the TRA. The term of the TRA will continue until all relevant tax benefits have been utilized or have expired, subject to earlier termination pursuant to the terms of the TRA.</w:t>
      </w:r>
    </w:p>
    <w:p>
      <w:pPr>
        <w:spacing w:after="0" w:line="172"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Our counterparties under the TRA will not reimburse us for any benefits that are subsequently disallowed, although any future payments would be adjusted to the extent possible to reflect the result of such disallowance. As a result, in such circumstances, we could make payments under the TRA greater than our actual cash tax savings.</w:t>
      </w:r>
    </w:p>
    <w:p>
      <w:pPr>
        <w:spacing w:after="0" w:line="169"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17"/>
          <w:szCs w:val="17"/>
          <w:color w:val="auto"/>
        </w:rPr>
        <w:t>While the actual amount and timing of any payments under the TRA will vary depending upon a number of factors, including the amount, character, and timing of our and our subsidiaries’ taxable income in the future, we expect that during the term of the TRA, the payments that we may make could be material. As of December 27, 2023, we had an accrued payable related to this agreement of approximately $0.4 million. In fiscal 2023, we paid $0.3 million to our pre-IPO stockholders under the TRA. Over 99% of this was to LLC, of which Freeman Spogli would have accrued approximately one-third of the benefit. Certain of our directors who are affiliated with LLC and Freeman Spogli may benefit from such payments.</w:t>
      </w:r>
    </w:p>
    <w:p>
      <w:pPr>
        <w:spacing w:after="0" w:line="178"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17"/>
          <w:szCs w:val="17"/>
          <w:color w:val="auto"/>
        </w:rPr>
        <w:t>If we undergo a change of control as defined in the TRA, the TRA will terminate, and we will be required to make a payment equal to the present value of expected future payments under the TRA, which payment would be based on certain assumptions (the “valuation assumptions”), including assumptions related to our future taxable income. Additionally, if we or a direct or indirect subsidiary transfers any asset to a corporation with which we do not file a consolidated tax return, we will be treated as having sold that asset for its fair market value in a taxable transaction for purposes of determining the cash savings in income tax under the TRA. Any such payment resulting from a change of control or asset transfer could be substantial and could exceed our actual cash tax savings. The Board may take action that leads to such payments under the TRA and certain of our directors who are affiliated with LLC, a party to the TRA, could receive such payments.</w:t>
      </w:r>
    </w:p>
    <w:p>
      <w:pPr>
        <w:spacing w:after="0" w:line="177"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17"/>
          <w:szCs w:val="17"/>
          <w:color w:val="auto"/>
        </w:rPr>
        <w:t>The TRA provides that in the event that we breach any of our material obligations under it, whether as a result of our failure to make any payment when due (subject to a specified cure period), failure to honor any other material obligation under the TRA, or by operation of law as a result of the rejection of the TRA in a case commenced under the U.S. Bankruptcy Code or otherwise, then all our payment and other obligations under the TRA will be accelerated and will become due and payable, applying the same valuation assumptions discussed above, including those relating to our future taxable income. Such payments could be substantial and could exceed our actual cash tax savings. Additionally, we generally have the right to terminate the TRA. If we terminate the TRA, our payment and other obligations under the TRA will be accelerated and will become due and payable, also applying the valuation assumptions discussed above. Such payments could be substantial and could exceed our actual cash tax savings.</w:t>
      </w:r>
    </w:p>
    <w:p>
      <w:pPr>
        <w:spacing w:after="0" w:line="182" w:lineRule="exact"/>
        <w:rPr>
          <w:sz w:val="20"/>
          <w:szCs w:val="20"/>
          <w:color w:val="auto"/>
        </w:rPr>
      </w:pPr>
    </w:p>
    <w:p>
      <w:pPr>
        <w:jc w:val="both"/>
        <w:ind w:left="200" w:right="219"/>
        <w:spacing w:after="0" w:line="251" w:lineRule="auto"/>
        <w:rPr>
          <w:sz w:val="20"/>
          <w:szCs w:val="20"/>
          <w:color w:val="auto"/>
        </w:rPr>
      </w:pPr>
      <w:r>
        <w:rPr>
          <w:rFonts w:ascii="Times New Roman" w:cs="Times New Roman" w:eastAsia="Times New Roman" w:hAnsi="Times New Roman"/>
          <w:sz w:val="17"/>
          <w:szCs w:val="17"/>
          <w:color w:val="auto"/>
        </w:rPr>
        <w:t>Because we are a holding company with no operations of our own, our ability to make payments under the TRA is dependent on the ability of our subsidiaries to make distributions to us. Under our revolving credit agreement, our subsidiaries may make dividends and distributions to us, and we are permitted to make payments under the TRA. To the extent that we are unable to make payments under the TRA for any reason, such payments will be deferred and will accrue interest at a rate of LIBOR plus 200 basis points per annum until paid.</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Franchise Development Option Agreement</w:t>
      </w:r>
    </w:p>
    <w:p>
      <w:pPr>
        <w:spacing w:after="0" w:line="208" w:lineRule="exact"/>
        <w:rPr>
          <w:sz w:val="20"/>
          <w:szCs w:val="20"/>
          <w:color w:val="auto"/>
        </w:rPr>
      </w:pPr>
    </w:p>
    <w:p>
      <w:pPr>
        <w:jc w:val="both"/>
        <w:ind w:left="200" w:right="219"/>
        <w:spacing w:after="0" w:line="248" w:lineRule="auto"/>
        <w:rPr>
          <w:sz w:val="20"/>
          <w:szCs w:val="20"/>
          <w:color w:val="auto"/>
        </w:rPr>
      </w:pPr>
      <w:r>
        <w:rPr>
          <w:rFonts w:ascii="Times New Roman" w:cs="Times New Roman" w:eastAsia="Times New Roman" w:hAnsi="Times New Roman"/>
          <w:sz w:val="17"/>
          <w:szCs w:val="17"/>
          <w:color w:val="auto"/>
        </w:rPr>
        <w:t>On July 11, 2014, EPL and LLC entered into a Franchise Development Option Agreement (the “Franchise Development Option Agreement”) in connection with the development of El Pollo Loco restaurants in the New York-Newark, NY-NJ-CT-PA Combined Statistical Area (the “Territory”). Pursuant to the terms of the Franchise Development Option Agreement, EPL has granted LLC the exclusive option (the “Initial Option”) to develop and open 15 restaurants within the Territory within five years of the execution of the Company’s then current form of franchise development agreement (the “Initial Development Agreement”). The Initial Option expires 10 years from the date of entering into the Franchise Development Option Agreement. If the Initial Option is exercised, LLC will have the exclusive option (the “Additional Option”) to develop and open up to an additional 100 restaurants within the Territory over 10 years of the execution of the Company’s then current form of franchise development agreement. The Additional Option expires five years from the date of entering into the Initial Development Agreement. LLC may</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70" w:name="page71"/>
    <w:bookmarkEnd w:id="70"/>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7"/>
          <w:szCs w:val="17"/>
          <w:color w:val="auto"/>
        </w:rPr>
        <w:t>only exercise the Initial Option if it satisfies certain financial and operational criteria and after EPL has made the determination to begin development of Company-operated restaurants within the Territory or support the development of the Territory, however, certain of our board members are associated with LLC. We have no current intention to begin such development within the Territory.</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Repurchase Agreements</w:t>
      </w:r>
    </w:p>
    <w:p>
      <w:pPr>
        <w:spacing w:after="0" w:line="208" w:lineRule="exact"/>
        <w:rPr>
          <w:sz w:val="20"/>
          <w:szCs w:val="20"/>
          <w:color w:val="auto"/>
        </w:rPr>
      </w:pPr>
    </w:p>
    <w:p>
      <w:pPr>
        <w:ind w:left="200" w:right="299"/>
        <w:spacing w:after="0" w:line="254" w:lineRule="auto"/>
        <w:rPr>
          <w:sz w:val="20"/>
          <w:szCs w:val="20"/>
          <w:color w:val="auto"/>
        </w:rPr>
      </w:pPr>
      <w:r>
        <w:rPr>
          <w:rFonts w:ascii="Times New Roman" w:cs="Times New Roman" w:eastAsia="Times New Roman" w:hAnsi="Times New Roman"/>
          <w:sz w:val="17"/>
          <w:szCs w:val="17"/>
          <w:color w:val="auto"/>
        </w:rPr>
        <w:t>On August 7, 2023, the Company entered into a Stock Repurchase Agreement with FS Equity Partners V, L.P. and FS Affiliates V, L.P., pursuant to which the Company agreed to purchase an aggregate of 2,500,000 shares of the Company’s common stock from the Sellers at a price of $10.63 per share, representing the closing price of such shares as listed on Nasdaq on August 7, 2023, for a total purchase price of $26.6 million. The repurchase was completed in August 2023.</w:t>
      </w:r>
    </w:p>
    <w:p>
      <w:pPr>
        <w:spacing w:after="0" w:line="172" w:lineRule="exact"/>
        <w:rPr>
          <w:sz w:val="20"/>
          <w:szCs w:val="20"/>
          <w:color w:val="auto"/>
        </w:rPr>
      </w:pPr>
    </w:p>
    <w:p>
      <w:pPr>
        <w:jc w:val="both"/>
        <w:ind w:left="200" w:right="339"/>
        <w:spacing w:after="0" w:line="258" w:lineRule="auto"/>
        <w:rPr>
          <w:sz w:val="20"/>
          <w:szCs w:val="20"/>
          <w:color w:val="auto"/>
        </w:rPr>
      </w:pPr>
      <w:r>
        <w:rPr>
          <w:rFonts w:ascii="Times New Roman" w:cs="Times New Roman" w:eastAsia="Times New Roman" w:hAnsi="Times New Roman"/>
          <w:sz w:val="17"/>
          <w:szCs w:val="17"/>
          <w:color w:val="auto"/>
        </w:rPr>
        <w:t>Prior to the repurchase, Freeman Spogli, collectively with the Sellers and certain other funds managed by Freeman Spogli, was our largest stockholder. In addition, John Roth, a director of the Company until his resignation on August 16, 2023, is a general partner of Freeman Spogli and its chief executive officer.</w:t>
      </w:r>
    </w:p>
    <w:p>
      <w:pPr>
        <w:spacing w:after="0" w:line="169" w:lineRule="exact"/>
        <w:rPr>
          <w:sz w:val="20"/>
          <w:szCs w:val="20"/>
          <w:color w:val="auto"/>
        </w:rPr>
      </w:pPr>
    </w:p>
    <w:p>
      <w:pPr>
        <w:jc w:val="both"/>
        <w:ind w:left="200" w:right="219"/>
        <w:spacing w:after="0" w:line="274" w:lineRule="auto"/>
        <w:rPr>
          <w:sz w:val="20"/>
          <w:szCs w:val="20"/>
          <w:color w:val="auto"/>
        </w:rPr>
      </w:pPr>
      <w:r>
        <w:rPr>
          <w:rFonts w:ascii="Times New Roman" w:cs="Times New Roman" w:eastAsia="Times New Roman" w:hAnsi="Times New Roman"/>
          <w:sz w:val="16"/>
          <w:szCs w:val="16"/>
          <w:color w:val="auto"/>
        </w:rPr>
        <w:t>Further, on November 29, 2023, the Company entered into another Stock Repurchase Agreement with FS Equity Partners V, L.P. and FS Affiliates V, L.P., pursuant to which the Company agreed to purchase an aggregate of 1,500,000 shares of the Company’s common stock from the Sellers at a price of $8.40 per share, representing the closing price of such shares as listed on Nasdaq on November 29, 2023, for a total purchase price of $12,600,000. The repurchase was completed on December 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71" w:name="page72"/>
    <w:bookmarkEnd w:id="71"/>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OTHER MATTERS</w:t>
      </w:r>
    </w:p>
    <w:p>
      <w:pPr>
        <w:spacing w:after="0" w:line="221"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7"/>
          <w:szCs w:val="17"/>
          <w:color w:val="auto"/>
        </w:rPr>
        <w:t>The Board does not know of any other matters that are to be presented for action at the annual meeting. If any other matters properly come before the annual meeting or any adjournments or postponements thereof, the people named as proxies will have discretion to vote thereon.</w:t>
      </w:r>
    </w:p>
    <w:p>
      <w:pPr>
        <w:spacing w:after="0" w:line="167"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17"/>
          <w:szCs w:val="17"/>
          <w:color w:val="auto"/>
        </w:rPr>
        <w:t xml:space="preserve">A copy of our Annual Report has been posted, and is available without charge, on our website at </w:t>
      </w:r>
      <w:r>
        <w:rPr>
          <w:rFonts w:ascii="Times New Roman" w:cs="Times New Roman" w:eastAsia="Times New Roman" w:hAnsi="Times New Roman"/>
          <w:sz w:val="17"/>
          <w:szCs w:val="17"/>
          <w:i w:val="1"/>
          <w:iCs w:val="1"/>
          <w:u w:val="single" w:color="auto"/>
          <w:color w:val="auto"/>
        </w:rPr>
        <w:t>http://investor.elpolloloco.com</w:t>
      </w:r>
      <w:r>
        <w:rPr>
          <w:rFonts w:ascii="Times New Roman" w:cs="Times New Roman" w:eastAsia="Times New Roman" w:hAnsi="Times New Roman"/>
          <w:sz w:val="17"/>
          <w:szCs w:val="17"/>
          <w:color w:val="auto"/>
        </w:rPr>
        <w:t>. For stockholders receiving a Notice, such Notice will contain instructions on how to request a printed copy of our Annual Report. For stockholders receiving a printed copy of this proxy statement, a copy of our Annual Report has also been provided to you. In addition, a copy of our Annual Report (including the financial statements and schedules thereto), which we filed with the SEC on March 8, 2024, will be provided without charge to any person to whom this proxy statement is mailed upon the written request of any such person to El Pollo Loco Holdings, Inc., Attention: Corporate Secretary, 3535 Harbor Boulevard, Suite 100, Costa Mesa, CA 92626.</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/s/ Anne Jollay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13335</wp:posOffset>
            </wp:positionV>
            <wp:extent cx="219011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190115" cy="7620"/>
                    </a:xfrm>
                    <a:prstGeom prst="rect">
                      <a:avLst/>
                    </a:prstGeom>
                    <a:noFill/>
                  </pic:spPr>
                </pic:pic>
              </a:graphicData>
            </a:graphic>
          </wp:anchor>
        </w:drawing>
      </w:r>
    </w:p>
    <w:p>
      <w:pPr>
        <w:spacing w:after="0" w:line="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Anne E. Jollay</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Executive Vice President, Chief People and Legal Officer</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Corporate Secretary</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Costa Mesa, California</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April 16, 2024</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330835</wp:posOffset>
            </wp:positionV>
            <wp:extent cx="5459730" cy="234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5459730" cy="2349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Appendix A</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of Non-GAAP and other Key Financial Measures</w:t>
      </w:r>
    </w:p>
    <w:p>
      <w:pPr>
        <w:spacing w:after="0" w:line="20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To supplement our consolidated financial statements, which are prepared and presented in accordance with GAAP, we use the following non-GAAP financial measures that are supplemental measures of the operating performance of our business and restaurants: Restaurant contribution and restaurant contribution margin, EBITDA and adjusted EBITDA. Our calculations of these non-GAAP financial measures may not be comparable to those reported by other companies. These measures have limitations as analytical tools, and are not intended to be considered in isolation or as substitutes for, or superior to, financial measures prepared and presented in accordance with GAAP. We use non-GAAP financial measures for financial and operational decision-making and as a means to evaluate period-to-period comparisons and to evaluate our restaurants’ financial performance against our competitors’ performance. We believe these measures they provide useful information about our operating results, enhance understanding of past performance and future prospects, and allow for greater transparency with respect to key metrics used by management in its financial and operational decision making. These non-GAAP financial measures may also assist investors in evaluating our business and performance relative to industry peers and provide greater transparency with respect to the Company’s financial condition and results of operation.</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Company-operated restaurant revenue </w:t>
      </w:r>
      <w:r>
        <w:rPr>
          <w:rFonts w:ascii="Times New Roman" w:cs="Times New Roman" w:eastAsia="Times New Roman" w:hAnsi="Times New Roman"/>
          <w:sz w:val="17"/>
          <w:szCs w:val="17"/>
          <w:color w:val="auto"/>
        </w:rPr>
        <w:t>consists of sales of food and beverages in company-operated restaurants net of promotional allowances,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meals, and other discounts. Company-operated restaurant revenue in any period is directly influenced by the number of operating weeks in such period, the number of open restaurants, and comparable restaurant sales. Seasonal factors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company-operated restaurant revenue may fluctuate.</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Comparable restaurant sales </w:t>
      </w:r>
      <w:r>
        <w:rPr>
          <w:rFonts w:ascii="Times New Roman" w:cs="Times New Roman" w:eastAsia="Times New Roman" w:hAnsi="Times New Roman"/>
          <w:sz w:val="17"/>
          <w:szCs w:val="17"/>
          <w:color w:val="auto"/>
        </w:rPr>
        <w:t>reflect the change in year-over-year sales for the comparable company, franchised and total system restaurant base.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comparable restaurant base is defined to include those restaurants open for 15 months or longer and excludes restaurants that were closed during the applicable period. At December 27, 2023, there were 470 comparable restaurants, 178 company-operated and 292 franchised. Because other companies may calculate this measure differently than we do, comparable restaurant sales as presented herein may not be comparable to similarly titled measures reported by other companies. Management believes that comparable restaurant sales is a valuable metric for investors to evaluate the performance of our store base, excluding the impact of new stores and closed stores.</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Restaurant contribution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restaurant contribution margin </w:t>
      </w:r>
      <w:r>
        <w:rPr>
          <w:rFonts w:ascii="Times New Roman" w:cs="Times New Roman" w:eastAsia="Times New Roman" w:hAnsi="Times New Roman"/>
          <w:sz w:val="16"/>
          <w:szCs w:val="16"/>
          <w:color w:val="auto"/>
        </w:rPr>
        <w:t>are neither required by, nor presented in accordance with, GAAP. Restaurant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contribution is defined as company-operated restaurant revenue less company restaurant expenses, which includes food and paper costs, labor and related expenses, and occupancy and other operating expenses. Restaurant contribution therefore excludes franchise revenue, franchise advertising fee revenue and franchise expenses as well as certain other costs, such as general and administrative expenses, franchise expenses, depreciation and amortization, asset impairment and closed-store reserves, loss on disposal of assets and other costs that are considered corporate-level expenses and are not considered normal operating costs of our restaurants. Accordingly, restaurant contribution is not indicative of overall Company results and does not accrue directly to the benefit of shareholders because of the exclusion of certain corporate-level expenses. Restaurant contribution margin is defined as restaurant contribution as a percentage of net company-operated restaurant revenue. Additionally, because other companies may calculate these measures differently than we do, restaurant contribution and restaurant contribution margin as presented herein may not be comparable to similarly titled measures reported by other companies. Management uses restaurant contribution and restaurant contribution margin as a supplemental measure of restaurant performance. Management believes restaurant level operating margin is useful to investors to highlight trends in our core business that may not otherwise be apparent to investors when relying solely on GAAP financial measures.</w:t>
      </w:r>
    </w:p>
    <w:p>
      <w:pPr>
        <w:spacing w:after="0" w:line="1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EBITDA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adjusted EBITDA </w:t>
      </w:r>
      <w:r>
        <w:rPr>
          <w:rFonts w:ascii="Times New Roman" w:cs="Times New Roman" w:eastAsia="Times New Roman" w:hAnsi="Times New Roman"/>
          <w:sz w:val="17"/>
          <w:szCs w:val="17"/>
          <w:color w:val="auto"/>
        </w:rPr>
        <w:t>are neither required by, nor presented in accordance with, GAAP. EBITDA represents net income before interest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expense, provision for income taxes, depreciation, and amortization, and adjusted EBITDA represents EBITDA before items that we do not consider representative of our underlying operating performance, as identified in the reconciliation table below. Because other companies may calculate these measures differently than we do, EBITDA and adjusted EBITDA as presented herein may not be comparable to similarly titled measures reported by other companies. Management uses EBITDA and adjusted EBITDA as supplemental measures of our operating performance. Management believes these measures provide useful information to investors about our operational performance by highlighting trends in our core business that may not otherwise be apparent to investors when relying solely on GAAP financial measures and enabling investors to more effectively compare the Company’s performance to prior and future periods.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reconciliations of our net income to EBITDA and Adjusted EBITDA: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Fiscal Year</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5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(Amounts in thousands)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right"/>
              <w:ind w:right="238"/>
              <w:spacing w:after="0" w:line="108" w:lineRule="exact"/>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center"/>
              <w:ind w:right="19"/>
              <w:spacing w:after="0" w:line="108" w:lineRule="exact"/>
              <w:rPr>
                <w:sz w:val="20"/>
                <w:szCs w:val="20"/>
                <w:color w:val="auto"/>
              </w:rPr>
            </w:pPr>
            <w:r>
              <w:rPr>
                <w:rFonts w:ascii="Times New Roman" w:cs="Times New Roman" w:eastAsia="Times New Roman" w:hAnsi="Times New Roman"/>
                <w:sz w:val="12"/>
                <w:szCs w:val="12"/>
                <w:b w:val="1"/>
                <w:bCs w:val="1"/>
                <w:color w:val="auto"/>
              </w:rPr>
              <w:t>2022</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ind w:right="259"/>
              <w:spacing w:after="0" w:line="108" w:lineRule="exact"/>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60"/>
        </w:trPr>
        <w:tc>
          <w:tcPr>
            <w:tcW w:w="65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(52-Weeks)</w:t>
            </w: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(52-Weeks)</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rPr>
              <w:t>(53-Weeks)</w:t>
            </w:r>
          </w:p>
        </w:tc>
        <w:tc>
          <w:tcPr>
            <w:tcW w:w="0" w:type="dxa"/>
            <w:vAlign w:val="bottom"/>
          </w:tcPr>
          <w:p>
            <w:pPr>
              <w:spacing w:after="0"/>
              <w:rPr>
                <w:sz w:val="1"/>
                <w:szCs w:val="1"/>
                <w:color w:val="auto"/>
              </w:rPr>
            </w:pPr>
          </w:p>
        </w:tc>
      </w:tr>
      <w:tr>
        <w:trPr>
          <w:trHeight w:val="192"/>
        </w:trPr>
        <w:tc>
          <w:tcPr>
            <w:tcW w:w="65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Net income</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25,554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20,801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b w:val="1"/>
                <w:bCs w:val="1"/>
                <w:color w:val="auto"/>
              </w:rPr>
              <w:t>29,121</w:t>
            </w:r>
          </w:p>
        </w:tc>
        <w:tc>
          <w:tcPr>
            <w:tcW w:w="0" w:type="dxa"/>
            <w:vAlign w:val="bottom"/>
          </w:tcPr>
          <w:p>
            <w:pPr>
              <w:spacing w:after="0"/>
              <w:rPr>
                <w:sz w:val="1"/>
                <w:szCs w:val="1"/>
                <w:color w:val="auto"/>
              </w:rPr>
            </w:pPr>
          </w:p>
        </w:tc>
      </w:tr>
      <w:tr>
        <w:trPr>
          <w:trHeight w:val="200"/>
        </w:trPr>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Non-GAAP adjustments: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10,332</w:t>
            </w:r>
          </w:p>
        </w:tc>
        <w:tc>
          <w:tcPr>
            <w:tcW w:w="0" w:type="dxa"/>
            <w:vAlign w:val="bottom"/>
          </w:tcPr>
          <w:p>
            <w:pPr>
              <w:spacing w:after="0"/>
              <w:rPr>
                <w:sz w:val="1"/>
                <w:szCs w:val="1"/>
                <w:color w:val="auto"/>
              </w:rPr>
            </w:pPr>
          </w:p>
        </w:tc>
      </w:tr>
      <w:tr>
        <w:trPr>
          <w:trHeight w:val="200"/>
        </w:trPr>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net of interest income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1,824</w:t>
            </w:r>
          </w:p>
        </w:tc>
        <w:tc>
          <w:tcPr>
            <w:tcW w:w="0" w:type="dxa"/>
            <w:vAlign w:val="bottom"/>
          </w:tcPr>
          <w:p>
            <w:pPr>
              <w:spacing w:after="0"/>
              <w:rPr>
                <w:sz w:val="1"/>
                <w:szCs w:val="1"/>
                <w:color w:val="auto"/>
              </w:rPr>
            </w:pPr>
          </w:p>
        </w:tc>
      </w:tr>
      <w:tr>
        <w:trPr>
          <w:trHeight w:val="20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15,235</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14,418</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15,176</w:t>
            </w:r>
          </w:p>
        </w:tc>
        <w:tc>
          <w:tcPr>
            <w:tcW w:w="0" w:type="dxa"/>
            <w:vAlign w:val="bottom"/>
          </w:tcPr>
          <w:p>
            <w:pPr>
              <w:spacing w:after="0"/>
              <w:rPr>
                <w:sz w:val="1"/>
                <w:szCs w:val="1"/>
                <w:color w:val="auto"/>
              </w:rPr>
            </w:pPr>
          </w:p>
        </w:tc>
      </w:tr>
      <w:tr>
        <w:trPr>
          <w:trHeight w:val="192"/>
        </w:trPr>
        <w:tc>
          <w:tcPr>
            <w:tcW w:w="6580" w:type="dxa"/>
            <w:vAlign w:val="bottom"/>
            <w:tcBorders>
              <w:bottom w:val="single" w:sz="8" w:color="CCEEFF"/>
            </w:tcBorders>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EBITDA</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54,924</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44,974</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56,453</w:t>
            </w:r>
          </w:p>
        </w:tc>
        <w:tc>
          <w:tcPr>
            <w:tcW w:w="0" w:type="dxa"/>
            <w:vAlign w:val="bottom"/>
          </w:tcPr>
          <w:p>
            <w:pPr>
              <w:spacing w:after="0"/>
              <w:rPr>
                <w:sz w:val="1"/>
                <w:szCs w:val="1"/>
                <w:color w:val="auto"/>
              </w:rPr>
            </w:pPr>
          </w:p>
        </w:tc>
      </w:tr>
      <w:tr>
        <w:trPr>
          <w:trHeight w:val="192"/>
        </w:trPr>
        <w:tc>
          <w:tcPr>
            <w:tcW w:w="65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Stock-based compensation expense (a)</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3,337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3,491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3,220</w:t>
            </w:r>
          </w:p>
        </w:tc>
        <w:tc>
          <w:tcPr>
            <w:tcW w:w="0" w:type="dxa"/>
            <w:vAlign w:val="bottom"/>
          </w:tcPr>
          <w:p>
            <w:pPr>
              <w:spacing w:after="0"/>
              <w:rPr>
                <w:sz w:val="1"/>
                <w:szCs w:val="1"/>
                <w:color w:val="auto"/>
              </w:rPr>
            </w:pPr>
          </w:p>
        </w:tc>
      </w:tr>
      <w:tr>
        <w:trPr>
          <w:trHeight w:val="200"/>
        </w:trPr>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Loss on disposal of assets (b)</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0" w:type="dxa"/>
            <w:vAlign w:val="bottom"/>
          </w:tcPr>
          <w:p>
            <w:pPr>
              <w:spacing w:after="0"/>
              <w:rPr>
                <w:sz w:val="1"/>
                <w:szCs w:val="1"/>
                <w:color w:val="auto"/>
              </w:rPr>
            </w:pPr>
          </w:p>
        </w:tc>
      </w:tr>
      <w:tr>
        <w:trPr>
          <w:trHeight w:val="20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and closed-store reserves (c)</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w:t>
            </w:r>
          </w:p>
        </w:tc>
        <w:tc>
          <w:tcPr>
            <w:tcW w:w="0" w:type="dxa"/>
            <w:vAlign w:val="bottom"/>
          </w:tcPr>
          <w:p>
            <w:pPr>
              <w:spacing w:after="0"/>
              <w:rPr>
                <w:sz w:val="1"/>
                <w:szCs w:val="1"/>
                <w:color w:val="auto"/>
              </w:rPr>
            </w:pPr>
          </w:p>
        </w:tc>
      </w:tr>
      <w:tr>
        <w:trPr>
          <w:trHeight w:val="200"/>
        </w:trPr>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(Gain) loss on disposition of restaurants (d)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0" w:type="dxa"/>
            <w:vAlign w:val="bottom"/>
          </w:tcPr>
          <w:p>
            <w:pPr>
              <w:spacing w:after="0"/>
              <w:rPr>
                <w:sz w:val="1"/>
                <w:szCs w:val="1"/>
                <w:color w:val="auto"/>
              </w:rPr>
            </w:pPr>
          </w:p>
        </w:tc>
      </w:tr>
      <w:tr>
        <w:trPr>
          <w:trHeight w:val="20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receivable agreement (income) expense (e)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00"/>
        </w:trPr>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Securities class action legal expense (f)</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0" w:type="dxa"/>
            <w:vAlign w:val="bottom"/>
          </w:tcPr>
          <w:p>
            <w:pPr>
              <w:spacing w:after="0"/>
              <w:rPr>
                <w:sz w:val="1"/>
                <w:szCs w:val="1"/>
                <w:color w:val="auto"/>
              </w:rPr>
            </w:pPr>
          </w:p>
        </w:tc>
      </w:tr>
      <w:tr>
        <w:trPr>
          <w:trHeight w:val="20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Special dividend (g)</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Legal settlements (h)</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Special legal expenses (i)</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Shareholder advisory fees (j)</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recovery of insurance proceeds (k)</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Executive transition costs (l)</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Severance (m)</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Pre-opening costs (n)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0" w:type="dxa"/>
            <w:vAlign w:val="bottom"/>
          </w:tcPr>
          <w:p>
            <w:pPr>
              <w:spacing w:after="0"/>
              <w:rPr>
                <w:sz w:val="1"/>
                <w:szCs w:val="1"/>
                <w:color w:val="auto"/>
              </w:rPr>
            </w:pPr>
          </w:p>
        </w:tc>
      </w:tr>
      <w:tr>
        <w:trPr>
          <w:trHeight w:val="20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57,356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48,676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63,395</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300" w:hanging="299"/>
        <w:spacing w:after="0"/>
        <w:tabs>
          <w:tab w:leader="none" w:pos="3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non-cash, stock-based compensation.</w:t>
      </w:r>
    </w:p>
    <w:p>
      <w:pPr>
        <w:spacing w:after="0" w:line="204" w:lineRule="exact"/>
        <w:rPr>
          <w:rFonts w:ascii="Times New Roman" w:cs="Times New Roman" w:eastAsia="Times New Roman" w:hAnsi="Times New Roman"/>
          <w:sz w:val="17"/>
          <w:szCs w:val="17"/>
          <w:color w:val="auto"/>
        </w:rPr>
      </w:pPr>
    </w:p>
    <w:p>
      <w:pPr>
        <w:ind w:left="300" w:right="100" w:hanging="299"/>
        <w:spacing w:after="0" w:line="271" w:lineRule="auto"/>
        <w:tabs>
          <w:tab w:leader="none" w:pos="3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on disposal of assets includes the loss on disposal of assets related to retirements and replacement or write-off of leasehold improvements or equipment.</w:t>
      </w:r>
    </w:p>
    <w:p>
      <w:pPr>
        <w:spacing w:after="0" w:line="158" w:lineRule="exact"/>
        <w:rPr>
          <w:rFonts w:ascii="Times New Roman" w:cs="Times New Roman" w:eastAsia="Times New Roman" w:hAnsi="Times New Roman"/>
          <w:sz w:val="17"/>
          <w:szCs w:val="17"/>
          <w:color w:val="auto"/>
        </w:rPr>
      </w:pPr>
    </w:p>
    <w:p>
      <w:pPr>
        <w:ind w:left="300" w:right="140" w:hanging="299"/>
        <w:spacing w:after="0" w:line="254" w:lineRule="auto"/>
        <w:tabs>
          <w:tab w:leader="none" w:pos="3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costs related to impairment of property and equipment and ROU assets and closing restaurants. During fiscal 2023, we recorded non-cash impairment charges of $1.5 million, primarily related to the property and equipment assets of one restaurant in Nevada and the carrying value of the ROU assets of one restaurant in California. During fiscal 2023, we recognized $0.2 million of closed-store reserve expense, primarily related to the amortization of ROU assets, property taxes and CAM payments for our closed locations.</w:t>
      </w:r>
    </w:p>
    <w:p>
      <w:pPr>
        <w:spacing w:after="0" w:line="172" w:lineRule="exact"/>
        <w:rPr>
          <w:rFonts w:ascii="Times New Roman" w:cs="Times New Roman" w:eastAsia="Times New Roman" w:hAnsi="Times New Roman"/>
          <w:sz w:val="17"/>
          <w:szCs w:val="17"/>
          <w:color w:val="auto"/>
        </w:rPr>
      </w:pPr>
    </w:p>
    <w:p>
      <w:pPr>
        <w:ind w:left="300" w:right="4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fiscal 2022, we recorded non-cash impairment charges of $0.5 million for the year ended December 28, 2022, primarily related to the carrying value of the ROU assets of one restaurant in California that closed in 2021 and the property and equipment assets of two restaurants in California. During fiscal 2022, we recognized $0.3 million of closed-store reserve expense, primarily related to the amortization of ROU assets, property taxes and CAM payments for our closed locations.</w:t>
      </w:r>
    </w:p>
    <w:p>
      <w:pPr>
        <w:spacing w:after="0" w:line="172" w:lineRule="exact"/>
        <w:rPr>
          <w:rFonts w:ascii="Times New Roman" w:cs="Times New Roman" w:eastAsia="Times New Roman" w:hAnsi="Times New Roman"/>
          <w:sz w:val="17"/>
          <w:szCs w:val="17"/>
          <w:color w:val="auto"/>
        </w:rPr>
      </w:pPr>
    </w:p>
    <w:p>
      <w:pPr>
        <w:jc w:val="both"/>
        <w:ind w:left="30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fiscal 2021, we recorded non-cash impairment charges of $0.7 million for the year ended December 29, 2021, primarily related to the carrying value of one restaurant in Texas that closed in 2019, the ROU assets of one restaurant in California closed in 2021, and the property and equipment assets of three restaurants in California. During fiscal 2021, we recognized $0.4 million of closed-store reserve expense, primarily related to the amortization of ROU assets, property taxes and CAM payments for our closed locations.</w:t>
      </w:r>
    </w:p>
    <w:p>
      <w:pPr>
        <w:spacing w:after="0" w:line="172" w:lineRule="exact"/>
        <w:rPr>
          <w:rFonts w:ascii="Times New Roman" w:cs="Times New Roman" w:eastAsia="Times New Roman" w:hAnsi="Times New Roman"/>
          <w:sz w:val="17"/>
          <w:szCs w:val="17"/>
          <w:color w:val="auto"/>
        </w:rPr>
      </w:pPr>
    </w:p>
    <w:p>
      <w:pPr>
        <w:ind w:left="300" w:right="20" w:hanging="299"/>
        <w:spacing w:after="0" w:line="249" w:lineRule="auto"/>
        <w:tabs>
          <w:tab w:leader="none" w:pos="3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fiscal 2023, we completed the sale of 18 company-operated restaurants within California, Utah and Texas to existing franchisees. These sales during 2023 resulted in cash proceeds of $7.7 million and a net gain on sale of restaurants of $5.0 million for the year ended December 27, 2023. During fiscal 2022, we completed the sale of three company-operated restaurants within the Orange County area to an existing franchisee. This sale during 2022 resulted in cash proceeds of $1.0 million and a net gain on sale of restaurants of $0.8 million for the year ended December 28, 2022. During fiscal 2021, we completed the sale of our eight restaurants within Sacramento area to an existing franchisee. This sale resulted in cash proceeds of $4.6 million during the year ended December 29, 2021 and a net loss on sale of restaurants of $1.5 million for the year ended December 29, 2021.</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300" w:right="20" w:hanging="299"/>
        <w:spacing w:after="0" w:line="254" w:lineRule="auto"/>
        <w:tabs>
          <w:tab w:leader="none" w:pos="3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years ended December 27, 2023, December 28, 2022 and December 29, 2021, income tax receivable agreement (income) expense consisted of the amortization of interest expense and changes in estimates for actual tax returns filed, related to our total expected TRA payments.</w:t>
      </w:r>
    </w:p>
    <w:p>
      <w:pPr>
        <w:spacing w:after="0" w:line="172" w:lineRule="exact"/>
        <w:rPr>
          <w:rFonts w:ascii="Times New Roman" w:cs="Times New Roman" w:eastAsia="Times New Roman" w:hAnsi="Times New Roman"/>
          <w:sz w:val="17"/>
          <w:szCs w:val="17"/>
          <w:color w:val="auto"/>
        </w:rPr>
      </w:pPr>
    </w:p>
    <w:p>
      <w:pPr>
        <w:ind w:left="300" w:right="20" w:hanging="299"/>
        <w:spacing w:after="0" w:line="258" w:lineRule="auto"/>
        <w:tabs>
          <w:tab w:leader="none" w:pos="3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costs related to the defense of securities lawsuits. During the year ended December 29, 2021, we received $0.5 million in insurance proceeds, net of legal expenses, related to the derivative complaint. See Note 13 “Commitments and Contingencies—Legal Matters” in the accompanying “Notes to Consolidated Financial Statements” in this Annual Report.</w:t>
      </w:r>
    </w:p>
    <w:p>
      <w:pPr>
        <w:spacing w:after="0" w:line="169" w:lineRule="exact"/>
        <w:rPr>
          <w:rFonts w:ascii="Times New Roman" w:cs="Times New Roman" w:eastAsia="Times New Roman" w:hAnsi="Times New Roman"/>
          <w:sz w:val="17"/>
          <w:szCs w:val="17"/>
          <w:color w:val="auto"/>
        </w:rPr>
      </w:pPr>
    </w:p>
    <w:p>
      <w:pPr>
        <w:ind w:left="300" w:hanging="299"/>
        <w:spacing w:after="0" w:line="258" w:lineRule="auto"/>
        <w:tabs>
          <w:tab w:leader="none" w:pos="3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fiscal 2023 and fiscal 2022, we encountered costs related to a special dividend declaration. On October 11, 2022, the Board of Directors declared a special dividend of $1.50 per share on our common stock. The special dividend was paid on November 9, 2022, to stockholders of record, including holders of restricted stock, at the close of business on October 24, 2022.</w:t>
      </w:r>
    </w:p>
    <w:p>
      <w:pPr>
        <w:spacing w:after="0" w:line="169"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$0.5 million received from legal settlements, net of legal expenses.</w:t>
      </w:r>
    </w:p>
    <w:p>
      <w:pPr>
        <w:spacing w:after="0" w:line="204" w:lineRule="exact"/>
        <w:rPr>
          <w:rFonts w:ascii="Times New Roman" w:cs="Times New Roman" w:eastAsia="Times New Roman" w:hAnsi="Times New Roman"/>
          <w:sz w:val="17"/>
          <w:szCs w:val="17"/>
          <w:color w:val="auto"/>
        </w:rPr>
      </w:pPr>
    </w:p>
    <w:p>
      <w:pPr>
        <w:ind w:left="300" w:right="280" w:hanging="299"/>
        <w:spacing w:after="0" w:line="271" w:lineRule="auto"/>
        <w:tabs>
          <w:tab w:leader="none" w:pos="3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legal costs related to the share distribution that occurred on March 28, 2023. Refer to Note 14, “Related Party Transactions” for further details on the share distribution.</w:t>
      </w:r>
    </w:p>
    <w:p>
      <w:pPr>
        <w:spacing w:after="0" w:line="158" w:lineRule="exact"/>
        <w:rPr>
          <w:rFonts w:ascii="Times New Roman" w:cs="Times New Roman" w:eastAsia="Times New Roman" w:hAnsi="Times New Roman"/>
          <w:sz w:val="17"/>
          <w:szCs w:val="17"/>
          <w:color w:val="auto"/>
        </w:rPr>
      </w:pPr>
    </w:p>
    <w:p>
      <w:pPr>
        <w:ind w:left="300" w:right="220" w:hanging="299"/>
        <w:spacing w:after="0" w:line="258" w:lineRule="auto"/>
        <w:tabs>
          <w:tab w:leader="none" w:pos="3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advisory fees pertaining to a Shareholder Rights Agreement adopted in connection with a shareholder’s accumulation of a significant amount of shares of our common stock. Refer to Note 16, “Shareholder Rights Agreement” for further details on the Shareholder Rights Agreement.</w:t>
      </w:r>
    </w:p>
    <w:p>
      <w:pPr>
        <w:spacing w:after="0" w:line="169" w:lineRule="exact"/>
        <w:rPr>
          <w:rFonts w:ascii="Times New Roman" w:cs="Times New Roman" w:eastAsia="Times New Roman" w:hAnsi="Times New Roman"/>
          <w:sz w:val="17"/>
          <w:szCs w:val="17"/>
          <w:color w:val="auto"/>
        </w:rPr>
      </w:pPr>
    </w:p>
    <w:p>
      <w:pPr>
        <w:ind w:left="300" w:right="20" w:hanging="299"/>
        <w:spacing w:after="0" w:line="250" w:lineRule="auto"/>
        <w:tabs>
          <w:tab w:leader="none" w:pos="3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fiscal 2023 and fiscal 2022, two of our restaurants incurred damage resulting from a fire. In fiscal 2023, we incurred costs directly related to the fire of less than $0.1 million. We recognized gains of $0.2 million, related to the reimbursement of property and equipment and expenses incurred and $0.3 million related to the reimbursement of lost profits. The gain on recovery of insurance proceeds and reimbursement of lost profits, net of the related costs is included in the accompanying consolidated statements of income, for fiscal 2023, as a reduction of company restaurant expenses. We received from the insurance company cash of $0.5 million, net of the insurance deductible, during fiscal 2023.</w:t>
      </w:r>
    </w:p>
    <w:p>
      <w:pPr>
        <w:spacing w:after="0" w:line="177" w:lineRule="exact"/>
        <w:rPr>
          <w:rFonts w:ascii="Times New Roman" w:cs="Times New Roman" w:eastAsia="Times New Roman" w:hAnsi="Times New Roman"/>
          <w:sz w:val="17"/>
          <w:szCs w:val="17"/>
          <w:color w:val="auto"/>
        </w:rPr>
      </w:pPr>
    </w:p>
    <w:p>
      <w:pPr>
        <w:ind w:left="300" w:right="320" w:hanging="299"/>
        <w:spacing w:after="0" w:line="271" w:lineRule="auto"/>
        <w:tabs>
          <w:tab w:leader="none" w:pos="3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costs associated with the transition of our CEO, such as severance, executive recruiting costs and stock-based compensation costs associated with the transition of our former CEO.</w:t>
      </w:r>
    </w:p>
    <w:p>
      <w:pPr>
        <w:spacing w:after="0" w:line="158" w:lineRule="exact"/>
        <w:rPr>
          <w:rFonts w:ascii="Times New Roman" w:cs="Times New Roman" w:eastAsia="Times New Roman" w:hAnsi="Times New Roman"/>
          <w:sz w:val="17"/>
          <w:szCs w:val="17"/>
          <w:color w:val="auto"/>
        </w:rPr>
      </w:pPr>
    </w:p>
    <w:p>
      <w:pPr>
        <w:ind w:left="300" w:hanging="299"/>
        <w:spacing w:after="0" w:line="271" w:lineRule="auto"/>
        <w:tabs>
          <w:tab w:leader="none" w:pos="3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April 13, 2023 the Company made the decision to eliminate and restructure certain positions in the organization, which resulted in one-time costs of approximately $1.1 million.</w:t>
      </w:r>
    </w:p>
    <w:p>
      <w:pPr>
        <w:spacing w:after="0" w:line="158" w:lineRule="exact"/>
        <w:rPr>
          <w:rFonts w:ascii="Times New Roman" w:cs="Times New Roman" w:eastAsia="Times New Roman" w:hAnsi="Times New Roman"/>
          <w:sz w:val="17"/>
          <w:szCs w:val="17"/>
          <w:color w:val="auto"/>
        </w:rPr>
      </w:pPr>
    </w:p>
    <w:p>
      <w:pPr>
        <w:ind w:left="300" w:right="60" w:hanging="299"/>
        <w:spacing w:after="0" w:line="254" w:lineRule="auto"/>
        <w:tabs>
          <w:tab w:leader="none" w:pos="3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860"/>
          </w:cols>
          <w:pgMar w:left="980" w:top="485" w:right="10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restaurant contribution and restaurant contribution margin to company-operated restaurant revenue is provided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Fiscal Year</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(Dollar amounts in thousands)</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ind w:right="199"/>
              <w:spacing w:after="0" w:line="108" w:lineRule="exact"/>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2022</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ind w:right="199"/>
              <w:spacing w:after="0" w:line="108" w:lineRule="exact"/>
              <w:rPr>
                <w:sz w:val="20"/>
                <w:szCs w:val="20"/>
                <w:color w:val="auto"/>
              </w:rPr>
            </w:pPr>
            <w:r>
              <w:rPr>
                <w:rFonts w:ascii="Times New Roman" w:cs="Times New Roman" w:eastAsia="Times New Roman" w:hAnsi="Times New Roman"/>
                <w:sz w:val="12"/>
                <w:szCs w:val="12"/>
                <w:b w:val="1"/>
                <w:bCs w:val="1"/>
                <w:color w:val="auto"/>
              </w:rPr>
              <w:t>2021</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66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8"/>
              </w:rPr>
              <w:t>(52-Weeks)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(52-Weeks)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8"/>
              </w:rPr>
              <w:t>(52-Weeks)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6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Restaurant contribution:</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39,792</w:t>
            </w:r>
          </w:p>
        </w:tc>
        <w:tc>
          <w:tcPr>
            <w:tcW w:w="2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30,120</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41,335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 (less):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42,025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39,093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39,852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Franchise expenses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38,404</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36,169</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32,831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14,418</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15,176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Loss on disposal of assets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Gain on recovery of insurance proceeds, property, equipment and expenses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Franchise revenue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(41,002)</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(38,225)</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Franchise advertising fee revenue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(29,225)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(28,516)</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(25,901)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Impairment and closed-store reserves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(Gain) loss on disposition of restaurants</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(5,034)</w:t>
            </w:r>
          </w:p>
        </w:tc>
        <w:tc>
          <w:tcPr>
            <w:tcW w:w="2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6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Restaurant contribution</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61,872</w:t>
            </w:r>
          </w:p>
        </w:tc>
        <w:tc>
          <w:tcPr>
            <w:tcW w:w="2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53,128</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72,474</w:t>
            </w: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restart"/>
          </w:tcPr>
          <w:p>
            <w:pPr>
              <w:spacing w:after="0"/>
              <w:rPr>
                <w:sz w:val="15"/>
                <w:szCs w:val="15"/>
                <w:color w:val="auto"/>
              </w:rPr>
            </w:pPr>
          </w:p>
        </w:tc>
        <w:tc>
          <w:tcPr>
            <w:tcW w:w="6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Company-operated restaurant revenue: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468,664</w:t>
            </w:r>
          </w:p>
        </w:tc>
        <w:tc>
          <w:tcPr>
            <w:tcW w:w="2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469,959</w:t>
            </w:r>
          </w:p>
        </w:tc>
        <w:tc>
          <w:tcPr>
            <w:tcW w:w="1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454,363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Franchise revenue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(41,002)</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(38,225)</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Franchise advertising fee revenue</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(29,225)</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(28,516)</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(25,901)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68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Company-operated restaurant revenue</w:t>
            </w:r>
          </w:p>
        </w:tc>
        <w:tc>
          <w:tcPr>
            <w:tcW w:w="180" w:type="dxa"/>
            <w:vAlign w:val="bottom"/>
          </w:tcPr>
          <w:p>
            <w:pPr>
              <w:spacing w:after="0"/>
              <w:rPr>
                <w:sz w:val="20"/>
                <w:szCs w:val="20"/>
                <w:color w:val="auto"/>
              </w:rPr>
            </w:pPr>
          </w:p>
        </w:tc>
        <w:tc>
          <w:tcPr>
            <w:tcW w:w="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398,437</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403,218</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394,733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66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Restaurant contribution margin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15.5 %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13.2 %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Appendix B</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AMENDED AND RESTATED CERTIFICATE OF INCORPORATION</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OF</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EL POLLO LOCO HOLDINGS, INC.</w:t>
      </w:r>
    </w:p>
    <w:p>
      <w:pPr>
        <w:spacing w:after="0" w:line="204" w:lineRule="exact"/>
        <w:rPr>
          <w:sz w:val="20"/>
          <w:szCs w:val="20"/>
          <w:color w:val="auto"/>
        </w:rPr>
      </w:pPr>
    </w:p>
    <w:p>
      <w:pPr>
        <w:ind w:right="460" w:firstLine="600"/>
        <w:spacing w:after="0" w:line="303" w:lineRule="auto"/>
        <w:rPr>
          <w:sz w:val="20"/>
          <w:szCs w:val="20"/>
          <w:color w:val="auto"/>
        </w:rPr>
      </w:pPr>
      <w:r>
        <w:rPr>
          <w:rFonts w:ascii="Times New Roman" w:cs="Times New Roman" w:eastAsia="Times New Roman" w:hAnsi="Times New Roman"/>
          <w:sz w:val="16"/>
          <w:szCs w:val="16"/>
          <w:color w:val="auto"/>
        </w:rPr>
        <w:t>The undersigned, Elizabeth Williams, certifies that she is the Chief Executive Officer and Director of El Pollo Loco Holdings, Inc., a corporation organized and existing under the laws of the State of Delaware (the “</w:t>
      </w:r>
      <w:r>
        <w:rPr>
          <w:rFonts w:ascii="Times New Roman" w:cs="Times New Roman" w:eastAsia="Times New Roman" w:hAnsi="Times New Roman"/>
          <w:sz w:val="16"/>
          <w:szCs w:val="16"/>
          <w:u w:val="single" w:color="auto"/>
          <w:color w:val="auto"/>
        </w:rPr>
        <w:t>Corporation</w:t>
      </w:r>
      <w:r>
        <w:rPr>
          <w:rFonts w:ascii="Times New Roman" w:cs="Times New Roman" w:eastAsia="Times New Roman" w:hAnsi="Times New Roman"/>
          <w:sz w:val="16"/>
          <w:szCs w:val="16"/>
          <w:color w:val="auto"/>
        </w:rPr>
        <w:t>”), and does hereby further certify as follows:</w:t>
      </w:r>
    </w:p>
    <w:p>
      <w:pPr>
        <w:spacing w:after="0" w:line="135" w:lineRule="exact"/>
        <w:rPr>
          <w:sz w:val="20"/>
          <w:szCs w:val="20"/>
          <w:color w:val="auto"/>
        </w:rPr>
      </w:pPr>
    </w:p>
    <w:p>
      <w:pPr>
        <w:ind w:left="840" w:hanging="239"/>
        <w:spacing w:after="0"/>
        <w:tabs>
          <w:tab w:leader="none" w:pos="84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Corporation is El Pollo Loco Holdings, Inc.</w:t>
      </w:r>
    </w:p>
    <w:p>
      <w:pPr>
        <w:spacing w:after="0" w:line="204" w:lineRule="exact"/>
        <w:rPr>
          <w:rFonts w:ascii="Times New Roman" w:cs="Times New Roman" w:eastAsia="Times New Roman" w:hAnsi="Times New Roman"/>
          <w:sz w:val="17"/>
          <w:szCs w:val="17"/>
          <w:color w:val="auto"/>
        </w:rPr>
      </w:pPr>
    </w:p>
    <w:p>
      <w:pPr>
        <w:ind w:left="600" w:right="40" w:firstLine="1"/>
        <w:spacing w:after="0" w:line="247" w:lineRule="auto"/>
        <w:tabs>
          <w:tab w:leader="none" w:pos="83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under which the Corporation was originally incorporated was EP Acquisition Corp. and the original Certificate of Incorporation was filed with the Secretary of State of the State of Delaware on September 13, 2005. The original Certificate of Incorporation was amended on (i) September 22, 2005, by filing a certificate of amendment with the Secretary of State of the State of Delaware, (ii) December 1, 2005, by filing a certificate of correction with the Secretary of State of the State of Delaware, (iii) December 6, 2005, by filing a restated certificate of incorporation with the Secretary of State of the State of Delaware, (iv) July 6, 2007, by filing a certificate of change of registered agent with the Secretary of State of the State of Delaware, (v) April 22, 2014, by filing a certificate of ownership and merger with the Secretary of State of the State of Delaware and (vi) July 14, 2014, by filing a certificate of amendment with the Secretary of State of the State of Delaware (collectively, the “</w:t>
      </w:r>
      <w:r>
        <w:rPr>
          <w:rFonts w:ascii="Times New Roman" w:cs="Times New Roman" w:eastAsia="Times New Roman" w:hAnsi="Times New Roman"/>
          <w:sz w:val="17"/>
          <w:szCs w:val="17"/>
          <w:u w:val="single" w:color="auto"/>
          <w:color w:val="auto"/>
        </w:rPr>
        <w:t>Original Certificate of Incorporation</w:t>
      </w:r>
      <w:r>
        <w:rPr>
          <w:rFonts w:ascii="Times New Roman" w:cs="Times New Roman" w:eastAsia="Times New Roman" w:hAnsi="Times New Roman"/>
          <w:sz w:val="17"/>
          <w:szCs w:val="17"/>
          <w:color w:val="auto"/>
        </w:rPr>
        <w:t>”). Pursuant to the certificate of amendment filed on September 22, 2005, the Corporation changed its name to Chicken Acquisition Corp. Pursuant to the certificate of ownership and merger filed on April 22, 2014, the Corporation changed its name to El Pollo Loco Holdings, Inc. The Amended and Restated Certificate of Incorporation of the Corporation (the “</w:t>
      </w:r>
      <w:r>
        <w:rPr>
          <w:rFonts w:ascii="Times New Roman" w:cs="Times New Roman" w:eastAsia="Times New Roman" w:hAnsi="Times New Roman"/>
          <w:sz w:val="17"/>
          <w:szCs w:val="17"/>
          <w:u w:val="single" w:color="auto"/>
          <w:color w:val="auto"/>
        </w:rPr>
        <w:t>Certificate of Incorporation</w:t>
      </w:r>
      <w:r>
        <w:rPr>
          <w:rFonts w:ascii="Times New Roman" w:cs="Times New Roman" w:eastAsia="Times New Roman" w:hAnsi="Times New Roman"/>
          <w:sz w:val="17"/>
          <w:szCs w:val="17"/>
          <w:color w:val="auto"/>
        </w:rPr>
        <w:t>”) was filed with the Secretary of State of the State of Delaware on July 24, 2014.</w:t>
      </w:r>
    </w:p>
    <w:p>
      <w:pPr>
        <w:spacing w:after="0" w:line="185" w:lineRule="exact"/>
        <w:rPr>
          <w:rFonts w:ascii="Times New Roman" w:cs="Times New Roman" w:eastAsia="Times New Roman" w:hAnsi="Times New Roman"/>
          <w:sz w:val="17"/>
          <w:szCs w:val="17"/>
          <w:color w:val="auto"/>
        </w:rPr>
      </w:pPr>
    </w:p>
    <w:p>
      <w:pPr>
        <w:ind w:left="600" w:right="120" w:firstLine="1"/>
        <w:spacing w:after="0" w:line="254" w:lineRule="auto"/>
        <w:tabs>
          <w:tab w:leader="none" w:pos="83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Amended and Restated Certificate of Incorporation of the Corporation (as it may be amended from time to time, the “</w:t>
      </w:r>
      <w:r>
        <w:rPr>
          <w:rFonts w:ascii="Times New Roman" w:cs="Times New Roman" w:eastAsia="Times New Roman" w:hAnsi="Times New Roman"/>
          <w:sz w:val="17"/>
          <w:szCs w:val="17"/>
          <w:u w:val="single" w:color="auto"/>
          <w:color w:val="auto"/>
        </w:rPr>
        <w:t>Amended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and Restated Certificate of Incorporation</w:t>
      </w:r>
      <w:r>
        <w:rPr>
          <w:rFonts w:ascii="Times New Roman" w:cs="Times New Roman" w:eastAsia="Times New Roman" w:hAnsi="Times New Roman"/>
          <w:sz w:val="17"/>
          <w:szCs w:val="17"/>
          <w:color w:val="auto"/>
        </w:rPr>
        <w:t>”) has been duly adopted by the Board of Directors of the Corporation (the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in accordance with the provisions of Sections 242 and 245 of the General Corporation Law of the State of Delaware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and was approved by the stockholders of the Corporation in accordance with the provisions of Section 242 of the DGCL.</w:t>
      </w:r>
    </w:p>
    <w:p>
      <w:pPr>
        <w:spacing w:after="0" w:line="172" w:lineRule="exact"/>
        <w:rPr>
          <w:rFonts w:ascii="Times New Roman" w:cs="Times New Roman" w:eastAsia="Times New Roman" w:hAnsi="Times New Roman"/>
          <w:sz w:val="17"/>
          <w:szCs w:val="17"/>
          <w:color w:val="auto"/>
        </w:rPr>
      </w:pPr>
    </w:p>
    <w:p>
      <w:pPr>
        <w:ind w:left="600" w:right="60" w:firstLine="1"/>
        <w:spacing w:after="0" w:line="271" w:lineRule="auto"/>
        <w:tabs>
          <w:tab w:leader="none" w:pos="83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Amended and Restated Certificate of Incorporation amends and restates the Certificate of Incorporation, as heretofore amended or supplemented.</w:t>
      </w:r>
    </w:p>
    <w:p>
      <w:pPr>
        <w:spacing w:after="0" w:line="158"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7"/>
          <w:szCs w:val="17"/>
          <w:color w:val="auto"/>
        </w:rPr>
        <w:t>Effective as of 11:59 P.M. Eastern Time on [ ], 2024, the text of the Certificate of Incorporation is hereby amended and restated to read in its entirety as follows: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The name of the Corporation is El Pollo Loco Holdings, Inc. (hereinafter,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ind w:right="380" w:firstLine="600"/>
        <w:spacing w:after="0" w:line="271" w:lineRule="auto"/>
        <w:rPr>
          <w:sz w:val="20"/>
          <w:szCs w:val="20"/>
          <w:color w:val="auto"/>
        </w:rPr>
      </w:pP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The address of the registered office of the Corporation in the State of Delaware is 251 Little Falls Drive, Wilmington, New Castle County, 19808. The name of its registered agent at that address is Corporation Service Company.</w:t>
      </w:r>
    </w:p>
    <w:p>
      <w:pPr>
        <w:spacing w:after="0" w:line="158" w:lineRule="exact"/>
        <w:rPr>
          <w:sz w:val="20"/>
          <w:szCs w:val="20"/>
          <w:color w:val="auto"/>
        </w:rPr>
      </w:pPr>
    </w:p>
    <w:p>
      <w:pPr>
        <w:ind w:right="400" w:firstLine="600"/>
        <w:spacing w:after="0" w:line="271" w:lineRule="auto"/>
        <w:rPr>
          <w:sz w:val="20"/>
          <w:szCs w:val="20"/>
          <w:color w:val="auto"/>
        </w:rPr>
      </w:pP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The purpose of the Corporation is to engage in any lawful act or activity for which a corporation may be organized under the General Corporation Law of the State of Delaware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FOURTH</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ind w:left="900" w:hanging="271"/>
        <w:spacing w:after="0" w:line="254" w:lineRule="auto"/>
        <w:tabs>
          <w:tab w:leader="none" w:pos="9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Capital Stock</w:t>
      </w:r>
      <w:r>
        <w:rPr>
          <w:rFonts w:ascii="Times New Roman" w:cs="Times New Roman" w:eastAsia="Times New Roman" w:hAnsi="Times New Roman"/>
          <w:sz w:val="17"/>
          <w:szCs w:val="17"/>
          <w:color w:val="auto"/>
        </w:rPr>
        <w:t>. The total number of shares of stock which the Corporation shall have authority to issue is 300,000,000 of which the Corporation shall have authority to issue 200,000,000 shares of common stock, each having a par value of one cent per share ($0.01)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and 100,000,000 shares of preferred stock, each having a par value of one cent per share ($0.01) (the “</w:t>
      </w: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900" w:right="200" w:hanging="271"/>
        <w:spacing w:after="0" w:line="271" w:lineRule="auto"/>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The powers, preferences and rights, and the qualifications, limitations and restrictions, of the Common Stock are as follows:</w:t>
      </w:r>
    </w:p>
    <w:p>
      <w:pPr>
        <w:spacing w:after="0" w:line="158" w:lineRule="exact"/>
        <w:rPr>
          <w:rFonts w:ascii="Times New Roman" w:cs="Times New Roman" w:eastAsia="Times New Roman" w:hAnsi="Times New Roman"/>
          <w:sz w:val="17"/>
          <w:szCs w:val="17"/>
          <w:color w:val="auto"/>
        </w:rPr>
      </w:pPr>
    </w:p>
    <w:p>
      <w:pPr>
        <w:ind w:left="900" w:right="180" w:firstLine="601"/>
        <w:spacing w:after="0" w:line="271" w:lineRule="auto"/>
        <w:tabs>
          <w:tab w:leader="none" w:pos="1736"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record of shares of Common Stock shall be entitled to one vote for each share of Common Stock held on all matters submitted to a vote of stockholders of the Corporation on which holders of Common Stock are entitled to vote.</w:t>
      </w:r>
    </w:p>
    <w:p>
      <w:pPr>
        <w:spacing w:after="0" w:line="158" w:lineRule="exact"/>
        <w:rPr>
          <w:rFonts w:ascii="Times New Roman" w:cs="Times New Roman" w:eastAsia="Times New Roman" w:hAnsi="Times New Roman"/>
          <w:sz w:val="17"/>
          <w:szCs w:val="17"/>
          <w:color w:val="auto"/>
        </w:rPr>
      </w:pPr>
    </w:p>
    <w:p>
      <w:pPr>
        <w:ind w:left="1740" w:hanging="239"/>
        <w:spacing w:after="0"/>
        <w:tabs>
          <w:tab w:leader="none" w:pos="1740"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shares of Common Stock shall not have cumulative voting rights (as defined in Section 214 of the DGCL).</w:t>
      </w:r>
    </w:p>
    <w:p>
      <w:pPr>
        <w:spacing w:after="0" w:line="215" w:lineRule="exact"/>
        <w:rPr>
          <w:rFonts w:ascii="Times New Roman" w:cs="Times New Roman" w:eastAsia="Times New Roman" w:hAnsi="Times New Roman"/>
          <w:sz w:val="16"/>
          <w:szCs w:val="16"/>
          <w:color w:val="auto"/>
        </w:rPr>
      </w:pPr>
    </w:p>
    <w:p>
      <w:pPr>
        <w:jc w:val="both"/>
        <w:ind w:left="900" w:right="160" w:firstLine="601"/>
        <w:spacing w:after="0" w:line="254" w:lineRule="auto"/>
        <w:tabs>
          <w:tab w:leader="none" w:pos="1736"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rights of the holders of Preferred Stock, and subject to any other provisions of this Amended and Restated Certificate of Incorporation, as it may be amended from time to time, holders of shares of Common Stock shall be entitled to receive such dividends and other distributions in cash, stock or property of the Corporation if, as and when declared thereon by the Board of Directors from time to time out of assets or funds of the Corporation legally available therefor.</w:t>
      </w:r>
    </w:p>
    <w:p>
      <w:pPr>
        <w:spacing w:after="0" w:line="172" w:lineRule="exact"/>
        <w:rPr>
          <w:rFonts w:ascii="Times New Roman" w:cs="Times New Roman" w:eastAsia="Times New Roman" w:hAnsi="Times New Roman"/>
          <w:sz w:val="17"/>
          <w:szCs w:val="17"/>
          <w:color w:val="auto"/>
        </w:rPr>
      </w:pPr>
    </w:p>
    <w:p>
      <w:pPr>
        <w:ind w:left="900" w:right="220" w:firstLine="601"/>
        <w:spacing w:after="0" w:line="251" w:lineRule="auto"/>
        <w:tabs>
          <w:tab w:leader="none" w:pos="1736"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any liquidation, dissolution or winding-up of the Corporation, whether voluntary or involuntary, after payment or provision for the payment of the debt and liabilities of the Corporation and subject to the prior payment in full of the preferential amounts, if any, to which any series of Preferred Stock may be entitled, the holders of shares of Common Stock shall be entitled to receive the assets and funds of the Corporation remaining for distribution in proportion to the number of shares held by them, respectively.</w:t>
      </w:r>
    </w:p>
    <w:p>
      <w:pPr>
        <w:spacing w:after="0" w:line="177" w:lineRule="exact"/>
        <w:rPr>
          <w:rFonts w:ascii="Times New Roman" w:cs="Times New Roman" w:eastAsia="Times New Roman" w:hAnsi="Times New Roman"/>
          <w:sz w:val="17"/>
          <w:szCs w:val="17"/>
          <w:color w:val="auto"/>
        </w:rPr>
      </w:pPr>
    </w:p>
    <w:p>
      <w:pPr>
        <w:ind w:left="1740" w:hanging="239"/>
        <w:spacing w:after="0"/>
        <w:tabs>
          <w:tab w:leader="none" w:pos="174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holder of shares of Common Stock shall be entitled to preemptive or subscription rights.</w:t>
      </w:r>
    </w:p>
    <w:p>
      <w:pPr>
        <w:spacing w:after="0" w:line="204" w:lineRule="exact"/>
        <w:rPr>
          <w:rFonts w:ascii="Times New Roman" w:cs="Times New Roman" w:eastAsia="Times New Roman" w:hAnsi="Times New Roman"/>
          <w:sz w:val="17"/>
          <w:szCs w:val="17"/>
          <w:color w:val="auto"/>
        </w:rPr>
      </w:pPr>
    </w:p>
    <w:p>
      <w:pPr>
        <w:ind w:left="900" w:hanging="271"/>
        <w:spacing w:after="0" w:line="247" w:lineRule="auto"/>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Preferred Stock</w:t>
      </w:r>
      <w:r>
        <w:rPr>
          <w:rFonts w:ascii="Times New Roman" w:cs="Times New Roman" w:eastAsia="Times New Roman" w:hAnsi="Times New Roman"/>
          <w:sz w:val="17"/>
          <w:szCs w:val="17"/>
          <w:color w:val="auto"/>
        </w:rPr>
        <w:t>. The Board of Directors is expressly authorized to provide for the issuance of all or any shares of the Preferred Stock in one or more classes or series, and to fix for each such class or series such voting powers, full or limited, or no voting powers, and such distinctive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class or series and as may be permitted by the DGCL, including, without limitation,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of stock or any other series of stock; (iii) entitled to such rights upon any liquidation, dissolution or winding-up, whether voluntary or involuntary, of the Corporation; or (iv) convertible into, or exchangeable for, shares of any other class or classes of stock, or shares of any other series of the same class of stock, of the Corporation at such price or prices or at such rates of exchange and with such adjustments; all as may be stated in such resolution or resolutions.</w:t>
      </w:r>
    </w:p>
    <w:p>
      <w:pPr>
        <w:spacing w:after="0" w:line="185" w:lineRule="exact"/>
        <w:rPr>
          <w:rFonts w:ascii="Times New Roman" w:cs="Times New Roman" w:eastAsia="Times New Roman" w:hAnsi="Times New Roman"/>
          <w:sz w:val="17"/>
          <w:szCs w:val="17"/>
          <w:color w:val="auto"/>
        </w:rPr>
      </w:pPr>
    </w:p>
    <w:p>
      <w:pPr>
        <w:ind w:left="900" w:hanging="271"/>
        <w:spacing w:after="0" w:line="249" w:lineRule="auto"/>
        <w:tabs>
          <w:tab w:leader="none" w:pos="9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Power to Sell and Purchase Shares</w:t>
      </w:r>
      <w:r>
        <w:rPr>
          <w:rFonts w:ascii="Times New Roman" w:cs="Times New Roman" w:eastAsia="Times New Roman" w:hAnsi="Times New Roman"/>
          <w:sz w:val="17"/>
          <w:szCs w:val="17"/>
          <w:color w:val="auto"/>
        </w:rPr>
        <w:t>. Subject to the requirements of applicable law, the Corporation shall have the power to issue and sell all or any part of any shares of any class of stock herein or hereafter authorized to such persons, and for such consideration, as the Board of Directors shall from time to time, in its discretion, determine, whether or not greater consideration could be received upon the issue or sale of the same number of shares of another class or of shares of another series of such class, and as otherwise permitted by law. Subject to the requirements of applicable law, the Corporation shall have the power to purchase any shares of any class of stock herein or hereafter authorized from such persons, and for such consideration, as the Board of Directors shall from time to time, in its discretion, determine, whether or not less consideration could be paid upon the purchase of the same number of shares of another class or of shares of another series of such class, and as otherwise permitted by law.</w:t>
      </w:r>
    </w:p>
    <w:p>
      <w:pPr>
        <w:spacing w:after="0" w:line="177" w:lineRule="exact"/>
        <w:rPr>
          <w:sz w:val="20"/>
          <w:szCs w:val="20"/>
          <w:color w:val="auto"/>
        </w:rPr>
      </w:pPr>
    </w:p>
    <w:p>
      <w:pPr>
        <w:ind w:right="40" w:firstLine="600"/>
        <w:spacing w:after="0" w:line="271" w:lineRule="auto"/>
        <w:rPr>
          <w:sz w:val="20"/>
          <w:szCs w:val="20"/>
          <w:color w:val="auto"/>
        </w:rPr>
      </w:pPr>
      <w:r>
        <w:rPr>
          <w:rFonts w:ascii="Times New Roman" w:cs="Times New Roman" w:eastAsia="Times New Roman" w:hAnsi="Times New Roman"/>
          <w:sz w:val="17"/>
          <w:szCs w:val="17"/>
          <w:u w:val="single" w:color="auto"/>
          <w:color w:val="auto"/>
        </w:rPr>
        <w:t>FIFTH</w:t>
      </w:r>
      <w:r>
        <w:rPr>
          <w:rFonts w:ascii="Times New Roman" w:cs="Times New Roman" w:eastAsia="Times New Roman" w:hAnsi="Times New Roman"/>
          <w:sz w:val="17"/>
          <w:szCs w:val="17"/>
          <w:color w:val="auto"/>
        </w:rPr>
        <w:t>: 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58" w:lineRule="exact"/>
        <w:rPr>
          <w:sz w:val="20"/>
          <w:szCs w:val="20"/>
          <w:color w:val="auto"/>
        </w:rPr>
      </w:pPr>
    </w:p>
    <w:p>
      <w:pPr>
        <w:ind w:left="900" w:right="40" w:hanging="271"/>
        <w:spacing w:after="0" w:line="254" w:lineRule="auto"/>
        <w:tabs>
          <w:tab w:leader="none" w:pos="9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and affairs of the Corporation shall be managed by, or under the direction of, the Board of Directors. In addition to the powers and authority expressly conferred upon the Board of Directors by applicable law, this Amended and Restated Certificate of Incorporation or the Amended and Restated By-Laws of the Corporation (as amended from time to time, the “</w:t>
      </w:r>
      <w:r>
        <w:rPr>
          <w:rFonts w:ascii="Times New Roman" w:cs="Times New Roman" w:eastAsia="Times New Roman" w:hAnsi="Times New Roman"/>
          <w:sz w:val="17"/>
          <w:szCs w:val="17"/>
          <w:u w:val="single" w:color="auto"/>
          <w:color w:val="auto"/>
        </w:rPr>
        <w:t>By-Laws</w:t>
      </w:r>
      <w:r>
        <w:rPr>
          <w:rFonts w:ascii="Times New Roman" w:cs="Times New Roman" w:eastAsia="Times New Roman" w:hAnsi="Times New Roman"/>
          <w:sz w:val="17"/>
          <w:szCs w:val="17"/>
          <w:color w:val="auto"/>
        </w:rPr>
        <w:t>”), the directors are hereby empowered to exercise all such powers and do all such acts and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900" w:right="580"/>
        <w:spacing w:after="0" w:line="271" w:lineRule="auto"/>
        <w:rPr>
          <w:sz w:val="20"/>
          <w:szCs w:val="20"/>
          <w:color w:val="auto"/>
        </w:rPr>
      </w:pPr>
      <w:r>
        <w:rPr>
          <w:rFonts w:ascii="Times New Roman" w:cs="Times New Roman" w:eastAsia="Times New Roman" w:hAnsi="Times New Roman"/>
          <w:sz w:val="17"/>
          <w:szCs w:val="17"/>
          <w:color w:val="auto"/>
        </w:rPr>
        <w:t>things as may be exercised or done by the Corporation, subject to the provisions of the DGCL and this Amended and Restated Certificate of Incorporation.</w:t>
      </w:r>
    </w:p>
    <w:p>
      <w:pPr>
        <w:spacing w:after="0" w:line="183" w:lineRule="exact"/>
        <w:rPr>
          <w:sz w:val="20"/>
          <w:szCs w:val="20"/>
          <w:color w:val="auto"/>
        </w:rPr>
      </w:pPr>
    </w:p>
    <w:p>
      <w:pPr>
        <w:ind w:left="900" w:hanging="271"/>
        <w:spacing w:after="0"/>
        <w:tabs>
          <w:tab w:leader="none" w:pos="9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directors of the Corporation shall be fixed from time to time exclusively by resolution of the Board of Directors.</w:t>
      </w:r>
    </w:p>
    <w:p>
      <w:pPr>
        <w:spacing w:after="0" w:line="204" w:lineRule="exact"/>
        <w:rPr>
          <w:rFonts w:ascii="Times New Roman" w:cs="Times New Roman" w:eastAsia="Times New Roman" w:hAnsi="Times New Roman"/>
          <w:sz w:val="17"/>
          <w:szCs w:val="17"/>
          <w:color w:val="auto"/>
        </w:rPr>
      </w:pPr>
    </w:p>
    <w:p>
      <w:pPr>
        <w:ind w:left="900" w:hanging="271"/>
        <w:spacing w:after="0" w:line="247" w:lineRule="auto"/>
        <w:tabs>
          <w:tab w:leader="none" w:pos="9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shall be divided into three classes, designated Class I, Class II and Class III. Each class shall consist, as nearly as may be possible, of one-third of the total number of directors constituting the entire Board of Directors. The initial division of the Board of Directors into classes shall be made by the decision of the affirmative vote of a majority of the entire Board of Directors. The term of the initial Class I directors shall terminate on the date of the 2015 annual meeting of stockholders; the term of the initial Class II directors shall terminate on the date of the 2016 annual meeting of stockholders; and the term of the initial Class III directors shall terminate on the date of the 2017 annual meeting of stockholders. Each director in each class shall hold office until his or her successor is duly elected and qualified or until his or her earlier death, resignation or removal. At each succeeding annual meeting of stockholders beginning in 2015, successors to the class of directors whose term expires at that annual meeting shall be elected to hold office for a term expiring at the annual meeting of stockholders to be held in the third year following the year of their election, with each director in each such class to hold office until his or her successor is duly elected and qualified or until his or her earlier death, resignation or removal. If the number of directors is changed, any increase or decrease shall be apportioned among the classes so as to maintain the number of directors in each class as nearly equal as possible, but in no case will a decrease in the number of directors shorten the term of any incumbent director.</w:t>
      </w:r>
    </w:p>
    <w:p>
      <w:pPr>
        <w:spacing w:after="0" w:line="184" w:lineRule="exact"/>
        <w:rPr>
          <w:rFonts w:ascii="Times New Roman" w:cs="Times New Roman" w:eastAsia="Times New Roman" w:hAnsi="Times New Roman"/>
          <w:sz w:val="17"/>
          <w:szCs w:val="17"/>
          <w:color w:val="auto"/>
        </w:rPr>
      </w:pPr>
    </w:p>
    <w:p>
      <w:pPr>
        <w:ind w:left="900" w:hanging="271"/>
        <w:spacing w:after="0" w:line="249" w:lineRule="auto"/>
        <w:tabs>
          <w:tab w:leader="none" w:pos="9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of any one or more classes or series of Preferred Stock then outstanding, any vacancy on the Board of Directors that results from (i) removal of a director, (ii) an increase in the number of directors or (iii) death, resignation, disqualification or any other cause, will be filled solely by the affirmative vote of a majority of the remaining directors then in office, even if less than a quorum remains, including by a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 The right of stockholders to fill vacancies on the Board of Directors is hereby specifically denied.</w:t>
      </w:r>
    </w:p>
    <w:p>
      <w:pPr>
        <w:spacing w:after="0" w:line="205" w:lineRule="exact"/>
        <w:rPr>
          <w:rFonts w:ascii="Times New Roman" w:cs="Times New Roman" w:eastAsia="Times New Roman" w:hAnsi="Times New Roman"/>
          <w:sz w:val="17"/>
          <w:szCs w:val="17"/>
          <w:color w:val="auto"/>
        </w:rPr>
      </w:pPr>
    </w:p>
    <w:p>
      <w:pPr>
        <w:ind w:left="900" w:right="100" w:hanging="271"/>
        <w:spacing w:after="0" w:line="282" w:lineRule="auto"/>
        <w:tabs>
          <w:tab w:leader="none" w:pos="9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the election, term, removal and filling of vacancies with respect to directors, if any, elected separately by the holders of one or more classes or series of Preferred Stock shall not be governed by this Article FIFTH, but rather shall be as provided for in the resolutions adopted by the Board of Directors creating and establishing such class or series of Preferred Stock.</w:t>
      </w:r>
    </w:p>
    <w:p>
      <w:pPr>
        <w:spacing w:after="0" w:line="151" w:lineRule="exact"/>
        <w:rPr>
          <w:rFonts w:ascii="Times New Roman" w:cs="Times New Roman" w:eastAsia="Times New Roman" w:hAnsi="Times New Roman"/>
          <w:sz w:val="16"/>
          <w:szCs w:val="16"/>
          <w:color w:val="auto"/>
        </w:rPr>
      </w:pPr>
    </w:p>
    <w:p>
      <w:pPr>
        <w:ind w:right="100" w:firstLine="629"/>
        <w:spacing w:after="0" w:line="258" w:lineRule="auto"/>
        <w:tabs>
          <w:tab w:leader="none" w:pos="101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powers and authority hereinbefore or by statute expressly conferred upon them, the Board of Directors is hereby empowered to exercise all such powers and do all such acts and things as may be exercised or done by the Corporation, subject to the provisions of the DGCL and this Amended and Restated Certificate of Incorporation.</w:t>
      </w:r>
    </w:p>
    <w:p>
      <w:pPr>
        <w:spacing w:after="0" w:line="169" w:lineRule="exact"/>
        <w:rPr>
          <w:sz w:val="20"/>
          <w:szCs w:val="20"/>
          <w:color w:val="auto"/>
        </w:rPr>
      </w:pPr>
    </w:p>
    <w:p>
      <w:pPr>
        <w:ind w:firstLine="600"/>
        <w:spacing w:after="0" w:line="250" w:lineRule="auto"/>
        <w:rPr>
          <w:sz w:val="20"/>
          <w:szCs w:val="20"/>
          <w:color w:val="auto"/>
        </w:rPr>
      </w:pPr>
      <w:r>
        <w:rPr>
          <w:rFonts w:ascii="Times New Roman" w:cs="Times New Roman" w:eastAsia="Times New Roman" w:hAnsi="Times New Roman"/>
          <w:sz w:val="17"/>
          <w:szCs w:val="17"/>
          <w:u w:val="single" w:color="auto"/>
          <w:color w:val="auto"/>
        </w:rPr>
        <w:t>SIXTH</w:t>
      </w:r>
      <w:r>
        <w:rPr>
          <w:rFonts w:ascii="Times New Roman" w:cs="Times New Roman" w:eastAsia="Times New Roman" w:hAnsi="Times New Roman"/>
          <w:sz w:val="17"/>
          <w:szCs w:val="17"/>
          <w:color w:val="auto"/>
        </w:rPr>
        <w:t>: No director shall be personally liable to the Corporation or any of its stockholders for monetary damages for breach of any fiduciary duty as a director, except to the extent such exemption from liability or limitation thereof is not permitted under the DGCL. If the DGCL is amended hereafter to authorize the further elimination or limitation of the liability of directors, then the liability of a director of the Corporation shall be eliminated or limited to the fullest extent authorized by the DGCL, as so amended. Any repeal or modification of this Article SIXTH shall not adversely affect any right or protection of a director of the Corporation existing at the time of such repeal or modification with respect to acts or omissions occurring prior to such repeal or modification.</w:t>
      </w:r>
    </w:p>
    <w:p>
      <w:pPr>
        <w:spacing w:after="0" w:line="178" w:lineRule="exact"/>
        <w:rPr>
          <w:sz w:val="20"/>
          <w:szCs w:val="20"/>
          <w:color w:val="auto"/>
        </w:rPr>
      </w:pPr>
    </w:p>
    <w:p>
      <w:pPr>
        <w:ind w:right="20" w:firstLine="600"/>
        <w:spacing w:after="0" w:line="249" w:lineRule="auto"/>
        <w:rPr>
          <w:sz w:val="20"/>
          <w:szCs w:val="20"/>
          <w:color w:val="auto"/>
        </w:rPr>
      </w:pPr>
      <w:r>
        <w:rPr>
          <w:rFonts w:ascii="Times New Roman" w:cs="Times New Roman" w:eastAsia="Times New Roman" w:hAnsi="Times New Roman"/>
          <w:sz w:val="17"/>
          <w:szCs w:val="17"/>
          <w:u w:val="single" w:color="auto"/>
          <w:color w:val="auto"/>
        </w:rPr>
        <w:t>SEVENTH</w:t>
      </w:r>
      <w:r>
        <w:rPr>
          <w:rFonts w:ascii="Times New Roman" w:cs="Times New Roman" w:eastAsia="Times New Roman" w:hAnsi="Times New Roman"/>
          <w:sz w:val="17"/>
          <w:szCs w:val="17"/>
          <w:color w:val="auto"/>
        </w:rPr>
        <w:t xml:space="preserve">: The Corporation shall indemnify any person that is or was a director or officer (and any person that is or was serving at the request of the Corporation as a director, officer, employee or agent of another corporation, partnership, joint venture, trust or other enterprise) to the fullest extent authorized or permitted by law, as now or hereafter in effect, and such right to indemnification shall continue as to a person who has ceased to be a director or officer of the Corporation (or such other corporation, partnership, joint venture, trust or other enterprise) and shall inure to the benefit of his or her heirs, executors and personal and legal representatives;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7"/>
          <w:szCs w:val="17"/>
          <w:color w:val="auto"/>
        </w:rPr>
        <w:t>Board of Directors. The right to indemnification conferred by this Article SEVENTH shall include the right to be paid by the Corporation the expenses incurred in defending or otherwise participating in any proceeding in advance of its final disposition.</w:t>
      </w:r>
    </w:p>
    <w:p>
      <w:pPr>
        <w:spacing w:after="0" w:line="158" w:lineRule="exact"/>
        <w:rPr>
          <w:sz w:val="20"/>
          <w:szCs w:val="20"/>
          <w:color w:val="auto"/>
        </w:rPr>
      </w:pPr>
    </w:p>
    <w:p>
      <w:pPr>
        <w:ind w:right="300" w:firstLine="600"/>
        <w:spacing w:after="0" w:line="271" w:lineRule="auto"/>
        <w:rPr>
          <w:sz w:val="20"/>
          <w:szCs w:val="20"/>
          <w:color w:val="auto"/>
        </w:rPr>
      </w:pPr>
      <w:r>
        <w:rPr>
          <w:rFonts w:ascii="Times New Roman" w:cs="Times New Roman" w:eastAsia="Times New Roman" w:hAnsi="Times New Roman"/>
          <w:sz w:val="17"/>
          <w:szCs w:val="17"/>
          <w:color w:val="auto"/>
        </w:rPr>
        <w:t>The Corporation may, to the extent authorized from time to time by the Board of Directors, provide rights to indemnification and to the advancement of expenses to employees and agents of the Corporation similar to those conferred in this Article SEVENTH.</w:t>
      </w:r>
    </w:p>
    <w:p>
      <w:pPr>
        <w:spacing w:after="0" w:line="158" w:lineRule="exact"/>
        <w:rPr>
          <w:sz w:val="20"/>
          <w:szCs w:val="20"/>
          <w:color w:val="auto"/>
        </w:rPr>
      </w:pPr>
    </w:p>
    <w:p>
      <w:pPr>
        <w:ind w:right="140" w:firstLine="600"/>
        <w:spacing w:after="0" w:line="258" w:lineRule="auto"/>
        <w:rPr>
          <w:sz w:val="20"/>
          <w:szCs w:val="20"/>
          <w:color w:val="auto"/>
        </w:rPr>
      </w:pPr>
      <w:r>
        <w:rPr>
          <w:rFonts w:ascii="Times New Roman" w:cs="Times New Roman" w:eastAsia="Times New Roman" w:hAnsi="Times New Roman"/>
          <w:sz w:val="17"/>
          <w:szCs w:val="17"/>
          <w:color w:val="auto"/>
        </w:rPr>
        <w:t>The rights to indemnification and to the advance of expenses conferred in this Article SEVENTH shall not be exclusive of any other right which any person may have or hereafter acquire under this Amended and Restated Certificate of Incorporation, the By-Laws, any statute or other law, by agreement, vote of stockholders or approval of the directors of the Corporation or otherwise.</w:t>
      </w:r>
    </w:p>
    <w:p>
      <w:pPr>
        <w:spacing w:after="0" w:line="169" w:lineRule="exact"/>
        <w:rPr>
          <w:sz w:val="20"/>
          <w:szCs w:val="20"/>
          <w:color w:val="auto"/>
        </w:rPr>
      </w:pPr>
    </w:p>
    <w:p>
      <w:pPr>
        <w:ind w:right="260" w:firstLine="600"/>
        <w:spacing w:after="0" w:line="258" w:lineRule="auto"/>
        <w:rPr>
          <w:sz w:val="20"/>
          <w:szCs w:val="20"/>
          <w:color w:val="auto"/>
        </w:rPr>
      </w:pPr>
      <w:r>
        <w:rPr>
          <w:rFonts w:ascii="Times New Roman" w:cs="Times New Roman" w:eastAsia="Times New Roman" w:hAnsi="Times New Roman"/>
          <w:sz w:val="17"/>
          <w:szCs w:val="17"/>
          <w:color w:val="auto"/>
        </w:rPr>
        <w:t>Any repeal or modification of this Article SEVENTH shall not adversely affect any rights to indemnification and to the advancement of expenses of a director or officer of the Corporation existing at the time of such repeal or modification with respect to any acts or omissions occurring prior to such repeal or modification.</w:t>
      </w:r>
    </w:p>
    <w:p>
      <w:pPr>
        <w:spacing w:after="0" w:line="169" w:lineRule="exact"/>
        <w:rPr>
          <w:sz w:val="20"/>
          <w:szCs w:val="20"/>
          <w:color w:val="auto"/>
        </w:rPr>
      </w:pPr>
    </w:p>
    <w:p>
      <w:pPr>
        <w:ind w:right="20" w:firstLine="600"/>
        <w:spacing w:after="0" w:line="266" w:lineRule="auto"/>
        <w:rPr>
          <w:sz w:val="20"/>
          <w:szCs w:val="20"/>
          <w:color w:val="auto"/>
        </w:rPr>
      </w:pPr>
      <w:r>
        <w:rPr>
          <w:rFonts w:ascii="Times New Roman" w:cs="Times New Roman" w:eastAsia="Times New Roman" w:hAnsi="Times New Roman"/>
          <w:sz w:val="16"/>
          <w:szCs w:val="16"/>
          <w:u w:val="single" w:color="auto"/>
          <w:color w:val="auto"/>
        </w:rPr>
        <w:t>EIGHTH</w:t>
      </w:r>
      <w:r>
        <w:rPr>
          <w:rFonts w:ascii="Times New Roman" w:cs="Times New Roman" w:eastAsia="Times New Roman" w:hAnsi="Times New Roman"/>
          <w:sz w:val="16"/>
          <w:szCs w:val="16"/>
          <w:color w:val="auto"/>
        </w:rPr>
        <w:t>. Prior to the first date on which Trimaran Pollo Partners, L.L.C., a Delaware limited liability company (the “</w:t>
      </w:r>
      <w:r>
        <w:rPr>
          <w:rFonts w:ascii="Times New Roman" w:cs="Times New Roman" w:eastAsia="Times New Roman" w:hAnsi="Times New Roman"/>
          <w:sz w:val="16"/>
          <w:szCs w:val="16"/>
          <w:u w:val="single" w:color="auto"/>
          <w:color w:val="auto"/>
        </w:rPr>
        <w:t>Sponsor Holder</w:t>
      </w:r>
      <w:r>
        <w:rPr>
          <w:rFonts w:ascii="Times New Roman" w:cs="Times New Roman" w:eastAsia="Times New Roman" w:hAnsi="Times New Roman"/>
          <w:sz w:val="16"/>
          <w:szCs w:val="16"/>
          <w:color w:val="auto"/>
        </w:rPr>
        <w:t>”) ceases to beneficially own (directly or indirectly) at least forty percent (40%) of the votes entitled to be cast by the shares of the then outstanding capital stock of the Corporation entitled to vote generally in the election `of directors (the “</w:t>
      </w:r>
      <w:r>
        <w:rPr>
          <w:rFonts w:ascii="Times New Roman" w:cs="Times New Roman" w:eastAsia="Times New Roman" w:hAnsi="Times New Roman"/>
          <w:sz w:val="16"/>
          <w:szCs w:val="16"/>
          <w:u w:val="single" w:color="auto"/>
          <w:color w:val="auto"/>
        </w:rPr>
        <w:t>Voting Stock</w:t>
      </w:r>
      <w:r>
        <w:rPr>
          <w:rFonts w:ascii="Times New Roman" w:cs="Times New Roman" w:eastAsia="Times New Roman" w:hAnsi="Times New Roman"/>
          <w:sz w:val="16"/>
          <w:szCs w:val="16"/>
          <w:color w:val="auto"/>
        </w:rPr>
        <w:t>”), any action that, under the DGCL, may be taken at a duly called meeting of the stockholders of the Corporation may instead be taken without holding such a meeting by one or more consents in writing or by electronic submission, setting forth the action so taken or to be taken, signed by holders of Voting Stock having not less than the minimum number of votes that would be necessary to authorize or take such action at a meeting at which all shares entitled to vote thereon were present and voted. From and after the date the Sponsor Holder ceases to beneficially own (directly or indirectly) at least forty percent (40%) of the Voting Stock, any action required or permitted to be taken by the stockholders of the Corporation may be effected only at a duly called annual or special meeting of the stockholders of the Corporation and may not be effected by any consent in writing by such stockholders.</w:t>
      </w:r>
    </w:p>
    <w:p>
      <w:pPr>
        <w:spacing w:after="0" w:line="164" w:lineRule="exact"/>
        <w:rPr>
          <w:sz w:val="20"/>
          <w:szCs w:val="20"/>
          <w:color w:val="auto"/>
        </w:rPr>
      </w:pPr>
    </w:p>
    <w:p>
      <w:pPr>
        <w:ind w:firstLine="600"/>
        <w:spacing w:after="0" w:line="251" w:lineRule="auto"/>
        <w:rPr>
          <w:sz w:val="20"/>
          <w:szCs w:val="20"/>
          <w:color w:val="auto"/>
        </w:rPr>
      </w:pPr>
      <w:r>
        <w:rPr>
          <w:rFonts w:ascii="Times New Roman" w:cs="Times New Roman" w:eastAsia="Times New Roman" w:hAnsi="Times New Roman"/>
          <w:sz w:val="17"/>
          <w:szCs w:val="17"/>
          <w:color w:val="auto"/>
        </w:rPr>
        <w:t>If the Sponsor Holder beneficially owns, directly or indirectly, more than 40% of the Voting Stock, any director or the entire Board of Directors may be removed from office at any time, with or without cause, by the affirmative vote of the holders of a majority of the Voting Stock. Otherwise, any director or the entire Board of Directors may only be removed for cause, and only by the affirmative vote of the holders of a majority of the Voting Stock, voting at a duly called meeting of stockholders. The vacancy or vacancies in the Board of Directors caused by any such removal shall be filled as provided in Part (d) of Article FIFTH.</w:t>
      </w:r>
    </w:p>
    <w:p>
      <w:pPr>
        <w:spacing w:after="0" w:line="203" w:lineRule="exact"/>
        <w:rPr>
          <w:sz w:val="20"/>
          <w:szCs w:val="20"/>
          <w:color w:val="auto"/>
        </w:rPr>
      </w:pPr>
    </w:p>
    <w:p>
      <w:pPr>
        <w:ind w:right="280" w:firstLine="600"/>
        <w:spacing w:after="0" w:line="258" w:lineRule="auto"/>
        <w:rPr>
          <w:sz w:val="20"/>
          <w:szCs w:val="20"/>
          <w:color w:val="auto"/>
        </w:rPr>
      </w:pPr>
      <w:r>
        <w:rPr>
          <w:rFonts w:ascii="Times New Roman" w:cs="Times New Roman" w:eastAsia="Times New Roman" w:hAnsi="Times New Roman"/>
          <w:sz w:val="17"/>
          <w:szCs w:val="17"/>
          <w:u w:val="single" w:color="auto"/>
          <w:color w:val="auto"/>
        </w:rPr>
        <w:t>NINTH</w:t>
      </w:r>
      <w:r>
        <w:rPr>
          <w:rFonts w:ascii="Times New Roman" w:cs="Times New Roman" w:eastAsia="Times New Roman" w:hAnsi="Times New Roman"/>
          <w:sz w:val="17"/>
          <w:szCs w:val="17"/>
          <w:color w:val="auto"/>
        </w:rPr>
        <w:t>: Meetings of stockholders may be held within or without the State of Delaware, as the By-Laws may provide. The books of the Corporation may be kept (subject to any provision contained in the DGCL) outside the State of Delaware at such place or places as may be designated from time to time by the Board of Directors or in the By-Laws.</w:t>
      </w:r>
    </w:p>
    <w:p>
      <w:pPr>
        <w:spacing w:after="0" w:line="169" w:lineRule="exact"/>
        <w:rPr>
          <w:sz w:val="20"/>
          <w:szCs w:val="20"/>
          <w:color w:val="auto"/>
        </w:rPr>
      </w:pPr>
    </w:p>
    <w:p>
      <w:pPr>
        <w:ind w:firstLine="600"/>
        <w:spacing w:after="0" w:line="265" w:lineRule="auto"/>
        <w:rPr>
          <w:sz w:val="20"/>
          <w:szCs w:val="20"/>
          <w:color w:val="auto"/>
        </w:rPr>
      </w:pPr>
      <w:r>
        <w:rPr>
          <w:rFonts w:ascii="Times New Roman" w:cs="Times New Roman" w:eastAsia="Times New Roman" w:hAnsi="Times New Roman"/>
          <w:sz w:val="16"/>
          <w:szCs w:val="16"/>
          <w:u w:val="single" w:color="auto"/>
          <w:color w:val="auto"/>
        </w:rPr>
        <w:t>TENTH</w:t>
      </w:r>
      <w:r>
        <w:rPr>
          <w:rFonts w:ascii="Times New Roman" w:cs="Times New Roman" w:eastAsia="Times New Roman" w:hAnsi="Times New Roman"/>
          <w:sz w:val="16"/>
          <w:szCs w:val="16"/>
          <w:color w:val="auto"/>
        </w:rPr>
        <w:t>: Except as otherwise required by law, special meetings of the stockholders of the Corporation, for any purpose or purposes, may be called at any time only (i) by the Chairman of the Board of Directors, (ii) by the Chief Executive Officer (or, in the absence of a Chief Executive Officer, the President) of the Corporation (iii) pursuant to a resolution duly adopted by a majority of the Board of Directors or (iv) prior to the date that the Sponsor Holder ceases to beneficially own (directly or indirectly) forty percent (40%) or more of the Voting Stock, by the Secretary of the Corporation at the request of the holders of shares representing at least forty percent (40%) of the Voting Stock. Other than as set forth in clause (iv) of the preceding sentence, any power of the stockholders to call a special meeting of stockholders is hereby specifically denied. Advance notice of stockholder nominations for the election of directors of the Corporation and of business to be brought by stockholders before any meeting of stockholders of the Corporation shall be given in the manner provided in the By-Laws. No business other than that stated in the notice of such meeting (or any amendment or supplement thereto), which notice, in the case of a special meeting called by a stockholder or stockholders, shall include all business requested by such stockholder or stockholders to be transacted at such meeting, shall be transacted at any special meeting.</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ELEVENTH</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ind w:left="960" w:right="360" w:hanging="309"/>
        <w:spacing w:after="0" w:line="254" w:lineRule="auto"/>
        <w:tabs>
          <w:tab w:leader="none" w:pos="9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hereby elects not to be governed by Section 203 of the DGCL, as now in effect or hereafter amended, or any successor statute thereto (the “</w:t>
      </w:r>
      <w:r>
        <w:rPr>
          <w:rFonts w:ascii="Times New Roman" w:cs="Times New Roman" w:eastAsia="Times New Roman" w:hAnsi="Times New Roman"/>
          <w:sz w:val="17"/>
          <w:szCs w:val="17"/>
          <w:u w:val="single" w:color="auto"/>
          <w:color w:val="auto"/>
        </w:rPr>
        <w:t>Delaware Takeover Statute</w:t>
      </w:r>
      <w:r>
        <w:rPr>
          <w:rFonts w:ascii="Times New Roman" w:cs="Times New Roman" w:eastAsia="Times New Roman" w:hAnsi="Times New Roman"/>
          <w:sz w:val="17"/>
          <w:szCs w:val="17"/>
          <w:color w:val="auto"/>
        </w:rPr>
        <w:t>”) until such time as an Ownership Triggering Event (as defined below) occurs whereupon the Corporation will, after the occurrence of the Ownership Triggering Event, be governed by the Delaware Takeover Statute.</w:t>
      </w:r>
    </w:p>
    <w:p>
      <w:pPr>
        <w:spacing w:after="0" w:line="172" w:lineRule="exact"/>
        <w:rPr>
          <w:rFonts w:ascii="Times New Roman" w:cs="Times New Roman" w:eastAsia="Times New Roman" w:hAnsi="Times New Roman"/>
          <w:sz w:val="17"/>
          <w:szCs w:val="17"/>
          <w:color w:val="auto"/>
        </w:rPr>
      </w:pPr>
    </w:p>
    <w:p>
      <w:pPr>
        <w:ind w:left="960" w:right="240" w:hanging="309"/>
        <w:spacing w:after="0" w:line="271" w:lineRule="auto"/>
        <w:tabs>
          <w:tab w:leader="none" w:pos="9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w:t>
      </w:r>
      <w:r>
        <w:rPr>
          <w:rFonts w:ascii="Times New Roman" w:cs="Times New Roman" w:eastAsia="Times New Roman" w:hAnsi="Times New Roman"/>
          <w:sz w:val="17"/>
          <w:szCs w:val="17"/>
          <w:u w:val="single" w:color="auto"/>
          <w:color w:val="auto"/>
        </w:rPr>
        <w:t>Ownership Triggering Event</w:t>
      </w:r>
      <w:r>
        <w:rPr>
          <w:rFonts w:ascii="Times New Roman" w:cs="Times New Roman" w:eastAsia="Times New Roman" w:hAnsi="Times New Roman"/>
          <w:sz w:val="17"/>
          <w:szCs w:val="17"/>
          <w:color w:val="auto"/>
        </w:rPr>
        <w:t>” shall have occurred when (i)(A) the Sponsor Holder ceases to Own (as defined below) shares of Sponsor Stock (as defined below) that represent 15% or more of the outstanding shares of Common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960" w:right="80"/>
        <w:spacing w:after="0" w:line="249" w:lineRule="auto"/>
        <w:rPr>
          <w:sz w:val="20"/>
          <w:szCs w:val="20"/>
          <w:color w:val="auto"/>
        </w:rPr>
      </w:pPr>
      <w:r>
        <w:rPr>
          <w:rFonts w:ascii="Times New Roman" w:cs="Times New Roman" w:eastAsia="Times New Roman" w:hAnsi="Times New Roman"/>
          <w:sz w:val="17"/>
          <w:szCs w:val="17"/>
          <w:color w:val="auto"/>
        </w:rPr>
        <w:t>Stock and (B) no Sponsor-Related Holder (as defined below) has filed a document (on or before the tenth day following the date that the Sponsor Holder ceases to Own shares of Sponsor Stock that represent 15% or more of the outstanding shares of Common Stock) pursuant to the Securities and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that includes a statement (whether or not such statement is required by the Exchange Act) that such Sponsor-Related Holder Owns shares of Sponsor Stock that represent 15% or more of the outstanding shares of Common Stock, or (ii) at such time that (A) the Sponsor Holder has ceased to Own Sponsor Stock that represents 15% or more of the outstanding shares of Common Stock and (B) no Sponsor-Related Holder Owns shares of Sponsor Stock that represent 15% or more of the outstanding shares of Common Stock.</w:t>
      </w:r>
    </w:p>
    <w:p>
      <w:pPr>
        <w:spacing w:after="0" w:line="180" w:lineRule="exact"/>
        <w:rPr>
          <w:sz w:val="20"/>
          <w:szCs w:val="20"/>
          <w:color w:val="auto"/>
        </w:rPr>
      </w:pPr>
    </w:p>
    <w:p>
      <w:pPr>
        <w:ind w:left="960" w:right="20" w:hanging="309"/>
        <w:spacing w:after="0" w:line="249" w:lineRule="auto"/>
        <w:tabs>
          <w:tab w:leader="none" w:pos="9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Article ELEVENTH, (i) “</w:t>
      </w:r>
      <w:r>
        <w:rPr>
          <w:rFonts w:ascii="Times New Roman" w:cs="Times New Roman" w:eastAsia="Times New Roman" w:hAnsi="Times New Roman"/>
          <w:sz w:val="17"/>
          <w:szCs w:val="17"/>
          <w:u w:val="single" w:color="auto"/>
          <w:color w:val="auto"/>
        </w:rPr>
        <w:t>Sponsor Stock</w:t>
      </w:r>
      <w:r>
        <w:rPr>
          <w:rFonts w:ascii="Times New Roman" w:cs="Times New Roman" w:eastAsia="Times New Roman" w:hAnsi="Times New Roman"/>
          <w:sz w:val="17"/>
          <w:szCs w:val="17"/>
          <w:color w:val="auto"/>
        </w:rPr>
        <w:t>” means Common Stock which is Owned by the Sponsor Holder immediately following the closing of the initial public offering of Common Stock by the Corporation, (ii) “</w:t>
      </w:r>
      <w:r>
        <w:rPr>
          <w:rFonts w:ascii="Times New Roman" w:cs="Times New Roman" w:eastAsia="Times New Roman" w:hAnsi="Times New Roman"/>
          <w:sz w:val="17"/>
          <w:szCs w:val="17"/>
          <w:u w:val="single" w:color="auto"/>
          <w:color w:val="auto"/>
        </w:rPr>
        <w:t>Own</w:t>
      </w:r>
      <w:r>
        <w:rPr>
          <w:rFonts w:ascii="Times New Roman" w:cs="Times New Roman" w:eastAsia="Times New Roman" w:hAnsi="Times New Roman"/>
          <w:sz w:val="17"/>
          <w:szCs w:val="17"/>
          <w:color w:val="auto"/>
        </w:rPr>
        <w:t>” has the meaning ascribed to such term in the Delaware Takeover Statute, and (iii) “</w:t>
      </w:r>
      <w:r>
        <w:rPr>
          <w:rFonts w:ascii="Times New Roman" w:cs="Times New Roman" w:eastAsia="Times New Roman" w:hAnsi="Times New Roman"/>
          <w:sz w:val="17"/>
          <w:szCs w:val="17"/>
          <w:u w:val="single" w:color="auto"/>
          <w:color w:val="auto"/>
        </w:rPr>
        <w:t>Sponsor-Related Holder</w:t>
      </w:r>
      <w:r>
        <w:rPr>
          <w:rFonts w:ascii="Times New Roman" w:cs="Times New Roman" w:eastAsia="Times New Roman" w:hAnsi="Times New Roman"/>
          <w:sz w:val="17"/>
          <w:szCs w:val="17"/>
          <w:color w:val="auto"/>
        </w:rPr>
        <w:t>” means any person or entity who is a direct or indirect transferee of Sponsor Stock by the Sponsor Holder, as well as any “group” (within the meaning of Rule 13d-5 of the Exchange Act) that includes any of the foregoing persons or entities, provided a Sponsor-Related Holder will not include any such transferee that acquires Sponsor Stock pursuant to (A) an underwritten public offering, (B) a sale under Rule 144 under the Securities Act of 1933, as amended, or (C) a distribution by any Sponsor Holder or any direct or indirect transferee to more than 20 persons or entities.</w:t>
      </w:r>
    </w:p>
    <w:p>
      <w:pPr>
        <w:spacing w:after="0" w:line="177" w:lineRule="exact"/>
        <w:rPr>
          <w:sz w:val="20"/>
          <w:szCs w:val="20"/>
          <w:color w:val="auto"/>
        </w:rPr>
      </w:pPr>
    </w:p>
    <w:p>
      <w:pPr>
        <w:ind w:firstLine="600"/>
        <w:spacing w:after="0" w:line="250" w:lineRule="auto"/>
        <w:rPr>
          <w:sz w:val="20"/>
          <w:szCs w:val="20"/>
          <w:color w:val="auto"/>
        </w:rPr>
      </w:pPr>
      <w:r>
        <w:rPr>
          <w:rFonts w:ascii="Times New Roman" w:cs="Times New Roman" w:eastAsia="Times New Roman" w:hAnsi="Times New Roman"/>
          <w:sz w:val="17"/>
          <w:szCs w:val="17"/>
          <w:u w:val="single" w:color="auto"/>
          <w:color w:val="auto"/>
        </w:rPr>
        <w:t>TWELFTH</w:t>
      </w:r>
      <w:r>
        <w:rPr>
          <w:rFonts w:ascii="Times New Roman" w:cs="Times New Roman" w:eastAsia="Times New Roman" w:hAnsi="Times New Roman"/>
          <w:sz w:val="17"/>
          <w:szCs w:val="17"/>
          <w:color w:val="auto"/>
        </w:rPr>
        <w:t xml:space="preserve">. In furtherance and not in limitation of the powers conferred upon it by the laws of the State of Delaware, the Board of Directors shall have the power without the assent or vote of the stockholders to adopt, amend, alter or repeal the By-Laws. The affirmative vote of at least a majority of the Board of Directors shall be required to adopt, amend, alter or repeal the By-Laws. The By-Laws also may be adopted, amended, altered or repealed by the affirmative vote of the holders of a majority of the Voting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from and after the date that the Sponsor Holder ceases to beneficially own (directly or indirectly) at least forty percent (40%) of the Voting Stock, the affirmative vote of the holders of at least seventy five percent (75%) of the Voting Stock shall be required to adopt, amend, alter or repeal the By-Laws.</w:t>
      </w:r>
    </w:p>
    <w:p>
      <w:pPr>
        <w:spacing w:after="0" w:line="178" w:lineRule="exact"/>
        <w:rPr>
          <w:sz w:val="20"/>
          <w:szCs w:val="20"/>
          <w:color w:val="auto"/>
        </w:rPr>
      </w:pPr>
    </w:p>
    <w:p>
      <w:pPr>
        <w:ind w:right="20" w:firstLine="600"/>
        <w:spacing w:after="0" w:line="248" w:lineRule="auto"/>
        <w:rPr>
          <w:sz w:val="20"/>
          <w:szCs w:val="20"/>
          <w:color w:val="auto"/>
        </w:rPr>
      </w:pPr>
      <w:r>
        <w:rPr>
          <w:rFonts w:ascii="Times New Roman" w:cs="Times New Roman" w:eastAsia="Times New Roman" w:hAnsi="Times New Roman"/>
          <w:sz w:val="17"/>
          <w:szCs w:val="17"/>
          <w:u w:val="single" w:color="auto"/>
          <w:color w:val="auto"/>
        </w:rPr>
        <w:t>THIRTEENTH</w:t>
      </w:r>
      <w:r>
        <w:rPr>
          <w:rFonts w:ascii="Times New Roman" w:cs="Times New Roman" w:eastAsia="Times New Roman" w:hAnsi="Times New Roman"/>
          <w:sz w:val="17"/>
          <w:szCs w:val="17"/>
          <w:color w:val="auto"/>
        </w:rPr>
        <w:t>: The Corporation reserves the right to amend, alter, change or repeal any provision contained in this Amended and Restated Certificate of Incorporation, in the manner now or hereafter prescribed in the DGCL, and all rights conferred upon stockholders herein are granted subject to such reservation. Notwithstanding anything to the contrary contained in this Amended and Restated Certificate of Incorporation, and notwithstanding that a lesser percentage may be permitted from time to time by applicable law, from and after the date that the Sponsor Holder ceases to beneficially own (directly or indirectly) at least forty percent (40%) of the Voting Stock, the affirmative vote of the holders of at least seventy five percent (75%) of the Voting Stock (in addition to any other vote that may be required by law) shall be required to amend, alter, change or repeal, or to adopt any provision as part of this Amended and Restated Certificate of Incorporation inconsistent with the purpose and intent of, Articles FIFTH, SIXTH, SEVENTH, EIGHTH, TENTH, ELEVENTH, TWELFTH, THIRTEENTH, FOURTEENTH and FIFTEENTH of this Amended and Restated Certificate of Incorporation.</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FOURTEENTH</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ind w:left="960" w:right="20" w:hanging="309"/>
        <w:spacing w:after="0" w:line="247" w:lineRule="auto"/>
        <w:tabs>
          <w:tab w:leader="none" w:pos="9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fullest extent permitted by applicable law (including, without limitation, Section 122(17) of the DGCL (or any successor provision)), the Corporation, on behalf of itself and its subsidiaries, renounces any interest or expectancy of the Corporation and its subsidiaries in, or in being offered an opportunity to participate in, business opportunities that are from time to time presented to the Sponsor Holder or any of its officers, directors, employees, agents, shareholders, members, partners, principals, affiliates (other than the Corporation and its subsidiaries) and managers (each, a “</w:t>
      </w:r>
      <w:r>
        <w:rPr>
          <w:rFonts w:ascii="Times New Roman" w:cs="Times New Roman" w:eastAsia="Times New Roman" w:hAnsi="Times New Roman"/>
          <w:sz w:val="17"/>
          <w:szCs w:val="17"/>
          <w:u w:val="single" w:color="auto"/>
          <w:color w:val="auto"/>
        </w:rPr>
        <w:t>Specified Party</w:t>
      </w:r>
      <w:r>
        <w:rPr>
          <w:rFonts w:ascii="Times New Roman" w:cs="Times New Roman" w:eastAsia="Times New Roman" w:hAnsi="Times New Roman"/>
          <w:sz w:val="17"/>
          <w:szCs w:val="17"/>
          <w:color w:val="auto"/>
        </w:rPr>
        <w:t>”), even if the opportunity is one that the Corporation or any of its subsidiaries might reasonably be deemed to have pursued or had the ability or desire to pursue if presented the opportunity to do so. Each such Specified Party shall have no duty to communicate or offer such business opportunity to the Corporation or any of its subsidiaries and, to the fullest extent permitted by applicable law, shall not be liable to the Corporation or any of its subsidiaries for breach of any fiduciary or other duty, as a director or officer or controlling stockholder or otherwise, by reason of the fact that such Specified Party pursues or acquires such business opportunity, directs such business opportunity to another person or fails to present such business opportunity, or information regarding such business opportunity, to the Corporation or any of its subsidiaries. Notwithstanding the foregoing, a Specified Party who is a director or officer of the Corporation and who is expressly offered a business opportunity solely in his or her capacity as a director or officer of the Corporation (a “</w:t>
      </w:r>
      <w:r>
        <w:rPr>
          <w:rFonts w:ascii="Times New Roman" w:cs="Times New Roman" w:eastAsia="Times New Roman" w:hAnsi="Times New Roman"/>
          <w:sz w:val="17"/>
          <w:szCs w:val="17"/>
          <w:u w:val="single" w:color="auto"/>
          <w:color w:val="auto"/>
        </w:rPr>
        <w:t>Directed Opportunity</w:t>
      </w:r>
      <w:r>
        <w:rPr>
          <w:rFonts w:ascii="Times New Roman" w:cs="Times New Roman" w:eastAsia="Times New Roman" w:hAnsi="Times New Roman"/>
          <w:sz w:val="17"/>
          <w:szCs w:val="17"/>
          <w:color w:val="auto"/>
        </w:rPr>
        <w:t xml:space="preserve">”) shall be obligated to communicate such Directed Opportunity to the Corporation;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all of the protections of this Article FOURTEENTH shall otherwise apply to the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960" w:right="20"/>
        <w:spacing w:after="0" w:line="271" w:lineRule="auto"/>
        <w:rPr>
          <w:sz w:val="20"/>
          <w:szCs w:val="20"/>
          <w:color w:val="auto"/>
        </w:rPr>
      </w:pPr>
      <w:r>
        <w:rPr>
          <w:rFonts w:ascii="Times New Roman" w:cs="Times New Roman" w:eastAsia="Times New Roman" w:hAnsi="Times New Roman"/>
          <w:sz w:val="17"/>
          <w:szCs w:val="17"/>
          <w:color w:val="auto"/>
        </w:rPr>
        <w:t>Specified Parties with respect to such Directed Opportunity, including, without limitation, the ability of the Specified Parties to pursue or acquire such Directed Opportunity or to direct such Directed Opportunity to another person.</w:t>
      </w:r>
    </w:p>
    <w:p>
      <w:pPr>
        <w:spacing w:after="0" w:line="158" w:lineRule="exact"/>
        <w:rPr>
          <w:sz w:val="20"/>
          <w:szCs w:val="20"/>
          <w:color w:val="auto"/>
        </w:rPr>
      </w:pPr>
    </w:p>
    <w:p>
      <w:pPr>
        <w:ind w:left="960" w:right="80" w:hanging="309"/>
        <w:spacing w:after="0" w:line="258" w:lineRule="auto"/>
        <w:tabs>
          <w:tab w:leader="none" w:pos="96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Specified Parties shall have no duty to refrain from (i) engaging directly or indirectly in the same or similar business activities or lines of business as the Corporation or any of its subsidiaries or (ii) otherwise competing with the Corporation or any of its subsidiaries.</w:t>
      </w:r>
    </w:p>
    <w:p>
      <w:pPr>
        <w:spacing w:after="0" w:line="169" w:lineRule="exact"/>
        <w:rPr>
          <w:rFonts w:ascii="Times New Roman" w:cs="Times New Roman" w:eastAsia="Times New Roman" w:hAnsi="Times New Roman"/>
          <w:sz w:val="17"/>
          <w:szCs w:val="17"/>
          <w:color w:val="auto"/>
        </w:rPr>
      </w:pPr>
    </w:p>
    <w:p>
      <w:pPr>
        <w:ind w:left="960" w:right="400" w:hanging="309"/>
        <w:spacing w:after="0" w:line="254" w:lineRule="auto"/>
        <w:tabs>
          <w:tab w:leader="none" w:pos="96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and notwithstanding the foregoing provisions of this Article FOURTEENTH, a corporate opportunity shall not be deemed to belong to the Corporation if it is a business opportunity that the Corporation is not financially able or contractually permitted or legally able to undertake, or that is, from its nature, not in the line of the Corporation’s business or is of no practical advantage to it or that is one in which the Corporation has no interest or reasonable expectancy.</w:t>
      </w:r>
    </w:p>
    <w:p>
      <w:pPr>
        <w:spacing w:after="0" w:line="172" w:lineRule="exact"/>
        <w:rPr>
          <w:rFonts w:ascii="Times New Roman" w:cs="Times New Roman" w:eastAsia="Times New Roman" w:hAnsi="Times New Roman"/>
          <w:sz w:val="17"/>
          <w:szCs w:val="17"/>
          <w:color w:val="auto"/>
        </w:rPr>
      </w:pPr>
    </w:p>
    <w:p>
      <w:pPr>
        <w:ind w:left="960" w:right="60" w:hanging="309"/>
        <w:spacing w:after="0" w:line="250" w:lineRule="auto"/>
        <w:tabs>
          <w:tab w:leader="none" w:pos="96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alteration, amendment or repeal of this Article FOURTEENTH (including the adoption of any provision of this Amended and Restated Certificate of Incorporation inconsistent with this Article FOURTEENTH) shall eliminate or reduce the effect of this Article FOURTEENTH in respect of any matter occurring, or any cause of action, suit or claim that, but for this Article FOURTEENTH, would accrue or arise, prior to such alteration, amendment or repeal. This Article FOURTEENTH shall not limit any protections or defenses available to, or indemnification or advancement rights of, any director or officer of the Corporation under this Amended and Restated Certificate of Incorporation, the By-Laws or applicable law.</w:t>
      </w:r>
    </w:p>
    <w:p>
      <w:pPr>
        <w:spacing w:after="0" w:line="177" w:lineRule="exact"/>
        <w:rPr>
          <w:rFonts w:ascii="Times New Roman" w:cs="Times New Roman" w:eastAsia="Times New Roman" w:hAnsi="Times New Roman"/>
          <w:sz w:val="17"/>
          <w:szCs w:val="17"/>
          <w:color w:val="auto"/>
        </w:rPr>
      </w:pPr>
    </w:p>
    <w:p>
      <w:pPr>
        <w:ind w:left="960" w:right="140" w:hanging="309"/>
        <w:spacing w:after="0" w:line="271" w:lineRule="auto"/>
        <w:tabs>
          <w:tab w:leader="none" w:pos="96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or entity purchasing or otherwise acquiring any interest in the shares of capital stock of the Corporation shall be deemed to have notice of and consented to the provisions of this Article FOURTEENTH.</w:t>
      </w:r>
    </w:p>
    <w:p>
      <w:pPr>
        <w:spacing w:after="0" w:line="158" w:lineRule="exact"/>
        <w:rPr>
          <w:sz w:val="20"/>
          <w:szCs w:val="20"/>
          <w:color w:val="auto"/>
        </w:rPr>
      </w:pPr>
    </w:p>
    <w:p>
      <w:pPr>
        <w:ind w:firstLine="600"/>
        <w:spacing w:after="0" w:line="248" w:lineRule="auto"/>
        <w:rPr>
          <w:sz w:val="20"/>
          <w:szCs w:val="20"/>
          <w:color w:val="auto"/>
        </w:rPr>
      </w:pPr>
      <w:r>
        <w:rPr>
          <w:rFonts w:ascii="Times New Roman" w:cs="Times New Roman" w:eastAsia="Times New Roman" w:hAnsi="Times New Roman"/>
          <w:sz w:val="17"/>
          <w:szCs w:val="17"/>
          <w:u w:val="single" w:color="auto"/>
          <w:color w:val="auto"/>
        </w:rPr>
        <w:t>FIFTEENTH</w:t>
      </w:r>
      <w:r>
        <w:rPr>
          <w:rFonts w:ascii="Times New Roman" w:cs="Times New Roman" w:eastAsia="Times New Roman" w:hAnsi="Times New Roman"/>
          <w:sz w:val="17"/>
          <w:szCs w:val="17"/>
          <w:color w:val="auto"/>
        </w:rPr>
        <w:t xml:space="preserve">: The Court of Chancery of the State of Delaware shall, to the fullest extent permitted by applicable law, be the sole and exclusive forum for (a) any actual or purported derivative action or proceeding brought on behalf of the Corporation, (b) any action asserting a claim of breach of a fiduciary duty owed by any director or officer of the Corporation to the Corporation or the Corporation’s stockholders or creditors, (c) any action asserting a claim against the Corporation or any director or officer of the Corporation arising pursuant to any provision of the DGCL, this Amended and Restated Certificate of Incorporation or the By-Laws, or (d) any action asserting a claim against the Corporation or any director or officer of the Corporation governed by the internal affairs doctrine;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and only if the Court of Chancery of the State of Delaware dismisses any such action for lack of subject matter jurisdiction, such action may be brought in another state court sitting in the State of Delaware. Any person or entity purchasing or otherwise acquiring any interest in the shares of capital stock of the Corporation shall be deemed to have notice of and consented to the provisions of this Article FIFTEENTH.</w:t>
      </w:r>
    </w:p>
    <w:p>
      <w:pPr>
        <w:spacing w:after="0" w:line="207" w:lineRule="exact"/>
        <w:rPr>
          <w:sz w:val="20"/>
          <w:szCs w:val="20"/>
          <w:color w:val="auto"/>
        </w:rPr>
      </w:pPr>
    </w:p>
    <w:p>
      <w:pPr>
        <w:ind w:firstLine="600"/>
        <w:spacing w:after="0" w:line="248" w:lineRule="auto"/>
        <w:rPr>
          <w:sz w:val="20"/>
          <w:szCs w:val="20"/>
          <w:color w:val="auto"/>
        </w:rPr>
      </w:pPr>
      <w:r>
        <w:rPr>
          <w:rFonts w:ascii="Times New Roman" w:cs="Times New Roman" w:eastAsia="Times New Roman" w:hAnsi="Times New Roman"/>
          <w:sz w:val="17"/>
          <w:szCs w:val="17"/>
          <w:u w:val="single" w:color="auto"/>
          <w:color w:val="auto"/>
        </w:rPr>
        <w:t>SIXTEENTH</w:t>
      </w:r>
      <w:r>
        <w:rPr>
          <w:rFonts w:ascii="Times New Roman" w:cs="Times New Roman" w:eastAsia="Times New Roman" w:hAnsi="Times New Roman"/>
          <w:sz w:val="17"/>
          <w:szCs w:val="17"/>
          <w:color w:val="auto"/>
        </w:rPr>
        <w:t>: If any provision or provisions of this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Amended and Restated Certificate of Incorporation (including, without limitation, each portion of any paragraph of this Amended and Restated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Amended and Restated Certificate of Incorporation (including, without limitation, each such portion of any paragraph of this Amended and Restated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authorized or permitted by law.</w:t>
      </w:r>
    </w:p>
    <w:p>
      <w:pPr>
        <w:spacing w:after="0" w:line="182" w:lineRule="exact"/>
        <w:rPr>
          <w:sz w:val="20"/>
          <w:szCs w:val="20"/>
          <w:color w:val="auto"/>
        </w:rPr>
      </w:pPr>
    </w:p>
    <w:p>
      <w:pPr>
        <w:ind w:right="20" w:firstLine="600"/>
        <w:spacing w:after="0" w:line="250" w:lineRule="auto"/>
        <w:rPr>
          <w:sz w:val="20"/>
          <w:szCs w:val="20"/>
          <w:color w:val="auto"/>
        </w:rPr>
      </w:pPr>
      <w:r>
        <w:rPr>
          <w:rFonts w:ascii="Times New Roman" w:cs="Times New Roman" w:eastAsia="Times New Roman" w:hAnsi="Times New Roman"/>
          <w:sz w:val="17"/>
          <w:szCs w:val="17"/>
          <w:u w:val="single" w:color="auto"/>
          <w:color w:val="auto"/>
        </w:rPr>
        <w:t>SEVENTEENTH</w:t>
      </w:r>
      <w:r>
        <w:rPr>
          <w:rFonts w:ascii="Times New Roman" w:cs="Times New Roman" w:eastAsia="Times New Roman" w:hAnsi="Times New Roman"/>
          <w:sz w:val="17"/>
          <w:szCs w:val="17"/>
          <w:color w:val="auto"/>
        </w:rPr>
        <w:t>: No officer shall be personally liable to the Corporation or any of its stockholders for monetary damages for breach of any fiduciary duty as an officer of the Corporation, except to the extent such exemption from liability or limitation thereof is not permitted under the DGCL. If the DGCL is amended hereafter to authorize the further elimination or limitation of the liability of officers, then the liability of an officer of the Corporation shall be eliminated or limited to the fullest extent authorized by the DGCL, as so amended. Any repeal or modification of this Article SEVENTEENTH shall not adversely affect any right or protection of an officer of the Corporation existing at the time of such repeal or modification with respect to acts or omissions occurring prior to such repeal or modification.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firstLine="600"/>
        <w:spacing w:after="0" w:line="271" w:lineRule="auto"/>
        <w:rPr>
          <w:sz w:val="20"/>
          <w:szCs w:val="20"/>
          <w:color w:val="auto"/>
        </w:rPr>
      </w:pPr>
      <w:r>
        <w:rPr>
          <w:rFonts w:ascii="Times New Roman" w:cs="Times New Roman" w:eastAsia="Times New Roman" w:hAnsi="Times New Roman"/>
          <w:sz w:val="17"/>
          <w:szCs w:val="17"/>
          <w:color w:val="auto"/>
        </w:rPr>
        <w:t>IN WITNESS WHEREOF, the Corporation has caused this Amended and Restated Certificate of Incorporation to be executed on its behalf this [___]th day of [_____________], 2024.</w:t>
      </w:r>
    </w:p>
    <w:p>
      <w:pPr>
        <w:spacing w:after="0" w:line="15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EL POLLO LOCO HOLDINGS, INC.</w:t>
      </w:r>
    </w:p>
    <w:p>
      <w:pPr>
        <w:spacing w:after="0" w:line="204" w:lineRule="exact"/>
        <w:rPr>
          <w:sz w:val="20"/>
          <w:szCs w:val="20"/>
          <w:color w:val="auto"/>
        </w:rPr>
      </w:pPr>
    </w:p>
    <w:p>
      <w:pPr>
        <w:ind w:left="5960"/>
        <w:spacing w:after="0"/>
        <w:tabs>
          <w:tab w:leader="none" w:pos="64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13335</wp:posOffset>
            </wp:positionV>
            <wp:extent cx="219011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190115" cy="7620"/>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Name:</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880"/>
          </w:cols>
          <w:pgMar w:left="980" w:top="486" w:right="10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0"/>
          <w:szCs w:val="30"/>
          <w:b w:val="1"/>
          <w:bCs w:val="1"/>
          <w:color w:val="auto"/>
        </w:rPr>
        <w:t>Appendix C</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EL POLLO LOCO HOLDINGS,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EQUITY INCENTIVE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 Purpose of Plan.</w:t>
      </w:r>
    </w:p>
    <w:p>
      <w:pPr>
        <w:spacing w:after="0" w:line="208" w:lineRule="exact"/>
        <w:rPr>
          <w:sz w:val="20"/>
          <w:szCs w:val="20"/>
          <w:color w:val="auto"/>
        </w:rPr>
      </w:pPr>
    </w:p>
    <w:p>
      <w:pPr>
        <w:ind w:firstLine="1200"/>
        <w:spacing w:after="0" w:line="249" w:lineRule="auto"/>
        <w:rPr>
          <w:sz w:val="20"/>
          <w:szCs w:val="20"/>
          <w:color w:val="auto"/>
        </w:rPr>
      </w:pPr>
      <w:r>
        <w:rPr>
          <w:rFonts w:ascii="Times New Roman" w:cs="Times New Roman" w:eastAsia="Times New Roman" w:hAnsi="Times New Roman"/>
          <w:sz w:val="17"/>
          <w:szCs w:val="17"/>
          <w:color w:val="auto"/>
        </w:rPr>
        <w:t>The name of the Plan is the El Pollo Loco Holdings, Inc. Equity Incentive Plan (formerly the El Pollo Loco Holdings, Inc. 2018 Omnibus Equity Incentive Plan). The purposes of the Plan are to (i) provide an additional incentive to selected employees, directors, independent contractors and consultants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To accomplish these purposes, the Plan provides that the Company may grant Options, Share Appreciation Rights, Restricted Shares, Restricted Stock Units, Other Share-Based Awards, Cash Awards or any combination of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 Definitions.</w:t>
      </w:r>
    </w:p>
    <w:p>
      <w:pPr>
        <w:spacing w:after="0" w:line="2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For purposes of the Plan, the following terms shall be defined as set forth below:</w:t>
      </w:r>
    </w:p>
    <w:p>
      <w:pPr>
        <w:spacing w:after="0" w:line="204" w:lineRule="exact"/>
        <w:rPr>
          <w:sz w:val="20"/>
          <w:szCs w:val="20"/>
          <w:color w:val="auto"/>
        </w:rPr>
      </w:pPr>
    </w:p>
    <w:p>
      <w:pPr>
        <w:ind w:right="20" w:firstLine="1201"/>
        <w:spacing w:after="0" w:line="271" w:lineRule="auto"/>
        <w:tabs>
          <w:tab w:leader="none" w:pos="142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Administrator</w:t>
      </w:r>
      <w:r>
        <w:rPr>
          <w:rFonts w:ascii="Times New Roman" w:cs="Times New Roman" w:eastAsia="Times New Roman" w:hAnsi="Times New Roman"/>
          <w:sz w:val="17"/>
          <w:szCs w:val="17"/>
          <w:color w:val="auto"/>
        </w:rPr>
        <w:t>” means the Board, or, if and to the extent the Board does not administer the Plan, the Committee in accordance with Section 3 hereof.</w:t>
      </w:r>
    </w:p>
    <w:p>
      <w:pPr>
        <w:spacing w:after="0" w:line="158" w:lineRule="exact"/>
        <w:rPr>
          <w:rFonts w:ascii="Times New Roman" w:cs="Times New Roman" w:eastAsia="Times New Roman" w:hAnsi="Times New Roman"/>
          <w:sz w:val="17"/>
          <w:szCs w:val="17"/>
          <w:color w:val="auto"/>
        </w:rPr>
      </w:pPr>
    </w:p>
    <w:p>
      <w:pPr>
        <w:ind w:right="260" w:firstLine="1201"/>
        <w:spacing w:after="0" w:line="271" w:lineRule="auto"/>
        <w:tabs>
          <w:tab w:leader="none" w:pos="143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 Person that directly, or indirectly through one or more intermediaries, controls, or is controlled by, or is under common control with, the Person specified as of any date of determination.</w:t>
      </w:r>
    </w:p>
    <w:p>
      <w:pPr>
        <w:spacing w:after="0" w:line="158" w:lineRule="exact"/>
        <w:rPr>
          <w:rFonts w:ascii="Times New Roman" w:cs="Times New Roman" w:eastAsia="Times New Roman" w:hAnsi="Times New Roman"/>
          <w:sz w:val="17"/>
          <w:szCs w:val="17"/>
          <w:color w:val="auto"/>
        </w:rPr>
      </w:pPr>
    </w:p>
    <w:p>
      <w:pPr>
        <w:ind w:left="1420" w:hanging="219"/>
        <w:spacing w:after="0"/>
        <w:tabs>
          <w:tab w:leader="none" w:pos="142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Amendment Date</w:t>
      </w:r>
      <w:r>
        <w:rPr>
          <w:rFonts w:ascii="Times New Roman" w:cs="Times New Roman" w:eastAsia="Times New Roman" w:hAnsi="Times New Roman"/>
          <w:sz w:val="17"/>
          <w:szCs w:val="17"/>
          <w:color w:val="auto"/>
        </w:rPr>
        <w:t>” has the meaning set forth in Section 18 hereof.</w:t>
      </w:r>
    </w:p>
    <w:p>
      <w:pPr>
        <w:spacing w:after="0" w:line="204" w:lineRule="exact"/>
        <w:rPr>
          <w:rFonts w:ascii="Times New Roman" w:cs="Times New Roman" w:eastAsia="Times New Roman" w:hAnsi="Times New Roman"/>
          <w:sz w:val="17"/>
          <w:szCs w:val="17"/>
          <w:color w:val="auto"/>
        </w:rPr>
      </w:pPr>
    </w:p>
    <w:p>
      <w:pPr>
        <w:ind w:right="20" w:firstLine="1201"/>
        <w:spacing w:after="0" w:line="258" w:lineRule="auto"/>
        <w:tabs>
          <w:tab w:leader="none" w:pos="143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Laws</w:t>
      </w:r>
      <w:r>
        <w:rPr>
          <w:rFonts w:ascii="Times New Roman" w:cs="Times New Roman" w:eastAsia="Times New Roman" w:hAnsi="Times New Roman"/>
          <w:sz w:val="17"/>
          <w:szCs w:val="17"/>
          <w:color w:val="auto"/>
        </w:rPr>
        <w:t>” means the applicable requirements under U.S. federal and state corporate laws, U.S. federal and state securities laws, including the Code, any stock exchange or quotation system on which the Common Stock is listed or quoted and the applicable laws of any other country or jurisdiction where Awards are granted under the Plan, as are in effect from time to time.</w:t>
      </w:r>
    </w:p>
    <w:p>
      <w:pPr>
        <w:spacing w:after="0" w:line="169" w:lineRule="exact"/>
        <w:rPr>
          <w:rFonts w:ascii="Times New Roman" w:cs="Times New Roman" w:eastAsia="Times New Roman" w:hAnsi="Times New Roman"/>
          <w:sz w:val="17"/>
          <w:szCs w:val="17"/>
          <w:color w:val="auto"/>
        </w:rPr>
      </w:pPr>
    </w:p>
    <w:p>
      <w:pPr>
        <w:ind w:right="140" w:firstLine="1201"/>
        <w:spacing w:after="0" w:line="271" w:lineRule="auto"/>
        <w:tabs>
          <w:tab w:leader="none" w:pos="142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Award</w:t>
      </w:r>
      <w:r>
        <w:rPr>
          <w:rFonts w:ascii="Times New Roman" w:cs="Times New Roman" w:eastAsia="Times New Roman" w:hAnsi="Times New Roman"/>
          <w:sz w:val="17"/>
          <w:szCs w:val="17"/>
          <w:color w:val="auto"/>
        </w:rPr>
        <w:t>” means any Option, Share Appreciation Right, Restricted Share, Restricted Stock Unit, Other Share-Based Award or Cash Award granted under the Plan.</w:t>
      </w:r>
    </w:p>
    <w:p>
      <w:pPr>
        <w:spacing w:after="0" w:line="158" w:lineRule="exact"/>
        <w:rPr>
          <w:rFonts w:ascii="Times New Roman" w:cs="Times New Roman" w:eastAsia="Times New Roman" w:hAnsi="Times New Roman"/>
          <w:sz w:val="17"/>
          <w:szCs w:val="17"/>
          <w:color w:val="auto"/>
        </w:rPr>
      </w:pPr>
    </w:p>
    <w:p>
      <w:pPr>
        <w:ind w:right="60" w:firstLine="1201"/>
        <w:spacing w:after="0" w:line="258" w:lineRule="auto"/>
        <w:tabs>
          <w:tab w:leader="none" w:pos="1408"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Award Agreement</w:t>
      </w:r>
      <w:r>
        <w:rPr>
          <w:rFonts w:ascii="Times New Roman" w:cs="Times New Roman" w:eastAsia="Times New Roman" w:hAnsi="Times New Roman"/>
          <w:sz w:val="17"/>
          <w:szCs w:val="17"/>
          <w:color w:val="auto"/>
        </w:rPr>
        <w:t>” means any written notice, agreement, contract or other instrument or document evidencing an Award, including through electronic medium, which shall contain such terms and conditions with respect to an Award as the Administrator shall determine, consistent with the Plan.</w:t>
      </w:r>
    </w:p>
    <w:p>
      <w:pPr>
        <w:spacing w:after="0" w:line="169"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Beneficial Owner</w:t>
      </w:r>
      <w:r>
        <w:rPr>
          <w:rFonts w:ascii="Times New Roman" w:cs="Times New Roman" w:eastAsia="Times New Roman" w:hAnsi="Times New Roman"/>
          <w:sz w:val="17"/>
          <w:szCs w:val="17"/>
          <w:color w:val="auto"/>
        </w:rPr>
        <w:t>” (or any variant thereof) has the meaning defined in Rule 13d-3 under the Exchange Act.</w:t>
      </w:r>
    </w:p>
    <w:p>
      <w:pPr>
        <w:spacing w:after="0" w:line="204"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means the Board of Directors of the Company.</w:t>
      </w:r>
    </w:p>
    <w:p>
      <w:pPr>
        <w:spacing w:after="0" w:line="204" w:lineRule="exact"/>
        <w:rPr>
          <w:rFonts w:ascii="Times New Roman" w:cs="Times New Roman" w:eastAsia="Times New Roman" w:hAnsi="Times New Roman"/>
          <w:sz w:val="17"/>
          <w:szCs w:val="17"/>
          <w:color w:val="auto"/>
        </w:rPr>
      </w:pPr>
    </w:p>
    <w:p>
      <w:pPr>
        <w:ind w:left="1400" w:hanging="199"/>
        <w:spacing w:after="0"/>
        <w:tabs>
          <w:tab w:leader="none" w:pos="14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Bylaws</w:t>
      </w:r>
      <w:r>
        <w:rPr>
          <w:rFonts w:ascii="Times New Roman" w:cs="Times New Roman" w:eastAsia="Times New Roman" w:hAnsi="Times New Roman"/>
          <w:sz w:val="17"/>
          <w:szCs w:val="17"/>
          <w:color w:val="auto"/>
        </w:rPr>
        <w:t>” mean the bylaws of the Company, as may be amended and/or restated from time to time.</w:t>
      </w:r>
    </w:p>
    <w:p>
      <w:pPr>
        <w:spacing w:after="0" w:line="204" w:lineRule="exact"/>
        <w:rPr>
          <w:rFonts w:ascii="Times New Roman" w:cs="Times New Roman" w:eastAsia="Times New Roman" w:hAnsi="Times New Roman"/>
          <w:sz w:val="17"/>
          <w:szCs w:val="17"/>
          <w:color w:val="auto"/>
        </w:rPr>
      </w:pPr>
    </w:p>
    <w:p>
      <w:pPr>
        <w:ind w:right="80" w:firstLine="1201"/>
        <w:spacing w:after="0" w:line="271" w:lineRule="auto"/>
        <w:tabs>
          <w:tab w:leader="none" w:pos="1399"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Awar</w:t>
      </w:r>
      <w:r>
        <w:rPr>
          <w:rFonts w:ascii="Times New Roman" w:cs="Times New Roman" w:eastAsia="Times New Roman" w:hAnsi="Times New Roman"/>
          <w:sz w:val="17"/>
          <w:szCs w:val="17"/>
          <w:color w:val="auto"/>
        </w:rPr>
        <w:t>d” means cash awarded under Section 11 of the Plan, including cash awarded as a bonus or upon the attainment of performance goals or otherwise as permitted under the Plan.</w:t>
      </w:r>
    </w:p>
    <w:p>
      <w:pPr>
        <w:spacing w:after="0" w:line="158" w:lineRule="exact"/>
        <w:rPr>
          <w:rFonts w:ascii="Times New Roman" w:cs="Times New Roman" w:eastAsia="Times New Roman" w:hAnsi="Times New Roman"/>
          <w:sz w:val="17"/>
          <w:szCs w:val="17"/>
          <w:color w:val="auto"/>
        </w:rPr>
      </w:pPr>
    </w:p>
    <w:p>
      <w:pPr>
        <w:ind w:right="20" w:firstLine="1201"/>
        <w:spacing w:after="0" w:line="250" w:lineRule="auto"/>
        <w:tabs>
          <w:tab w:leader="none" w:pos="143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has the meaning assigned to such term in any individual service, employment or severance agreement or Award Agreement with the Participant or, if no such agreement exists or if such agreement does not define “Cause,” then “Cause” means (i) the conviction, guilty plea or plea of “no contest” by the Participant to any felony or a crime involving moral turpitude or the Participant’s commission of any other act or omission involving dishonesty or fraud, (ii) the substantial and repeated failure of the Participant to perform duties of the office held by the Participant, (iii) the Participant’s gross negligence, willful misconduct or breach of fiduciary duty with respect to the Company or any of its Subsidiaries or Affiliates, (iv) any breach by the Participant of any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restrictive covenants to which the Participant is subject, and/or (v) the Participant’s engagement in any conduct which is or can reasonably be expected to be materially detrimental or injurious to the business or reputation of the Company or its Affiliates. Any voluntary termination of employment or service by the Participant in anticipation of an involuntary termination of the Participant’s employment or service, as applicable, for Cause shall be deemed to be a termination for Cause.</w:t>
      </w:r>
    </w:p>
    <w:p>
      <w:pPr>
        <w:spacing w:after="0" w:line="172" w:lineRule="exact"/>
        <w:rPr>
          <w:sz w:val="20"/>
          <w:szCs w:val="20"/>
          <w:color w:val="auto"/>
        </w:rPr>
      </w:pPr>
    </w:p>
    <w:p>
      <w:pPr>
        <w:ind w:right="40" w:firstLine="1201"/>
        <w:spacing w:after="0" w:line="251" w:lineRule="auto"/>
        <w:tabs>
          <w:tab w:leader="none" w:pos="1399"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Capitalization</w:t>
      </w:r>
      <w:r>
        <w:rPr>
          <w:rFonts w:ascii="Times New Roman" w:cs="Times New Roman" w:eastAsia="Times New Roman" w:hAnsi="Times New Roman"/>
          <w:sz w:val="17"/>
          <w:szCs w:val="17"/>
          <w:color w:val="auto"/>
        </w:rPr>
        <w:t>” means any (i) merger, consolidation, reclassification, recapitalization, spin-off, spin-out, repurchase or other reorganization or corporate transaction or event, (ii) special or extraordinary dividend or other extraordinary distribution (whether in the form of cash, Common Stock or other property), stock split, reverse stock split, share subdivision or consolidation, (iii) combination or exchange of shares or (iv) other change in corporate structure, which, in any such case, the Administrator determines, in its sole discretion, affects the Shares such that an adjustment pursuant to Section 5 hereof is appropriate.</w:t>
      </w:r>
    </w:p>
    <w:p>
      <w:pPr>
        <w:spacing w:after="0" w:line="177" w:lineRule="exact"/>
        <w:rPr>
          <w:rFonts w:ascii="Times New Roman" w:cs="Times New Roman" w:eastAsia="Times New Roman" w:hAnsi="Times New Roman"/>
          <w:sz w:val="17"/>
          <w:szCs w:val="17"/>
          <w:color w:val="auto"/>
        </w:rPr>
      </w:pPr>
    </w:p>
    <w:p>
      <w:pPr>
        <w:ind w:left="1480" w:hanging="279"/>
        <w:spacing w:after="0"/>
        <w:tabs>
          <w:tab w:leader="none" w:pos="148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means the first occurrence of an event set forth in any one of the following paragraphs following the</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Date:</w:t>
      </w:r>
    </w:p>
    <w:p>
      <w:pPr>
        <w:spacing w:after="0" w:line="187" w:lineRule="exact"/>
        <w:rPr>
          <w:rFonts w:ascii="Times New Roman" w:cs="Times New Roman" w:eastAsia="Times New Roman" w:hAnsi="Times New Roman"/>
          <w:sz w:val="17"/>
          <w:szCs w:val="17"/>
          <w:color w:val="auto"/>
        </w:rPr>
      </w:pPr>
    </w:p>
    <w:p>
      <w:pPr>
        <w:jc w:val="both"/>
        <w:ind w:right="120" w:firstLine="1801"/>
        <w:spacing w:after="0" w:line="254" w:lineRule="auto"/>
        <w:tabs>
          <w:tab w:leader="none" w:pos="2036"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is or becomes the Beneficial Owner, directly or indirectly, of securities of the Company (not including in the securities Beneficially Owned by such Person which were acquired directly from the Company or any Affiliate thereof) representing more than fifty percent (50%) of the combined voting power of the Company’s then outstanding securities, excluding any Person who becomes such a Beneficial Owner in connection with a transaction described in clause (i) of paragraph (3) below; or</w:t>
      </w:r>
    </w:p>
    <w:p>
      <w:pPr>
        <w:spacing w:after="0" w:line="172" w:lineRule="exact"/>
        <w:rPr>
          <w:rFonts w:ascii="Times New Roman" w:cs="Times New Roman" w:eastAsia="Times New Roman" w:hAnsi="Times New Roman"/>
          <w:sz w:val="17"/>
          <w:szCs w:val="17"/>
          <w:color w:val="auto"/>
        </w:rPr>
      </w:pPr>
    </w:p>
    <w:p>
      <w:pPr>
        <w:ind w:right="260" w:firstLine="1801"/>
        <w:spacing w:after="0" w:line="250" w:lineRule="auto"/>
        <w:tabs>
          <w:tab w:leader="none" w:pos="2036"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individuals who constitute the Board as of the Effective Date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(2/3) of the directors then still in office who either were directors on the Effective Date or whose appointment, election or nomination for election was previously so approved or recommended cease for any reason to constitute a majority of the number of directors serving on the Board; or</w:t>
      </w:r>
    </w:p>
    <w:p>
      <w:pPr>
        <w:spacing w:after="0" w:line="177" w:lineRule="exact"/>
        <w:rPr>
          <w:rFonts w:ascii="Times New Roman" w:cs="Times New Roman" w:eastAsia="Times New Roman" w:hAnsi="Times New Roman"/>
          <w:sz w:val="17"/>
          <w:szCs w:val="17"/>
          <w:color w:val="auto"/>
        </w:rPr>
      </w:pPr>
    </w:p>
    <w:p>
      <w:pPr>
        <w:ind w:firstLine="1801"/>
        <w:spacing w:after="0" w:line="247" w:lineRule="auto"/>
        <w:tabs>
          <w:tab w:leader="none" w:pos="2036"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consummated a merger or consolidation of the Company or any direct or indirect Subsidiary with any other corporation or other entity, other than (i) a merger or consolidation (A) which results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fifty percent (50%) or more of the combined voting power of the securities of the Company or such surviving entity or any parent thereof outstanding immediately after such merger or consolidation and (B) following which the individuals who comprise the Board immediately prior thereto constitute at least a majority of the board of directors of the Company,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more than fifty percent (50%) of the combined voting power of the Company’s then outstanding securities; or</w:t>
      </w:r>
    </w:p>
    <w:p>
      <w:pPr>
        <w:spacing w:after="0" w:line="185" w:lineRule="exact"/>
        <w:rPr>
          <w:rFonts w:ascii="Times New Roman" w:cs="Times New Roman" w:eastAsia="Times New Roman" w:hAnsi="Times New Roman"/>
          <w:sz w:val="17"/>
          <w:szCs w:val="17"/>
          <w:color w:val="auto"/>
        </w:rPr>
      </w:pPr>
    </w:p>
    <w:p>
      <w:pPr>
        <w:ind w:right="40" w:firstLine="1801"/>
        <w:spacing w:after="0" w:line="267" w:lineRule="auto"/>
        <w:tabs>
          <w:tab w:leader="none" w:pos="2036"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of the Company approve a plan of complete liquidation or dissolution of the Company or there is consummated an agreement for the sale or disposition by the Company of all or substantially all of the Company’s assets, other than (A) a sale or disposition by the Company of all or substantially all of the Company’s assets to an entity, more than fifty percent (50%) of the combined voting power of the voting securities of which are owned by stockholders of the Company following the completion of such transaction in substantially the same proportions as their ownership of the Company immediately prior to such sale or (B)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167"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7"/>
          <w:szCs w:val="17"/>
          <w:color w:val="auto"/>
        </w:rPr>
        <w:t>Notwithstanding the foregoing, (i) a Change in Control shall not be deemed to have occurred by virtue of the consummation of any transaction or series of integrated transactions immediately following which the holders of Common Stock immediately prior to such transaction or series of transactions continue to have substantially the same proportionate ownership in an entity which owns all or substantially all of the assets of the Company immediately following such transaction or series of transactions and (ii) to the extent required to avoid accelerated taxation and/or tax penalties under Section 409A of the Code, a Change in Control shall be deemed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have occurred under the Plan with respect to any Award that constitutes deferred compensation under Section 409A of the Code only if a change in the ownership or effective control of the Company or a change in ownership of a substantial portion of the assets of the Company shall also be deemed to have occurred under Section 409A of the Code. For purposes of this definition of Change in Control, the term “Person” shall not include</w:t>
      </w:r>
    </w:p>
    <w:p>
      <w:pPr>
        <w:jc w:val="both"/>
        <w:ind w:right="20" w:firstLine="1"/>
        <w:spacing w:after="0" w:line="248" w:lineRule="auto"/>
        <w:tabs>
          <w:tab w:leader="none" w:pos="199"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any Subsidiary thereof, (ii) a trustee or other fiduciary holding securities under an employee benefit plan of the Company or any Subsidiary thereof, (iii) an underwriter temporarily holding securities pursuant to an offering of such securities, or (iv) a corporation owned, directly or indirectly, by the stockholders of the Company in substantially the same proportions as their ownership of shares of the Company.</w:t>
      </w:r>
    </w:p>
    <w:p>
      <w:pPr>
        <w:spacing w:after="0" w:line="177"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 as amended from time to time, or any successor thereto.</w:t>
      </w:r>
    </w:p>
    <w:p>
      <w:pPr>
        <w:spacing w:after="0" w:line="204" w:lineRule="exact"/>
        <w:rPr>
          <w:rFonts w:ascii="Times New Roman" w:cs="Times New Roman" w:eastAsia="Times New Roman" w:hAnsi="Times New Roman"/>
          <w:sz w:val="17"/>
          <w:szCs w:val="17"/>
          <w:color w:val="auto"/>
        </w:rPr>
      </w:pPr>
    </w:p>
    <w:p>
      <w:pPr>
        <w:ind w:firstLine="1201"/>
        <w:spacing w:after="0" w:line="254" w:lineRule="auto"/>
        <w:tabs>
          <w:tab w:leader="none" w:pos="1436"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means any committee or subcommittee the Board may appoint to administer the Plan. Subject to the discretion of the Board, the Committee shall be composed entirely of individuals who meet the qualifications of a “non-employee director” within the meaning of Rule 16b-3 under the Exchange Act and any other qualifications required by the applicable stock exchange on which the Common Stock is traded.</w:t>
      </w:r>
    </w:p>
    <w:p>
      <w:pPr>
        <w:spacing w:after="0" w:line="172"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common stock of the Company, having a par value of $0.01 per share.</w:t>
      </w:r>
    </w:p>
    <w:p>
      <w:pPr>
        <w:spacing w:after="0" w:line="204" w:lineRule="exact"/>
        <w:rPr>
          <w:rFonts w:ascii="Times New Roman" w:cs="Times New Roman" w:eastAsia="Times New Roman" w:hAnsi="Times New Roman"/>
          <w:sz w:val="17"/>
          <w:szCs w:val="17"/>
          <w:color w:val="auto"/>
        </w:rPr>
      </w:pPr>
    </w:p>
    <w:p>
      <w:pPr>
        <w:ind w:right="460" w:firstLine="1201"/>
        <w:spacing w:after="0" w:line="271" w:lineRule="auto"/>
        <w:tabs>
          <w:tab w:leader="none" w:pos="1436"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means El Pollo Loco Holdings, Inc., a Delaware corporation (or any successor company, except as the term “Company” is used in the definition of “Change in Control” above).</w:t>
      </w:r>
    </w:p>
    <w:p>
      <w:pPr>
        <w:spacing w:after="0" w:line="158" w:lineRule="exact"/>
        <w:rPr>
          <w:rFonts w:ascii="Times New Roman" w:cs="Times New Roman" w:eastAsia="Times New Roman" w:hAnsi="Times New Roman"/>
          <w:sz w:val="17"/>
          <w:szCs w:val="17"/>
          <w:color w:val="auto"/>
        </w:rPr>
      </w:pPr>
    </w:p>
    <w:p>
      <w:pPr>
        <w:ind w:firstLine="1201"/>
        <w:spacing w:after="0" w:line="249" w:lineRule="auto"/>
        <w:tabs>
          <w:tab w:leader="none" w:pos="1408"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has the meaning assigned to such term in any individual service, employment or severance agreement or Award Agreement with the Participant or, if no such agreement exists or if such agreement does not define “Disability,” then “Disability” means that a Participant, as determined by the Administrator in its sole discretion,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or an Affiliate thereof.</w:t>
      </w:r>
    </w:p>
    <w:p>
      <w:pPr>
        <w:spacing w:after="0" w:line="180" w:lineRule="exact"/>
        <w:rPr>
          <w:rFonts w:ascii="Times New Roman" w:cs="Times New Roman" w:eastAsia="Times New Roman" w:hAnsi="Times New Roman"/>
          <w:sz w:val="17"/>
          <w:szCs w:val="17"/>
          <w:color w:val="auto"/>
        </w:rPr>
      </w:pPr>
    </w:p>
    <w:p>
      <w:pPr>
        <w:ind w:left="1420" w:hanging="219"/>
        <w:spacing w:after="0"/>
        <w:tabs>
          <w:tab w:leader="none" w:pos="142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has the meaning set forth in Section 18 hereof.</w:t>
      </w:r>
    </w:p>
    <w:p>
      <w:pPr>
        <w:spacing w:after="0" w:line="204" w:lineRule="exact"/>
        <w:rPr>
          <w:rFonts w:ascii="Times New Roman" w:cs="Times New Roman" w:eastAsia="Times New Roman" w:hAnsi="Times New Roman"/>
          <w:sz w:val="17"/>
          <w:szCs w:val="17"/>
          <w:color w:val="auto"/>
        </w:rPr>
      </w:pPr>
    </w:p>
    <w:p>
      <w:pPr>
        <w:ind w:firstLine="1201"/>
        <w:spacing w:after="0" w:line="251" w:lineRule="auto"/>
        <w:tabs>
          <w:tab w:leader="none" w:pos="1399"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Eligible Recipient</w:t>
      </w:r>
      <w:r>
        <w:rPr>
          <w:rFonts w:ascii="Times New Roman" w:cs="Times New Roman" w:eastAsia="Times New Roman" w:hAnsi="Times New Roman"/>
          <w:sz w:val="17"/>
          <w:szCs w:val="17"/>
          <w:color w:val="auto"/>
        </w:rPr>
        <w:t xml:space="preserve">” means an employee, director, independent contractor or consultant of the Company or any Affiliate of the Company who has been selected as an eligible participant by the Administrator;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to the extent required to avoid accelerated taxation and/or tax penalties under Section 409A of the Code, an Eligible Recipient of an Option or a Stock Appreciation Right means an employee, non-employee director, independent contractor or consultant of the Company or any Affiliate of the Company with respect to whom the Company is an “eligible issuer of service recipient stock” within the meaning of Section 409A of the Code.</w:t>
      </w:r>
    </w:p>
    <w:p>
      <w:pPr>
        <w:spacing w:after="0" w:line="177"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 from time to time.</w:t>
      </w:r>
    </w:p>
    <w:p>
      <w:pPr>
        <w:spacing w:after="0" w:line="204"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Exempt Award</w:t>
      </w:r>
      <w:r>
        <w:rPr>
          <w:rFonts w:ascii="Times New Roman" w:cs="Times New Roman" w:eastAsia="Times New Roman" w:hAnsi="Times New Roman"/>
          <w:sz w:val="17"/>
          <w:szCs w:val="17"/>
          <w:color w:val="auto"/>
        </w:rPr>
        <w:t>” shall mean the following:</w:t>
      </w:r>
    </w:p>
    <w:p>
      <w:pPr>
        <w:spacing w:after="0" w:line="204" w:lineRule="exact"/>
        <w:rPr>
          <w:rFonts w:ascii="Times New Roman" w:cs="Times New Roman" w:eastAsia="Times New Roman" w:hAnsi="Times New Roman"/>
          <w:sz w:val="17"/>
          <w:szCs w:val="17"/>
          <w:color w:val="auto"/>
        </w:rPr>
      </w:pPr>
    </w:p>
    <w:p>
      <w:pPr>
        <w:ind w:right="80" w:firstLine="1801"/>
        <w:spacing w:after="0" w:line="254" w:lineRule="auto"/>
        <w:tabs>
          <w:tab w:leader="none" w:pos="2036" w:val="left"/>
        </w:tabs>
        <w:numPr>
          <w:ilvl w:val="2"/>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Award granted in assumption of, or in substitution for, outstanding awards previously granted by a corporation or other entity acquired by the Company or any of its Subsidiaries or with which the Company or any of its Subsidiaries combines by merger or otherwise. The terms and conditions of any such Awards may vary from the terms and conditions set forth in the Plan to the extent the Administrator at the time of grant may deem appropriate, subject to Applicable Laws.</w:t>
      </w:r>
    </w:p>
    <w:p>
      <w:pPr>
        <w:spacing w:after="0" w:line="172" w:lineRule="exact"/>
        <w:rPr>
          <w:rFonts w:ascii="Times New Roman" w:cs="Times New Roman" w:eastAsia="Times New Roman" w:hAnsi="Times New Roman"/>
          <w:sz w:val="17"/>
          <w:szCs w:val="17"/>
          <w:color w:val="auto"/>
        </w:rPr>
      </w:pPr>
    </w:p>
    <w:p>
      <w:pPr>
        <w:ind w:right="240" w:firstLine="1801"/>
        <w:spacing w:after="0" w:line="258" w:lineRule="auto"/>
        <w:tabs>
          <w:tab w:leader="none" w:pos="2036" w:val="left"/>
        </w:tabs>
        <w:numPr>
          <w:ilvl w:val="2"/>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“employment inducement” award as described in the applicable stock exchange listing manual or rules may be granted under the Plan from time to time. The terms and conditions of any “employment inducement” award may vary from the terms and conditions set forth in the Plan to such extent as the Administrator at the time of grant may deem appropriate, subject to Applicable Laws.</w:t>
      </w:r>
    </w:p>
    <w:p>
      <w:pPr>
        <w:spacing w:after="0" w:line="169" w:lineRule="exact"/>
        <w:rPr>
          <w:rFonts w:ascii="Times New Roman" w:cs="Times New Roman" w:eastAsia="Times New Roman" w:hAnsi="Times New Roman"/>
          <w:sz w:val="17"/>
          <w:szCs w:val="17"/>
          <w:color w:val="auto"/>
        </w:rPr>
      </w:pPr>
    </w:p>
    <w:p>
      <w:pPr>
        <w:ind w:right="300" w:firstLine="1801"/>
        <w:spacing w:after="0" w:line="258" w:lineRule="auto"/>
        <w:tabs>
          <w:tab w:leader="none" w:pos="2036" w:val="left"/>
        </w:tabs>
        <w:numPr>
          <w:ilvl w:val="2"/>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award that an Eligible Recipient purchases at Fair Market Value (including awards that an Eligible Recipient elects to receive in lieu of fully vested compensation that is otherwise due) whether or not the Shares are delivered immediately or on a deferred basis.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6" w:right="10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right="320" w:firstLine="1201"/>
        <w:spacing w:after="0" w:line="258" w:lineRule="auto"/>
        <w:tabs>
          <w:tab w:leader="none" w:pos="1473"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means, (i) with respect to any Option, the per share price at which a holder of such Option may purchase Shares issuable upon exercise of such Award, and (ii) with respect to a Share Appreciation Right, the base price per share of such Share Appreciation Right.</w:t>
      </w:r>
    </w:p>
    <w:p>
      <w:pPr>
        <w:spacing w:after="0" w:line="169" w:lineRule="exact"/>
        <w:rPr>
          <w:rFonts w:ascii="Times New Roman" w:cs="Times New Roman" w:eastAsia="Times New Roman" w:hAnsi="Times New Roman"/>
          <w:sz w:val="17"/>
          <w:szCs w:val="17"/>
          <w:color w:val="auto"/>
        </w:rPr>
      </w:pPr>
    </w:p>
    <w:p>
      <w:pPr>
        <w:ind w:right="20" w:firstLine="1201"/>
        <w:spacing w:after="0" w:line="250" w:lineRule="auto"/>
        <w:tabs>
          <w:tab w:leader="none" w:pos="1436"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xml:space="preserve">” of a share of Common Stock or another security as of a particular date shall mean the fair market value as determined by the Administrator in its sole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 if the Common Stock or other security is admitted to trading on a national securities exchange, the fair market value on any date shall be the closing sale price reported on such date, or if no shares were traded on such date, on the last preceding date for which there was a sale of a share of Common Stock on such exchange, or (ii) if the Common Stock or other security is then traded in an over-the-counter market, the fair market value on any date shall be the average of the closing bid and asked prices for such share in such over-the-counter market for the last preceding date on which there was a sale of such share in such market.</w:t>
      </w:r>
    </w:p>
    <w:p>
      <w:pPr>
        <w:spacing w:after="0" w:line="177"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Free Standing Rights</w:t>
      </w:r>
      <w:r>
        <w:rPr>
          <w:rFonts w:ascii="Times New Roman" w:cs="Times New Roman" w:eastAsia="Times New Roman" w:hAnsi="Times New Roman"/>
          <w:sz w:val="17"/>
          <w:szCs w:val="17"/>
          <w:color w:val="auto"/>
        </w:rPr>
        <w:t>” has the meaning set forth in Section 8.</w:t>
      </w:r>
    </w:p>
    <w:p>
      <w:pPr>
        <w:spacing w:after="0" w:line="204" w:lineRule="exact"/>
        <w:rPr>
          <w:rFonts w:ascii="Times New Roman" w:cs="Times New Roman" w:eastAsia="Times New Roman" w:hAnsi="Times New Roman"/>
          <w:sz w:val="17"/>
          <w:szCs w:val="17"/>
          <w:color w:val="auto"/>
        </w:rPr>
      </w:pPr>
    </w:p>
    <w:p>
      <w:pPr>
        <w:ind w:right="20" w:firstLine="1201"/>
        <w:spacing w:after="0" w:line="258" w:lineRule="auto"/>
        <w:tabs>
          <w:tab w:leader="none" w:pos="1426"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has the meaning assigned to such term in any individual service, employment or severance agreement or Award Agreement with the Participant or, if no such agreement exists or if such agreement does not define “Good Reason,” “Good Reason” and any provision of this Plan that refers to “Good Reason” shall not be applicable to such Participant.</w:t>
      </w:r>
    </w:p>
    <w:p>
      <w:pPr>
        <w:spacing w:after="0" w:line="169" w:lineRule="exact"/>
        <w:rPr>
          <w:sz w:val="20"/>
          <w:szCs w:val="20"/>
          <w:color w:val="auto"/>
        </w:rPr>
      </w:pPr>
    </w:p>
    <w:p>
      <w:pPr>
        <w:ind w:right="20" w:firstLine="1201"/>
        <w:spacing w:after="0" w:line="258" w:lineRule="auto"/>
        <w:tabs>
          <w:tab w:leader="none" w:pos="15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Grandfathered Arrangement</w:t>
      </w:r>
      <w:r>
        <w:rPr>
          <w:rFonts w:ascii="Times New Roman" w:cs="Times New Roman" w:eastAsia="Times New Roman" w:hAnsi="Times New Roman"/>
          <w:sz w:val="17"/>
          <w:szCs w:val="17"/>
          <w:color w:val="auto"/>
        </w:rPr>
        <w:t>” means an Award which is provided pursuant to a written binding contract in effect on November 2, 2017, and which was not modified in any material respect on or after November 2, 2017, within the meaning of Section 13601(e)(2) of P.L. 115.97, as may be amended from time to time (including any rules and regulations promulgated thereunder).</w:t>
      </w:r>
    </w:p>
    <w:p>
      <w:pPr>
        <w:spacing w:after="0" w:line="169" w:lineRule="exact"/>
        <w:rPr>
          <w:rFonts w:ascii="Times New Roman" w:cs="Times New Roman" w:eastAsia="Times New Roman" w:hAnsi="Times New Roman"/>
          <w:sz w:val="17"/>
          <w:szCs w:val="17"/>
          <w:color w:val="auto"/>
        </w:rPr>
      </w:pPr>
    </w:p>
    <w:p>
      <w:pPr>
        <w:ind w:left="1520" w:hanging="319"/>
        <w:spacing w:after="0"/>
        <w:tabs>
          <w:tab w:leader="none" w:pos="15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Incentive Compensation</w:t>
      </w:r>
      <w:r>
        <w:rPr>
          <w:rFonts w:ascii="Times New Roman" w:cs="Times New Roman" w:eastAsia="Times New Roman" w:hAnsi="Times New Roman"/>
          <w:sz w:val="17"/>
          <w:szCs w:val="17"/>
          <w:color w:val="auto"/>
        </w:rPr>
        <w:t>” means annual cash bonus and any Award.</w:t>
      </w:r>
    </w:p>
    <w:p>
      <w:pPr>
        <w:spacing w:after="0" w:line="204" w:lineRule="exact"/>
        <w:rPr>
          <w:rFonts w:ascii="Times New Roman" w:cs="Times New Roman" w:eastAsia="Times New Roman" w:hAnsi="Times New Roman"/>
          <w:sz w:val="17"/>
          <w:szCs w:val="17"/>
          <w:color w:val="auto"/>
        </w:rPr>
      </w:pPr>
    </w:p>
    <w:p>
      <w:pPr>
        <w:ind w:left="1500" w:hanging="299"/>
        <w:spacing w:after="0"/>
        <w:tabs>
          <w:tab w:leader="none" w:pos="150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ISO</w:t>
      </w:r>
      <w:r>
        <w:rPr>
          <w:rFonts w:ascii="Times New Roman" w:cs="Times New Roman" w:eastAsia="Times New Roman" w:hAnsi="Times New Roman"/>
          <w:sz w:val="16"/>
          <w:szCs w:val="16"/>
          <w:color w:val="auto"/>
        </w:rPr>
        <w:t>” means an Option intended to be and designated as an “incentive stock option” within the meaning of Section 422 of the</w:t>
      </w:r>
    </w:p>
    <w:p>
      <w:pPr>
        <w:spacing w:after="0" w:line="3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Code.</w:t>
      </w:r>
    </w:p>
    <w:p>
      <w:pPr>
        <w:spacing w:after="0" w:line="187" w:lineRule="exact"/>
        <w:rPr>
          <w:rFonts w:ascii="Times New Roman" w:cs="Times New Roman" w:eastAsia="Times New Roman" w:hAnsi="Times New Roman"/>
          <w:sz w:val="16"/>
          <w:szCs w:val="16"/>
          <w:color w:val="auto"/>
        </w:rPr>
      </w:pPr>
    </w:p>
    <w:p>
      <w:pPr>
        <w:ind w:left="1520" w:hanging="319"/>
        <w:spacing w:after="0"/>
        <w:tabs>
          <w:tab w:leader="none" w:pos="15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Nonqualified Stock Option</w:t>
      </w:r>
      <w:r>
        <w:rPr>
          <w:rFonts w:ascii="Times New Roman" w:cs="Times New Roman" w:eastAsia="Times New Roman" w:hAnsi="Times New Roman"/>
          <w:sz w:val="17"/>
          <w:szCs w:val="17"/>
          <w:color w:val="auto"/>
        </w:rPr>
        <w:t>” shall mean an Option that is not designated as an ISO.</w:t>
      </w:r>
    </w:p>
    <w:p>
      <w:pPr>
        <w:spacing w:after="0" w:line="204" w:lineRule="exact"/>
        <w:rPr>
          <w:rFonts w:ascii="Times New Roman" w:cs="Times New Roman" w:eastAsia="Times New Roman" w:hAnsi="Times New Roman"/>
          <w:sz w:val="17"/>
          <w:szCs w:val="17"/>
          <w:color w:val="auto"/>
        </w:rPr>
      </w:pPr>
    </w:p>
    <w:p>
      <w:pPr>
        <w:ind w:right="120" w:firstLine="1201"/>
        <w:spacing w:after="0" w:line="271" w:lineRule="auto"/>
        <w:tabs>
          <w:tab w:leader="none" w:pos="15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means an option to purchase shares of Common Stock granted pursuant to Section 7 hereof. The term “Option” as used in the Plan includes the terms “Nonqualified Stock Option” and “ISO.”</w:t>
      </w:r>
    </w:p>
    <w:p>
      <w:pPr>
        <w:spacing w:after="0" w:line="158" w:lineRule="exact"/>
        <w:rPr>
          <w:rFonts w:ascii="Times New Roman" w:cs="Times New Roman" w:eastAsia="Times New Roman" w:hAnsi="Times New Roman"/>
          <w:sz w:val="17"/>
          <w:szCs w:val="17"/>
          <w:color w:val="auto"/>
        </w:rPr>
      </w:pPr>
    </w:p>
    <w:p>
      <w:pPr>
        <w:jc w:val="both"/>
        <w:ind w:right="60" w:firstLine="1201"/>
        <w:spacing w:after="0" w:line="254" w:lineRule="auto"/>
        <w:tabs>
          <w:tab w:leader="none" w:pos="146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Share-Based Award</w:t>
      </w:r>
      <w:r>
        <w:rPr>
          <w:rFonts w:ascii="Times New Roman" w:cs="Times New Roman" w:eastAsia="Times New Roman" w:hAnsi="Times New Roman"/>
          <w:sz w:val="17"/>
          <w:szCs w:val="17"/>
          <w:color w:val="auto"/>
        </w:rPr>
        <w:t>” means a right or other interest granted pursuant to Section 10 hereof that may be denominated or payable in, valued in whole or in part by reference to, or otherwise based on or related to, Common Stock, including, but not limited to, unrestricted Shares, dividend equivalents or performance units, each of which may be subject to the attainment of performance goals or a period of continued provision of service or employment or other terms or conditions as permitted under the Plan.</w:t>
      </w:r>
    </w:p>
    <w:p>
      <w:pPr>
        <w:spacing w:after="0" w:line="172" w:lineRule="exact"/>
        <w:rPr>
          <w:rFonts w:ascii="Times New Roman" w:cs="Times New Roman" w:eastAsia="Times New Roman" w:hAnsi="Times New Roman"/>
          <w:sz w:val="17"/>
          <w:szCs w:val="17"/>
          <w:color w:val="auto"/>
        </w:rPr>
      </w:pPr>
    </w:p>
    <w:p>
      <w:pPr>
        <w:jc w:val="both"/>
        <w:ind w:right="60" w:firstLine="1201"/>
        <w:spacing w:after="0" w:line="258" w:lineRule="auto"/>
        <w:tabs>
          <w:tab w:leader="none" w:pos="1519"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means any Eligible Recipient selected by the Administrator, pursuant to the Administrator’s authority provided for in Section 3 below, to receive grants of Awards, and, upon his or her death, his or her successors, heirs, executors and administrators, as the case may be.</w:t>
      </w:r>
    </w:p>
    <w:p>
      <w:pPr>
        <w:spacing w:after="0" w:line="169" w:lineRule="exact"/>
        <w:rPr>
          <w:rFonts w:ascii="Times New Roman" w:cs="Times New Roman" w:eastAsia="Times New Roman" w:hAnsi="Times New Roman"/>
          <w:sz w:val="17"/>
          <w:szCs w:val="17"/>
          <w:color w:val="auto"/>
        </w:rPr>
      </w:pPr>
    </w:p>
    <w:p>
      <w:pPr>
        <w:ind w:left="1520" w:hanging="319"/>
        <w:spacing w:after="0"/>
        <w:tabs>
          <w:tab w:leader="none" w:pos="15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shall have the meaning given in Section 3(a)(9) of the Exchange Act, as modified and used in Sections 13(d) and</w:t>
      </w:r>
    </w:p>
    <w:p>
      <w:pPr>
        <w:spacing w:after="0" w:line="2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14(d) thereof.</w:t>
      </w:r>
    </w:p>
    <w:p>
      <w:pPr>
        <w:spacing w:after="0" w:line="187"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means this Equity Incentive Plan (formerly the 2018 Omnibus Equity Incentive Plan).</w:t>
      </w:r>
    </w:p>
    <w:p>
      <w:pPr>
        <w:spacing w:after="0" w:line="204"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Prior Plan</w:t>
      </w:r>
      <w:r>
        <w:rPr>
          <w:rFonts w:ascii="Times New Roman" w:cs="Times New Roman" w:eastAsia="Times New Roman" w:hAnsi="Times New Roman"/>
          <w:sz w:val="16"/>
          <w:szCs w:val="16"/>
          <w:color w:val="auto"/>
        </w:rPr>
        <w:t>” means the Company’s 2014 Omnibus Equity Incentive Plan as in effect immediately prior to the Effective Date.</w:t>
      </w:r>
    </w:p>
    <w:p>
      <w:pPr>
        <w:spacing w:after="0" w:line="215" w:lineRule="exact"/>
        <w:rPr>
          <w:rFonts w:ascii="Times New Roman" w:cs="Times New Roman" w:eastAsia="Times New Roman" w:hAnsi="Times New Roman"/>
          <w:sz w:val="16"/>
          <w:szCs w:val="16"/>
          <w:color w:val="auto"/>
        </w:rPr>
      </w:pPr>
    </w:p>
    <w:p>
      <w:pPr>
        <w:ind w:left="1520" w:hanging="319"/>
        <w:spacing w:after="0"/>
        <w:tabs>
          <w:tab w:leader="none" w:pos="15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Related Rights</w:t>
      </w:r>
      <w:r>
        <w:rPr>
          <w:rFonts w:ascii="Times New Roman" w:cs="Times New Roman" w:eastAsia="Times New Roman" w:hAnsi="Times New Roman"/>
          <w:sz w:val="17"/>
          <w:szCs w:val="17"/>
          <w:color w:val="auto"/>
        </w:rPr>
        <w:t>” has the meaning set forth in Section 8.</w:t>
      </w:r>
    </w:p>
    <w:p>
      <w:pPr>
        <w:spacing w:after="0" w:line="204" w:lineRule="exact"/>
        <w:rPr>
          <w:rFonts w:ascii="Times New Roman" w:cs="Times New Roman" w:eastAsia="Times New Roman" w:hAnsi="Times New Roman"/>
          <w:sz w:val="17"/>
          <w:szCs w:val="17"/>
          <w:color w:val="auto"/>
        </w:rPr>
      </w:pPr>
    </w:p>
    <w:p>
      <w:pPr>
        <w:ind w:right="160" w:firstLine="1201"/>
        <w:spacing w:after="0" w:line="271" w:lineRule="auto"/>
        <w:tabs>
          <w:tab w:leader="none" w:pos="1445"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Share</w:t>
      </w:r>
      <w:r>
        <w:rPr>
          <w:rFonts w:ascii="Times New Roman" w:cs="Times New Roman" w:eastAsia="Times New Roman" w:hAnsi="Times New Roman"/>
          <w:sz w:val="17"/>
          <w:szCs w:val="17"/>
          <w:color w:val="auto"/>
        </w:rPr>
        <w:t>” means a Share granted pursuant to Section 9 below subject to certain restrictions that lapse at the end of a specified period (or periods) of time and/or upon attainment of specified performance objectives.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left="1620" w:hanging="419"/>
        <w:spacing w:after="0"/>
        <w:tabs>
          <w:tab w:leader="none" w:pos="162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Period</w:t>
      </w:r>
      <w:r>
        <w:rPr>
          <w:rFonts w:ascii="Times New Roman" w:cs="Times New Roman" w:eastAsia="Times New Roman" w:hAnsi="Times New Roman"/>
          <w:sz w:val="17"/>
          <w:szCs w:val="17"/>
          <w:color w:val="auto"/>
        </w:rPr>
        <w:t>” has the meaning set forth in Section 9.</w:t>
      </w:r>
    </w:p>
    <w:p>
      <w:pPr>
        <w:spacing w:after="0" w:line="204" w:lineRule="exact"/>
        <w:rPr>
          <w:rFonts w:ascii="Times New Roman" w:cs="Times New Roman" w:eastAsia="Times New Roman" w:hAnsi="Times New Roman"/>
          <w:sz w:val="17"/>
          <w:szCs w:val="17"/>
          <w:color w:val="auto"/>
        </w:rPr>
      </w:pPr>
    </w:p>
    <w:p>
      <w:pPr>
        <w:ind w:right="440" w:firstLine="1201"/>
        <w:spacing w:after="0" w:line="271" w:lineRule="auto"/>
        <w:tabs>
          <w:tab w:leader="none" w:pos="1519"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 Unit</w:t>
      </w:r>
      <w:r>
        <w:rPr>
          <w:rFonts w:ascii="Times New Roman" w:cs="Times New Roman" w:eastAsia="Times New Roman" w:hAnsi="Times New Roman"/>
          <w:sz w:val="17"/>
          <w:szCs w:val="17"/>
          <w:color w:val="auto"/>
        </w:rPr>
        <w:t>” means the right granted pursuant to Section 9 hereof to receive a Share at the end of a specified restricted period (or periods) of time and/or upon attainment of specified performance objectives.</w:t>
      </w:r>
    </w:p>
    <w:p>
      <w:pPr>
        <w:spacing w:after="0" w:line="158" w:lineRule="exact"/>
        <w:rPr>
          <w:rFonts w:ascii="Times New Roman" w:cs="Times New Roman" w:eastAsia="Times New Roman" w:hAnsi="Times New Roman"/>
          <w:sz w:val="17"/>
          <w:szCs w:val="17"/>
          <w:color w:val="auto"/>
        </w:rPr>
      </w:pPr>
    </w:p>
    <w:p>
      <w:pPr>
        <w:ind w:left="1520" w:hanging="319"/>
        <w:spacing w:after="0"/>
        <w:tabs>
          <w:tab w:leader="none" w:pos="152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16b-3</w:t>
      </w:r>
      <w:r>
        <w:rPr>
          <w:rFonts w:ascii="Times New Roman" w:cs="Times New Roman" w:eastAsia="Times New Roman" w:hAnsi="Times New Roman"/>
          <w:sz w:val="17"/>
          <w:szCs w:val="17"/>
          <w:color w:val="auto"/>
        </w:rPr>
        <w:t>” has the meaning set forth in Section 3.</w:t>
      </w:r>
    </w:p>
    <w:p>
      <w:pPr>
        <w:spacing w:after="0" w:line="204" w:lineRule="exact"/>
        <w:rPr>
          <w:rFonts w:ascii="Times New Roman" w:cs="Times New Roman" w:eastAsia="Times New Roman" w:hAnsi="Times New Roman"/>
          <w:sz w:val="17"/>
          <w:szCs w:val="17"/>
          <w:color w:val="auto"/>
        </w:rPr>
      </w:pPr>
    </w:p>
    <w:p>
      <w:pPr>
        <w:ind w:right="440" w:firstLine="1201"/>
        <w:spacing w:after="0" w:line="258" w:lineRule="auto"/>
        <w:tabs>
          <w:tab w:leader="none" w:pos="1519"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Section 16 Officer</w:t>
      </w:r>
      <w:r>
        <w:rPr>
          <w:rFonts w:ascii="Times New Roman" w:cs="Times New Roman" w:eastAsia="Times New Roman" w:hAnsi="Times New Roman"/>
          <w:sz w:val="17"/>
          <w:szCs w:val="17"/>
          <w:color w:val="auto"/>
        </w:rPr>
        <w:t>” means any officer of the Company whom the Board has determined is subject to the reporting requirements of Section 16 of the Exchange Act, whether or not such individual is a Section 16 Officer at the time the determination to recoup compensation is made.</w:t>
      </w:r>
    </w:p>
    <w:p>
      <w:pPr>
        <w:spacing w:after="0" w:line="169" w:lineRule="exact"/>
        <w:rPr>
          <w:rFonts w:ascii="Times New Roman" w:cs="Times New Roman" w:eastAsia="Times New Roman" w:hAnsi="Times New Roman"/>
          <w:sz w:val="17"/>
          <w:szCs w:val="17"/>
          <w:color w:val="auto"/>
        </w:rPr>
      </w:pPr>
    </w:p>
    <w:p>
      <w:pPr>
        <w:ind w:right="340" w:firstLine="1201"/>
        <w:spacing w:after="0" w:line="271" w:lineRule="auto"/>
        <w:tabs>
          <w:tab w:leader="none" w:pos="1519"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means Common Stock reserved for issuance under the Plan, as adjusted pursuant to the Plan, and any successor (pursuant to a merger, consolidation or other reorganization) security.</w:t>
      </w:r>
    </w:p>
    <w:p>
      <w:pPr>
        <w:spacing w:after="0" w:line="158" w:lineRule="exact"/>
        <w:rPr>
          <w:rFonts w:ascii="Times New Roman" w:cs="Times New Roman" w:eastAsia="Times New Roman" w:hAnsi="Times New Roman"/>
          <w:sz w:val="17"/>
          <w:szCs w:val="17"/>
          <w:color w:val="auto"/>
        </w:rPr>
      </w:pPr>
    </w:p>
    <w:p>
      <w:pPr>
        <w:ind w:firstLine="1201"/>
        <w:spacing w:after="0" w:line="258" w:lineRule="auto"/>
        <w:tabs>
          <w:tab w:leader="none" w:pos="1463"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 Appreciation Right</w:t>
      </w:r>
      <w:r>
        <w:rPr>
          <w:rFonts w:ascii="Times New Roman" w:cs="Times New Roman" w:eastAsia="Times New Roman" w:hAnsi="Times New Roman"/>
          <w:sz w:val="17"/>
          <w:szCs w:val="17"/>
          <w:color w:val="auto"/>
        </w:rPr>
        <w:t>” means a right granted pursuant to Section 8 hereof to receive an amount equal to the excess, if any, of (i) the aggregate Fair Market Value, as of the date such Award or portion thereof is surrendered, of the Shares covered by such Award or such portion thereof, over (ii) the aggregate Exercise Price of such Award or such portion thereof.</w:t>
      </w:r>
    </w:p>
    <w:p>
      <w:pPr>
        <w:spacing w:after="0" w:line="169" w:lineRule="exact"/>
        <w:rPr>
          <w:rFonts w:ascii="Times New Roman" w:cs="Times New Roman" w:eastAsia="Times New Roman" w:hAnsi="Times New Roman"/>
          <w:sz w:val="17"/>
          <w:szCs w:val="17"/>
          <w:color w:val="auto"/>
        </w:rPr>
      </w:pPr>
    </w:p>
    <w:p>
      <w:pPr>
        <w:jc w:val="both"/>
        <w:ind w:right="420" w:firstLine="1201"/>
        <w:spacing w:after="0" w:line="258" w:lineRule="auto"/>
        <w:tabs>
          <w:tab w:leader="none" w:pos="1482"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Person, as of any date of determination, any other Person as to which such first Person owns or otherwise controls, directly or indirectly, more than 50% of the voting shares or other similar interests or a sole general partner interest or managing member or similar interest of such other Person.</w:t>
      </w:r>
    </w:p>
    <w:p>
      <w:pPr>
        <w:spacing w:after="0" w:line="169"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has the meaning set forth in Section 16.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 Administration.</w:t>
      </w:r>
    </w:p>
    <w:p>
      <w:pPr>
        <w:spacing w:after="0" w:line="208" w:lineRule="exact"/>
        <w:rPr>
          <w:sz w:val="20"/>
          <w:szCs w:val="20"/>
          <w:color w:val="auto"/>
        </w:rPr>
      </w:pPr>
    </w:p>
    <w:p>
      <w:pPr>
        <w:ind w:right="300" w:firstLine="1201"/>
        <w:spacing w:after="0" w:line="271" w:lineRule="auto"/>
        <w:tabs>
          <w:tab w:leader="none" w:pos="1426"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shall be administered by the Administrator and shall be administered, to the extent applicable, in accordance with Rule 16b-3 under the Exchange Act (“</w:t>
      </w:r>
      <w:r>
        <w:rPr>
          <w:rFonts w:ascii="Times New Roman" w:cs="Times New Roman" w:eastAsia="Times New Roman" w:hAnsi="Times New Roman"/>
          <w:sz w:val="17"/>
          <w:szCs w:val="17"/>
          <w:u w:val="single" w:color="auto"/>
          <w:color w:val="auto"/>
        </w:rPr>
        <w:t>Rule 16b-3</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ind w:right="100" w:firstLine="1201"/>
        <w:spacing w:after="0" w:line="271" w:lineRule="auto"/>
        <w:tabs>
          <w:tab w:leader="none" w:pos="1436"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the Plan, the Administrator, subject, in the case of any Committee, to any restrictions on the authority delegated to it by the Board, shall have the power and authority, without limitation:</w:t>
      </w:r>
    </w:p>
    <w:p>
      <w:pPr>
        <w:spacing w:after="0" w:line="158" w:lineRule="exact"/>
        <w:rPr>
          <w:rFonts w:ascii="Times New Roman" w:cs="Times New Roman" w:eastAsia="Times New Roman" w:hAnsi="Times New Roman"/>
          <w:sz w:val="17"/>
          <w:szCs w:val="17"/>
          <w:color w:val="auto"/>
        </w:rPr>
      </w:pPr>
    </w:p>
    <w:p>
      <w:pPr>
        <w:ind w:left="2040" w:hanging="239"/>
        <w:spacing w:after="0"/>
        <w:tabs>
          <w:tab w:leader="none" w:pos="204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select those Eligible Recipients who shall be Participants;</w:t>
      </w:r>
    </w:p>
    <w:p>
      <w:pPr>
        <w:spacing w:after="0" w:line="204" w:lineRule="exact"/>
        <w:rPr>
          <w:rFonts w:ascii="Times New Roman" w:cs="Times New Roman" w:eastAsia="Times New Roman" w:hAnsi="Times New Roman"/>
          <w:sz w:val="17"/>
          <w:szCs w:val="17"/>
          <w:color w:val="auto"/>
        </w:rPr>
      </w:pPr>
    </w:p>
    <w:p>
      <w:pPr>
        <w:ind w:right="360" w:firstLine="1801"/>
        <w:spacing w:after="0" w:line="271" w:lineRule="auto"/>
        <w:tabs>
          <w:tab w:leader="none" w:pos="2036"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whether and to what extent Options, Share Appreciation Rights, Restricted Shares, Restricted Stock Units, Cash Awards, Other Share-Based Awards or a combination of any of the foregoing, are to be granted hereunder to Participants;</w:t>
      </w:r>
    </w:p>
    <w:p>
      <w:pPr>
        <w:spacing w:after="0" w:line="158" w:lineRule="exact"/>
        <w:rPr>
          <w:rFonts w:ascii="Times New Roman" w:cs="Times New Roman" w:eastAsia="Times New Roman" w:hAnsi="Times New Roman"/>
          <w:sz w:val="17"/>
          <w:szCs w:val="17"/>
          <w:color w:val="auto"/>
        </w:rPr>
      </w:pPr>
    </w:p>
    <w:p>
      <w:pPr>
        <w:ind w:left="2040" w:hanging="239"/>
        <w:spacing w:after="0"/>
        <w:tabs>
          <w:tab w:leader="none" w:pos="204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number of Shares to be covered by each Award granted hereunder;</w:t>
      </w:r>
    </w:p>
    <w:p>
      <w:pPr>
        <w:spacing w:after="0" w:line="204" w:lineRule="exact"/>
        <w:rPr>
          <w:rFonts w:ascii="Times New Roman" w:cs="Times New Roman" w:eastAsia="Times New Roman" w:hAnsi="Times New Roman"/>
          <w:sz w:val="17"/>
          <w:szCs w:val="17"/>
          <w:color w:val="auto"/>
        </w:rPr>
      </w:pPr>
    </w:p>
    <w:p>
      <w:pPr>
        <w:ind w:firstLine="1801"/>
        <w:spacing w:after="0" w:line="249" w:lineRule="auto"/>
        <w:tabs>
          <w:tab w:leader="none" w:pos="2036"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and conditions, not inconsistent with the terms of the Plan, of each Award granted hereunder (including, but not limited to, (i) the restrictions applicable to Restricted Shares or Restricted Stock Units and the conditions under which restrictions applicable to such Restricted Shares or Restricted Stock Units shall lapse, (ii) the performance goals and periods applicable to Awards, (iii) the Exercise Price of each Option and each Share Appreciation Right or the purchase price of any other Award, (iv) the vesting schedule and terms applicable to each Award, (v) the number of Shares or amount of cash or other property subject to each Award and (vi) subject to the requirements of Section 409A of the Code (to the extent applicable) and to Section 4(e) of the Plan, any amendments to the terms and conditions of outstanding Awards, including, but not limited to, extending the exercise period of such Awards and accelerating the vesting and/or payment schedules of such Awards);</w:t>
      </w:r>
    </w:p>
    <w:p>
      <w:pPr>
        <w:spacing w:after="0" w:line="177" w:lineRule="exact"/>
        <w:rPr>
          <w:rFonts w:ascii="Times New Roman" w:cs="Times New Roman" w:eastAsia="Times New Roman" w:hAnsi="Times New Roman"/>
          <w:sz w:val="17"/>
          <w:szCs w:val="17"/>
          <w:color w:val="auto"/>
        </w:rPr>
      </w:pPr>
    </w:p>
    <w:p>
      <w:pPr>
        <w:ind w:right="400" w:firstLine="1801"/>
        <w:spacing w:after="0" w:line="271" w:lineRule="auto"/>
        <w:tabs>
          <w:tab w:leader="none" w:pos="2036"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and conditions, not inconsistent with the terms of the Plan, which shall govern all written instruments evidencing Awards;</w:t>
      </w:r>
    </w:p>
    <w:p>
      <w:pPr>
        <w:spacing w:after="0" w:line="158" w:lineRule="exact"/>
        <w:rPr>
          <w:rFonts w:ascii="Times New Roman" w:cs="Times New Roman" w:eastAsia="Times New Roman" w:hAnsi="Times New Roman"/>
          <w:sz w:val="17"/>
          <w:szCs w:val="17"/>
          <w:color w:val="auto"/>
        </w:rPr>
      </w:pPr>
    </w:p>
    <w:p>
      <w:pPr>
        <w:ind w:left="2040" w:hanging="239"/>
        <w:spacing w:after="0"/>
        <w:tabs>
          <w:tab w:leader="none" w:pos="204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Fair Market Value in accordance with the terms of the Plan;</w:t>
      </w:r>
    </w:p>
    <w:p>
      <w:pPr>
        <w:spacing w:after="0" w:line="204" w:lineRule="exact"/>
        <w:rPr>
          <w:rFonts w:ascii="Times New Roman" w:cs="Times New Roman" w:eastAsia="Times New Roman" w:hAnsi="Times New Roman"/>
          <w:sz w:val="17"/>
          <w:szCs w:val="17"/>
          <w:color w:val="auto"/>
        </w:rPr>
      </w:pPr>
    </w:p>
    <w:p>
      <w:pPr>
        <w:ind w:right="20" w:firstLine="1801"/>
        <w:spacing w:after="0" w:line="271" w:lineRule="auto"/>
        <w:tabs>
          <w:tab w:leader="none" w:pos="2036"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duration and purpose of leaves of absence which may be granted to a Participant without constituting termination of the Participant’s service or employment for purposes of Awards granted under the Plan;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right="40" w:firstLine="1801"/>
        <w:spacing w:after="0" w:line="271" w:lineRule="auto"/>
        <w:tabs>
          <w:tab w:leader="none" w:pos="2036"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adopt, alter and repeal such administrative rules, regulations, guidelines and practices governing the Plan as it shall from time to time deem advisable;</w:t>
      </w:r>
    </w:p>
    <w:p>
      <w:pPr>
        <w:spacing w:after="0" w:line="158" w:lineRule="exact"/>
        <w:rPr>
          <w:rFonts w:ascii="Times New Roman" w:cs="Times New Roman" w:eastAsia="Times New Roman" w:hAnsi="Times New Roman"/>
          <w:sz w:val="17"/>
          <w:szCs w:val="17"/>
          <w:color w:val="auto"/>
        </w:rPr>
      </w:pPr>
    </w:p>
    <w:p>
      <w:pPr>
        <w:jc w:val="both"/>
        <w:ind w:right="360" w:firstLine="1801"/>
        <w:spacing w:after="0" w:line="282" w:lineRule="auto"/>
        <w:tabs>
          <w:tab w:leader="none" w:pos="2036"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construe and interpret the terms and provisions of, and supply or correct omissions in,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 and</w:t>
      </w:r>
    </w:p>
    <w:p>
      <w:pPr>
        <w:spacing w:after="0" w:line="151" w:lineRule="exact"/>
        <w:rPr>
          <w:rFonts w:ascii="Times New Roman" w:cs="Times New Roman" w:eastAsia="Times New Roman" w:hAnsi="Times New Roman"/>
          <w:sz w:val="16"/>
          <w:szCs w:val="16"/>
          <w:color w:val="auto"/>
        </w:rPr>
      </w:pPr>
    </w:p>
    <w:p>
      <w:pPr>
        <w:ind w:right="20" w:firstLine="1801"/>
        <w:spacing w:after="0" w:line="258" w:lineRule="auto"/>
        <w:tabs>
          <w:tab w:leader="none" w:pos="2119"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prescribe, amend and rescind rules and regulations relating to sub-plans established for the purpose of satisfying applicable non-United States laws or for qualifying for favorable tax treatment under applicable non-United States laws, which rules and regulations may be set forth in an appendix or appendixes to the Plan.</w:t>
      </w:r>
    </w:p>
    <w:p>
      <w:pPr>
        <w:spacing w:after="0" w:line="169" w:lineRule="exact"/>
        <w:rPr>
          <w:rFonts w:ascii="Times New Roman" w:cs="Times New Roman" w:eastAsia="Times New Roman" w:hAnsi="Times New Roman"/>
          <w:sz w:val="17"/>
          <w:szCs w:val="17"/>
          <w:color w:val="auto"/>
        </w:rPr>
      </w:pPr>
    </w:p>
    <w:p>
      <w:pPr>
        <w:ind w:firstLine="1201"/>
        <w:spacing w:after="0" w:line="251" w:lineRule="auto"/>
        <w:tabs>
          <w:tab w:leader="none" w:pos="1426"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5, neither the Board nor the Committee shall have the authority to (1) amend an outstanding Option or Share Appreciation Right to reduce the exercise price or base price of the Award, (2) cancel, exchange, or surrender an outstanding Option or Share Appreciation Right in exchange for cash or other Awards for the purpose of repricing the award, or (3) cancel, exchange, or surrender an outstanding Option or Share Appreciation Right in exchange for an Option or Share Appreciation Right with an exercise or base price that is less than the exercise or base price of the original Award.</w:t>
      </w:r>
    </w:p>
    <w:p>
      <w:pPr>
        <w:spacing w:after="0" w:line="177" w:lineRule="exact"/>
        <w:rPr>
          <w:rFonts w:ascii="Times New Roman" w:cs="Times New Roman" w:eastAsia="Times New Roman" w:hAnsi="Times New Roman"/>
          <w:sz w:val="17"/>
          <w:szCs w:val="17"/>
          <w:color w:val="auto"/>
        </w:rPr>
      </w:pPr>
    </w:p>
    <w:p>
      <w:pPr>
        <w:ind w:right="300" w:firstLine="1201"/>
        <w:spacing w:after="0" w:line="271" w:lineRule="auto"/>
        <w:tabs>
          <w:tab w:leader="none" w:pos="1436"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decisions made by the Administrator pursuant to the provisions of the Plan shall be final, conclusive and binding on all Persons, including the Company and the Participants.</w:t>
      </w:r>
    </w:p>
    <w:p>
      <w:pPr>
        <w:spacing w:after="0" w:line="158" w:lineRule="exact"/>
        <w:rPr>
          <w:rFonts w:ascii="Times New Roman" w:cs="Times New Roman" w:eastAsia="Times New Roman" w:hAnsi="Times New Roman"/>
          <w:sz w:val="17"/>
          <w:szCs w:val="17"/>
          <w:color w:val="auto"/>
        </w:rPr>
      </w:pPr>
    </w:p>
    <w:p>
      <w:pPr>
        <w:ind w:left="1420" w:hanging="219"/>
        <w:spacing w:after="0"/>
        <w:tabs>
          <w:tab w:leader="none" w:pos="142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expenses of administering the Plan shall be borne by the Company and its Affiliates.</w:t>
      </w:r>
    </w:p>
    <w:p>
      <w:pPr>
        <w:spacing w:after="0" w:line="204" w:lineRule="exact"/>
        <w:rPr>
          <w:rFonts w:ascii="Times New Roman" w:cs="Times New Roman" w:eastAsia="Times New Roman" w:hAnsi="Times New Roman"/>
          <w:sz w:val="17"/>
          <w:szCs w:val="17"/>
          <w:color w:val="auto"/>
        </w:rPr>
      </w:pPr>
    </w:p>
    <w:p>
      <w:pPr>
        <w:ind w:firstLine="1201"/>
        <w:spacing w:after="0" w:line="254" w:lineRule="auto"/>
        <w:tabs>
          <w:tab w:leader="none" w:pos="1408"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or to any extent the Board shall not administer the Plan, then the functions of the Administrator specified in the Plan shall be exercised by the Committee. Except as otherwise provided in the Certificate of Incorporation or Bylaws of the Company, any action of the Committee with respect to the administration of the Plan shall be taken by a majority vote at a meeting at which a quorum is duly constituted or unanimous written consent of the Committee’s members.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4. Shares Reserved for Issuance Under the Plan.</w:t>
      </w:r>
    </w:p>
    <w:p>
      <w:pPr>
        <w:spacing w:after="0" w:line="208" w:lineRule="exact"/>
        <w:rPr>
          <w:sz w:val="20"/>
          <w:szCs w:val="20"/>
          <w:color w:val="auto"/>
        </w:rPr>
      </w:pPr>
    </w:p>
    <w:p>
      <w:pPr>
        <w:ind w:right="20" w:firstLine="1201"/>
        <w:spacing w:after="0" w:line="250" w:lineRule="auto"/>
        <w:tabs>
          <w:tab w:leader="none" w:pos="1426"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Section 5 hereof, the number of shares of Common Stock that are reserved and available for issuance pursuant to Awards granted under the Plan shall be equal to 3,250,000 shares, plus the number of shares of Common Stock reserved, but unissued under the Prior Plan;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shares of Common Stock issued under the Plan with respect to an Exempt Award shall not count against such share limit. Following the Effective Date, no further awards shall be issued under the Prior Plan, but all awards under the Prior Plan which are outstanding as of the Effective Date (including any Grandfathered Arrangement) shall continue to be governed by the terms, conditions and procedures set forth in the Prior Plan and any applicable Award Agreement.</w:t>
      </w:r>
    </w:p>
    <w:p>
      <w:pPr>
        <w:spacing w:after="0" w:line="177" w:lineRule="exact"/>
        <w:rPr>
          <w:rFonts w:ascii="Times New Roman" w:cs="Times New Roman" w:eastAsia="Times New Roman" w:hAnsi="Times New Roman"/>
          <w:sz w:val="17"/>
          <w:szCs w:val="17"/>
          <w:color w:val="auto"/>
        </w:rPr>
      </w:pPr>
    </w:p>
    <w:p>
      <w:pPr>
        <w:ind w:firstLine="1201"/>
        <w:spacing w:after="0" w:line="264" w:lineRule="auto"/>
        <w:tabs>
          <w:tab w:leader="none" w:pos="1436"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issued under the Plan may, in whole or in part, be authorized but unissued Shares or Shares that shall have been or may be reacquired by the Company in the open market, in private transactions or otherwise. If an Award entitles the Participant to receive or purchase Shares, the number of Shares covered by such Award or to which such Award relates shall be counted on the date of grant of such Award against the aggregate number of Shares available for granting Awards under the Plan. If any Shares subject to an Award are forfeited, cancelled, exchanged or surrendered or if an Award otherwise terminates or expires without a distribution of shares to the Participant, the Shares with respect to such Award shall, to the extent of any such forfeiture, cancellation, exchange, surrender, termination or expiration, again be available for granting Awards under the Plan. Notwithstanding the foregoing, Shares surrendered or withheld as payment of either the Exercise Price of an Award (including Shares otherwise underlying a Share Appreciation Right that are retained by the Company to account for the Exercise Price of such Share Appreciation Right) and/or withholding taxes in respect of an Award shall no longer be available for grant under the Plan. In addition, (i) to the extent an Award is denominated in shares of Common Stock, but paid or settled in cash, the number of shares of Common Stock with respect to which such payment or settlement is made shall again be available for grants of Awards pursuant to the Plan and (ii) shares of Common Stock underlying Awards that can only be settled in cash shall not be counted against the aggregate number of shares of Common Stock available for Awards under the Plan. Upon the exercise of any Award granted in tandem with any other Awards, such related Awards shall be cancelled to the extent of the number of Shares as to which the Award is exercised and, notwithstanding the foregoing, such number of shares shall no longer be available for grant under the Plan.</w:t>
      </w:r>
    </w:p>
    <w:p>
      <w:pPr>
        <w:spacing w:after="0" w:line="166" w:lineRule="exact"/>
        <w:rPr>
          <w:rFonts w:ascii="Times New Roman" w:cs="Times New Roman" w:eastAsia="Times New Roman" w:hAnsi="Times New Roman"/>
          <w:sz w:val="16"/>
          <w:szCs w:val="16"/>
          <w:color w:val="auto"/>
        </w:rPr>
      </w:pPr>
    </w:p>
    <w:p>
      <w:pPr>
        <w:ind w:left="1420" w:hanging="219"/>
        <w:spacing w:after="0"/>
        <w:tabs>
          <w:tab w:leader="none" w:pos="142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more than 3,070,477 Shares shall be issued pursuant to the exercise of ISOs.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right="120" w:firstLine="1201"/>
        <w:spacing w:after="0" w:line="254" w:lineRule="auto"/>
        <w:tabs>
          <w:tab w:leader="none" w:pos="1436"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Participant who is a non-employee director of the Company shall be granted Awards during any calendar year that, when aggregated with such non-employee director’s cash fees with respect to such calendar year, exceed $500,000 in total value (with Cash Awards or other cash fees measured for this purpose at their value upon payment and any other Awards measured for this purpose at their grant date fair value as determined for the Company’s financial reporting purposes).</w:t>
      </w:r>
    </w:p>
    <w:p>
      <w:pPr>
        <w:spacing w:after="0" w:line="172" w:lineRule="exact"/>
        <w:rPr>
          <w:rFonts w:ascii="Times New Roman" w:cs="Times New Roman" w:eastAsia="Times New Roman" w:hAnsi="Times New Roman"/>
          <w:sz w:val="17"/>
          <w:szCs w:val="17"/>
          <w:color w:val="auto"/>
        </w:rPr>
      </w:pPr>
    </w:p>
    <w:p>
      <w:pPr>
        <w:ind w:right="60" w:firstLine="1201"/>
        <w:spacing w:after="0" w:line="258" w:lineRule="auto"/>
        <w:tabs>
          <w:tab w:leader="none" w:pos="1426"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the Plan, any Awards granted under the Plan (other than such Awards representing a maximum of five percent (5%) of the Shares reserved for issuance under the Plan pursuant to Section 4(a) hereof) shall be granted subject to a minimum vesting period of at least twelve (12) months.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5. Equitable Adjustments.</w:t>
      </w:r>
    </w:p>
    <w:p>
      <w:pPr>
        <w:spacing w:after="0" w:line="208" w:lineRule="exact"/>
        <w:rPr>
          <w:sz w:val="20"/>
          <w:szCs w:val="20"/>
          <w:color w:val="auto"/>
        </w:rPr>
      </w:pPr>
    </w:p>
    <w:p>
      <w:pPr>
        <w:ind w:firstLine="1200"/>
        <w:spacing w:after="0" w:line="247" w:lineRule="auto"/>
        <w:rPr>
          <w:sz w:val="20"/>
          <w:szCs w:val="20"/>
          <w:color w:val="auto"/>
        </w:rPr>
      </w:pPr>
      <w:r>
        <w:rPr>
          <w:rFonts w:ascii="Times New Roman" w:cs="Times New Roman" w:eastAsia="Times New Roman" w:hAnsi="Times New Roman"/>
          <w:sz w:val="17"/>
          <w:szCs w:val="17"/>
          <w:color w:val="auto"/>
        </w:rPr>
        <w:t xml:space="preserve">In the event of any Change in Capitalization, an equitable substitution or proportionate adjustment shall be made in (i) the aggregate number and kind of securities reserved for issuance under the Plan pursuant to Section 4, (ii) the kind, number of securities subject to, and the Exercise Price subject to outstanding Options and Share Appreciation Rights granted under the Plan, (iii) the kind, number and purchase price of Shares or other securities or the amount of cash or amount or type of other property subject to outstanding Restricted Shares, Restricted Stock Units or Other Share-Based Awards granted under the Plan; and/or (iv) the terms and conditions of any outstanding Awards (including, without limitation, any applicable performance targets or criteria with respect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any fractional shares resulting from the adjustment shall be eliminated. Such other equitable substitutions or adjustments shall be made as may be determined by the Administrator, in its sole discretion. Without limiting the generality of the foregoing, in connection with a Change in Capitalization, the Administrator may provide, in its sole discretion, but subject in all events to the requirements of Section 409A of the Code, for the cancellation of any outstanding Award granted hereunder in exchange for payment in cash or other property having an aggregate Fair Market Value equal to the Fair Market Value of the Shares, cash or other property covered by such Award, reduced by the aggregate Exercise Price or purchase price thereof, if 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Exercise Price or purchase price of any outstanding Award is equal to or greater than the Fair Market Value of the shares of Common Stock, cash or other property covered by such Award, the Administrator may cancel such Award without the payment of any consideration to the Participant. Further, without limiting the generality of the foregoing, with respect to Awards subject to foreign laws, adjustments made hereunder shall be made in compliance with applicable requirements. Except to the extent determined by the Administrator, any adjustments to ISOs under this Section 5 shall be made only to the extent not constituting a “modification” within the meaning of Section 424(h)(3) of the Code. The Administrator’s determinations pursuant to this Section 5 shall be final, binding and conclusive.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6. Eligibility.</w:t>
      </w:r>
    </w:p>
    <w:p>
      <w:pPr>
        <w:spacing w:after="0" w:line="208" w:lineRule="exact"/>
        <w:rPr>
          <w:sz w:val="20"/>
          <w:szCs w:val="20"/>
          <w:color w:val="auto"/>
        </w:rPr>
      </w:pPr>
    </w:p>
    <w:p>
      <w:pPr>
        <w:ind w:right="100" w:firstLine="1200"/>
        <w:spacing w:after="0" w:line="271" w:lineRule="auto"/>
        <w:rPr>
          <w:sz w:val="20"/>
          <w:szCs w:val="20"/>
          <w:color w:val="auto"/>
        </w:rPr>
      </w:pPr>
      <w:r>
        <w:rPr>
          <w:rFonts w:ascii="Times New Roman" w:cs="Times New Roman" w:eastAsia="Times New Roman" w:hAnsi="Times New Roman"/>
          <w:sz w:val="17"/>
          <w:szCs w:val="17"/>
          <w:color w:val="auto"/>
        </w:rPr>
        <w:t>The Participants in the Plan shall be selected from time to time by the Administrator, in its sole discretion, from those individuals that qualify as Eligible Recipients.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7. Options.</w:t>
      </w:r>
    </w:p>
    <w:p>
      <w:pPr>
        <w:spacing w:after="0" w:line="208" w:lineRule="exact"/>
        <w:rPr>
          <w:sz w:val="20"/>
          <w:szCs w:val="20"/>
          <w:color w:val="auto"/>
        </w:rPr>
      </w:pPr>
    </w:p>
    <w:p>
      <w:pPr>
        <w:ind w:right="100" w:firstLine="1201"/>
        <w:spacing w:after="0" w:line="266" w:lineRule="auto"/>
        <w:tabs>
          <w:tab w:leader="none" w:pos="1426"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Options granted under the Plan shall be designated as Nonqualified Stock Options or ISOs. Each Participant who is granted an Option shall enter into an Award Agreement with the Company, containing such terms and conditions as the Administrator shall determine, in its sole discretion, including, among other things, the Exercise Price of the Option, the term of the Option and provisions regarding exercisability of the Option, and whether the Option is intended to be an ISO or a Nonqualified Stock Option (and in the event the Award Agreement has no such designation, the Option shall be a Nonqualified Stock Option). The provisions of each Option need not be the same with respect to each Participant. More than one Option may be granted to the same Participant and be outstanding 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w:t>
      </w:r>
    </w:p>
    <w:p>
      <w:pPr>
        <w:spacing w:after="0" w:line="168" w:lineRule="exact"/>
        <w:rPr>
          <w:rFonts w:ascii="Times New Roman" w:cs="Times New Roman" w:eastAsia="Times New Roman" w:hAnsi="Times New Roman"/>
          <w:sz w:val="16"/>
          <w:szCs w:val="16"/>
          <w:color w:val="auto"/>
        </w:rPr>
      </w:pPr>
    </w:p>
    <w:p>
      <w:pPr>
        <w:ind w:right="60" w:firstLine="1201"/>
        <w:spacing w:after="0" w:line="258" w:lineRule="auto"/>
        <w:tabs>
          <w:tab w:leader="none" w:pos="143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Exercise Price of Shares purchasable under an Option shall be determined by the Administrator in its sole discretion at the time of grant, but in no event shall the exercise price of an Option be less than one hundred percent (100%) of the Fair Market Value of a share of Common Stock on the date of grant.</w:t>
      </w:r>
    </w:p>
    <w:p>
      <w:pPr>
        <w:spacing w:after="0" w:line="169" w:lineRule="exact"/>
        <w:rPr>
          <w:rFonts w:ascii="Times New Roman" w:cs="Times New Roman" w:eastAsia="Times New Roman" w:hAnsi="Times New Roman"/>
          <w:sz w:val="17"/>
          <w:szCs w:val="17"/>
          <w:color w:val="auto"/>
        </w:rPr>
      </w:pPr>
    </w:p>
    <w:p>
      <w:pPr>
        <w:jc w:val="both"/>
        <w:ind w:right="60" w:firstLine="1201"/>
        <w:spacing w:after="0" w:line="258" w:lineRule="auto"/>
        <w:tabs>
          <w:tab w:leader="none" w:pos="1426"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 Term</w:t>
      </w:r>
      <w:r>
        <w:rPr>
          <w:rFonts w:ascii="Times New Roman" w:cs="Times New Roman" w:eastAsia="Times New Roman" w:hAnsi="Times New Roman"/>
          <w:sz w:val="17"/>
          <w:szCs w:val="17"/>
          <w:color w:val="auto"/>
        </w:rPr>
        <w:t>. The maximum term of each Option shall be fixed by the Administrator, but no Option shall be exercisable more than ten (10) years after the date such Option is granted. Each Option’s term is subject to earlier expiration pursuant to the applicable provisions in the Plan and the Award Agreement. Notwithstanding the foregoing, the Administrator shall have the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7"/>
          <w:szCs w:val="17"/>
          <w:color w:val="auto"/>
        </w:rPr>
        <w:t>authority to accelerate the exercisability of any outstanding Option at such time and under such circumstances as the Administrator, in its sole discretion, deems appropriate.</w:t>
      </w:r>
    </w:p>
    <w:p>
      <w:pPr>
        <w:spacing w:after="0" w:line="158" w:lineRule="exact"/>
        <w:rPr>
          <w:sz w:val="20"/>
          <w:szCs w:val="20"/>
          <w:color w:val="auto"/>
        </w:rPr>
      </w:pPr>
    </w:p>
    <w:p>
      <w:pPr>
        <w:ind w:right="40" w:firstLine="1201"/>
        <w:spacing w:after="0" w:line="254" w:lineRule="auto"/>
        <w:tabs>
          <w:tab w:leader="none" w:pos="1435"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Exercisability</w:t>
      </w:r>
      <w:r>
        <w:rPr>
          <w:rFonts w:ascii="Times New Roman" w:cs="Times New Roman" w:eastAsia="Times New Roman" w:hAnsi="Times New Roman"/>
          <w:sz w:val="17"/>
          <w:szCs w:val="17"/>
          <w:color w:val="auto"/>
        </w:rPr>
        <w:t>. Each Option shall be exercisable at such time or times and subject to such terms and conditions, including the attainment of performance goals, as shall be determined by the Administrator in the applicable Award Agreement. The Administrator may also provide that any Option shall be exercisable only in installments, and the Administrator may waive such installment exercise provisions at any time, in whole or in part, based on such factors as the Administrator may determine in its sole discretion.</w:t>
      </w:r>
    </w:p>
    <w:p>
      <w:pPr>
        <w:spacing w:after="0" w:line="172" w:lineRule="exact"/>
        <w:rPr>
          <w:rFonts w:ascii="Times New Roman" w:cs="Times New Roman" w:eastAsia="Times New Roman" w:hAnsi="Times New Roman"/>
          <w:sz w:val="17"/>
          <w:szCs w:val="17"/>
          <w:color w:val="auto"/>
        </w:rPr>
      </w:pPr>
    </w:p>
    <w:p>
      <w:pPr>
        <w:ind w:firstLine="1201"/>
        <w:spacing w:after="0" w:line="249" w:lineRule="auto"/>
        <w:tabs>
          <w:tab w:leader="none" w:pos="1426"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Method of Exercise</w:t>
      </w:r>
      <w:r>
        <w:rPr>
          <w:rFonts w:ascii="Times New Roman" w:cs="Times New Roman" w:eastAsia="Times New Roman" w:hAnsi="Times New Roman"/>
          <w:sz w:val="17"/>
          <w:szCs w:val="17"/>
          <w:color w:val="auto"/>
        </w:rPr>
        <w:t>. Options may be exercised in whole or in part by giving written notice of exercise to the Company specifying the number of whole Shares to be purchased, accompanied by payment in full of the aggregate Exercise Price of the Shares so purchased in cash or its equivalent, as determined by the Administrator. As determined by the Administrator, in its sole discretion, with respect to any Option or category of Options, payment in whole or in part may also be made (i) by means of consideration received under any cashless exercise procedure approved by the Administrator (including the withholding of Shares otherwise issuable upon exercise), (ii) in the form of unrestricted Shares already owned by the Participant which have a Fair Market Value on the date of surrender equal to the aggregate exercise price of the Shares as to which such Option shall be exercised, (iii) any other form of consideration approved by the Administrator and permitted by Applicable Laws or (iv) any combination of the foregoing.</w:t>
      </w:r>
    </w:p>
    <w:p>
      <w:pPr>
        <w:spacing w:after="0" w:line="177" w:lineRule="exact"/>
        <w:rPr>
          <w:rFonts w:ascii="Times New Roman" w:cs="Times New Roman" w:eastAsia="Times New Roman" w:hAnsi="Times New Roman"/>
          <w:sz w:val="17"/>
          <w:szCs w:val="17"/>
          <w:color w:val="auto"/>
        </w:rPr>
      </w:pPr>
    </w:p>
    <w:p>
      <w:pPr>
        <w:ind w:right="80" w:firstLine="1201"/>
        <w:spacing w:after="0" w:line="254" w:lineRule="auto"/>
        <w:tabs>
          <w:tab w:leader="none" w:pos="1408"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ISOs</w:t>
      </w:r>
      <w:r>
        <w:rPr>
          <w:rFonts w:ascii="Times New Roman" w:cs="Times New Roman" w:eastAsia="Times New Roman" w:hAnsi="Times New Roman"/>
          <w:sz w:val="17"/>
          <w:szCs w:val="17"/>
          <w:color w:val="auto"/>
        </w:rPr>
        <w:t>. The terms and conditions of ISOs granted hereunder shall be subject to the provisions of Section 422 of the Code and the terms, conditions, limitations and administrative procedures established by the Administrator from time to time in accordance with the Plan. At the discretion of the Administrator, ISOs may be granted only to an employee of the Company, its “parent corporation” (as such term is defined in Section 424(e) of the Code) or a Subsidiary of the Company.</w:t>
      </w:r>
    </w:p>
    <w:p>
      <w:pPr>
        <w:spacing w:after="0" w:line="170" w:lineRule="exact"/>
        <w:rPr>
          <w:rFonts w:ascii="Times New Roman" w:cs="Times New Roman" w:eastAsia="Times New Roman" w:hAnsi="Times New Roman"/>
          <w:sz w:val="17"/>
          <w:szCs w:val="17"/>
          <w:color w:val="auto"/>
        </w:rPr>
      </w:pPr>
    </w:p>
    <w:p>
      <w:pPr>
        <w:ind w:right="60" w:firstLine="1801"/>
        <w:spacing w:after="0" w:line="252" w:lineRule="auto"/>
        <w:tabs>
          <w:tab w:leader="none" w:pos="2035"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ISO Grants to 10% Stockholders</w:t>
      </w:r>
      <w:r>
        <w:rPr>
          <w:rFonts w:ascii="Times New Roman" w:cs="Times New Roman" w:eastAsia="Times New Roman" w:hAnsi="Times New Roman"/>
          <w:sz w:val="17"/>
          <w:szCs w:val="17"/>
          <w:color w:val="auto"/>
        </w:rPr>
        <w:t>. Notwithstanding anything to the contrary in the Plan, if an ISO is granted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Participant who owns shares representing more than ten percent (10%) of the voting power of all classes of shares of the Company, its “parent corporation” (as such term is defined in Section 424(e) of the Code) or a Subsidiary of the Company, the term of the ISO shall not exceed five (5) years from the time of grant of such ISO and the Exercise Price shall be at least one hundred and ten percent (110%) of the Fair Market Value of the Shares on the date of grant.</w:t>
      </w:r>
    </w:p>
    <w:p>
      <w:pPr>
        <w:spacing w:after="0" w:line="173" w:lineRule="exact"/>
        <w:rPr>
          <w:rFonts w:ascii="Times New Roman" w:cs="Times New Roman" w:eastAsia="Times New Roman" w:hAnsi="Times New Roman"/>
          <w:sz w:val="17"/>
          <w:szCs w:val="17"/>
          <w:color w:val="auto"/>
        </w:rPr>
      </w:pPr>
    </w:p>
    <w:p>
      <w:pPr>
        <w:ind w:right="200" w:firstLine="1801"/>
        <w:spacing w:after="0" w:line="259" w:lineRule="auto"/>
        <w:tabs>
          <w:tab w:leader="none" w:pos="2035"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$100,000 Per Year Limitation For ISOs</w:t>
      </w:r>
      <w:r>
        <w:rPr>
          <w:rFonts w:ascii="Times New Roman" w:cs="Times New Roman" w:eastAsia="Times New Roman" w:hAnsi="Times New Roman"/>
          <w:sz w:val="17"/>
          <w:szCs w:val="17"/>
          <w:color w:val="auto"/>
        </w:rPr>
        <w:t>. To the extent the aggregate Fair Market Value (determined on the date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of the Shares for which ISOs are exercisable for the first time by any Participant during any calendar year (under all plans of the Company) exceeds $100,000, such excess ISOs shall be treated as Nonqualified Stock Options.</w:t>
      </w:r>
    </w:p>
    <w:p>
      <w:pPr>
        <w:spacing w:after="0" w:line="166" w:lineRule="exact"/>
        <w:rPr>
          <w:rFonts w:ascii="Times New Roman" w:cs="Times New Roman" w:eastAsia="Times New Roman" w:hAnsi="Times New Roman"/>
          <w:sz w:val="17"/>
          <w:szCs w:val="17"/>
          <w:color w:val="auto"/>
        </w:rPr>
      </w:pPr>
    </w:p>
    <w:p>
      <w:pPr>
        <w:ind w:right="200" w:firstLine="1801"/>
        <w:spacing w:after="0" w:line="250" w:lineRule="auto"/>
        <w:tabs>
          <w:tab w:leader="none" w:pos="2035"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Disqualifying Dispositions</w:t>
      </w:r>
      <w:r>
        <w:rPr>
          <w:rFonts w:ascii="Times New Roman" w:cs="Times New Roman" w:eastAsia="Times New Roman" w:hAnsi="Times New Roman"/>
          <w:sz w:val="17"/>
          <w:szCs w:val="17"/>
          <w:color w:val="auto"/>
        </w:rPr>
        <w:t>. Each Participant awarded an ISO under the Plan shall notify the Company in writing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immediately after the date the Participant makes a “disqualifying disposition” of any Share acquired pursuant to the exercise of such ISO. A “disqualifying disposition” is any disposition (including any sale) of such Shares before the later of (i) two years after the date of grant of the ISO and (ii) one year after the date the Participant acquired the Shares by exercising the ISO. The Company may, if determined by the Administrator and in accordance with procedures established by it, retain possession of any Shares acquired pursuant to the exercise of an ISO as agent for the applicable Participant until the end of the period described in the preceding sentence, subject to complying with any instructions from such Participant as to the sale of such Shares.</w:t>
      </w:r>
    </w:p>
    <w:p>
      <w:pPr>
        <w:spacing w:after="0" w:line="176" w:lineRule="exact"/>
        <w:rPr>
          <w:rFonts w:ascii="Times New Roman" w:cs="Times New Roman" w:eastAsia="Times New Roman" w:hAnsi="Times New Roman"/>
          <w:sz w:val="17"/>
          <w:szCs w:val="17"/>
          <w:color w:val="auto"/>
        </w:rPr>
      </w:pPr>
    </w:p>
    <w:p>
      <w:pPr>
        <w:ind w:right="20" w:firstLine="1201"/>
        <w:spacing w:after="0" w:line="258" w:lineRule="auto"/>
        <w:tabs>
          <w:tab w:leader="none" w:pos="1435"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Stockholder</w:t>
      </w:r>
      <w:r>
        <w:rPr>
          <w:rFonts w:ascii="Times New Roman" w:cs="Times New Roman" w:eastAsia="Times New Roman" w:hAnsi="Times New Roman"/>
          <w:sz w:val="17"/>
          <w:szCs w:val="17"/>
          <w:color w:val="auto"/>
        </w:rPr>
        <w:t>. A Participant shall have no rights to dividends, dividend equivalents or distributions or any other rights of a stockholder with respect to the Shares subject to an Option until the Participant has given written notice of the exercise thereof, and has paid in full for such Shares and has satisfied the requirements of Section 15 hereof.</w:t>
      </w:r>
    </w:p>
    <w:p>
      <w:pPr>
        <w:spacing w:after="0" w:line="169" w:lineRule="exact"/>
        <w:rPr>
          <w:rFonts w:ascii="Times New Roman" w:cs="Times New Roman" w:eastAsia="Times New Roman" w:hAnsi="Times New Roman"/>
          <w:sz w:val="17"/>
          <w:szCs w:val="17"/>
          <w:color w:val="auto"/>
        </w:rPr>
      </w:pPr>
    </w:p>
    <w:p>
      <w:pPr>
        <w:ind w:right="320" w:firstLine="1201"/>
        <w:spacing w:after="0" w:line="271" w:lineRule="auto"/>
        <w:tabs>
          <w:tab w:leader="none" w:pos="1435"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 or Service</w:t>
      </w:r>
      <w:r>
        <w:rPr>
          <w:rFonts w:ascii="Times New Roman" w:cs="Times New Roman" w:eastAsia="Times New Roman" w:hAnsi="Times New Roman"/>
          <w:sz w:val="17"/>
          <w:szCs w:val="17"/>
          <w:color w:val="auto"/>
        </w:rPr>
        <w:t>. Treatment of an Option upon termination of employment of a Participant shall be provided for by the Administrator in the Award Agreement.</w:t>
      </w:r>
    </w:p>
    <w:p>
      <w:pPr>
        <w:spacing w:after="0" w:line="158" w:lineRule="exact"/>
        <w:rPr>
          <w:rFonts w:ascii="Times New Roman" w:cs="Times New Roman" w:eastAsia="Times New Roman" w:hAnsi="Times New Roman"/>
          <w:sz w:val="17"/>
          <w:szCs w:val="17"/>
          <w:color w:val="auto"/>
        </w:rPr>
      </w:pPr>
    </w:p>
    <w:p>
      <w:pPr>
        <w:ind w:right="300" w:firstLine="1201"/>
        <w:spacing w:after="0" w:line="258" w:lineRule="auto"/>
        <w:tabs>
          <w:tab w:leader="none" w:pos="1399"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Change in Employment or Service Status</w:t>
      </w:r>
      <w:r>
        <w:rPr>
          <w:rFonts w:ascii="Times New Roman" w:cs="Times New Roman" w:eastAsia="Times New Roman" w:hAnsi="Times New Roman"/>
          <w:sz w:val="17"/>
          <w:szCs w:val="17"/>
          <w:color w:val="auto"/>
        </w:rPr>
        <w:t>. An Option shall be affected, both with regard to vesting schedule and termination, by leaves of absence, including unpaid and un-protected leaves of absence, changes from full-time to part-time employment, partial Disability or other changes in the employment status or service status of a Participant, in the discretion of the Administrator.</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8. Share Appreciation Rights.</w:t>
      </w:r>
    </w:p>
    <w:p>
      <w:pPr>
        <w:spacing w:after="0" w:line="208" w:lineRule="exact"/>
        <w:rPr>
          <w:sz w:val="20"/>
          <w:szCs w:val="20"/>
          <w:color w:val="auto"/>
        </w:rPr>
      </w:pPr>
    </w:p>
    <w:p>
      <w:pPr>
        <w:ind w:right="40" w:firstLine="1201"/>
        <w:spacing w:after="0" w:line="248" w:lineRule="auto"/>
        <w:tabs>
          <w:tab w:leader="none" w:pos="1426"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Share Appreciation Rights may be granted either alone (“</w:t>
      </w:r>
      <w:r>
        <w:rPr>
          <w:rFonts w:ascii="Times New Roman" w:cs="Times New Roman" w:eastAsia="Times New Roman" w:hAnsi="Times New Roman"/>
          <w:sz w:val="17"/>
          <w:szCs w:val="17"/>
          <w:u w:val="single" w:color="auto"/>
          <w:color w:val="auto"/>
        </w:rPr>
        <w:t>Free Standing Rights</w:t>
      </w:r>
      <w:r>
        <w:rPr>
          <w:rFonts w:ascii="Times New Roman" w:cs="Times New Roman" w:eastAsia="Times New Roman" w:hAnsi="Times New Roman"/>
          <w:sz w:val="17"/>
          <w:szCs w:val="17"/>
          <w:color w:val="auto"/>
        </w:rPr>
        <w:t>”) or in conjunction with all or part of any Option granted under the Plan (“</w:t>
      </w:r>
      <w:r>
        <w:rPr>
          <w:rFonts w:ascii="Times New Roman" w:cs="Times New Roman" w:eastAsia="Times New Roman" w:hAnsi="Times New Roman"/>
          <w:sz w:val="17"/>
          <w:szCs w:val="17"/>
          <w:u w:val="single" w:color="auto"/>
          <w:color w:val="auto"/>
        </w:rPr>
        <w:t>Related Rights</w:t>
      </w:r>
      <w:r>
        <w:rPr>
          <w:rFonts w:ascii="Times New Roman" w:cs="Times New Roman" w:eastAsia="Times New Roman" w:hAnsi="Times New Roman"/>
          <w:sz w:val="17"/>
          <w:szCs w:val="17"/>
          <w:color w:val="auto"/>
        </w:rPr>
        <w:t>”). Related Rights may be granted either at or after the time of the grant of such Option. The Administrator shall determine the Eligible Recipients to whom, and the time or times at which, grants of Share Appreciation Rights shall be made. Each Participant who is granted a Share Appreciation Right shall enter into an Award Agreement with the Company, containing such terms and conditions as the Administrator shall determine, in its sole discretion, including, among other things, the number of Shares to be awarded, the Exercise Price per Share, and all other conditions of Share Appreciation Rights. Notwithstanding the foregoing, no Related Right may be granted for more Shares than are subject to the Option to which it relates. The provisions of Share Appreciation Rights need not be the same with respect to each Participant. Share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spacing w:after="0" w:line="179" w:lineRule="exact"/>
        <w:rPr>
          <w:rFonts w:ascii="Times New Roman" w:cs="Times New Roman" w:eastAsia="Times New Roman" w:hAnsi="Times New Roman"/>
          <w:sz w:val="17"/>
          <w:szCs w:val="17"/>
          <w:color w:val="auto"/>
        </w:rPr>
      </w:pPr>
    </w:p>
    <w:p>
      <w:pPr>
        <w:ind w:right="260" w:firstLine="1201"/>
        <w:spacing w:after="0" w:line="258" w:lineRule="auto"/>
        <w:tabs>
          <w:tab w:leader="none" w:pos="1435"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Awards; Rights as Stockholder</w:t>
      </w:r>
      <w:r>
        <w:rPr>
          <w:rFonts w:ascii="Times New Roman" w:cs="Times New Roman" w:eastAsia="Times New Roman" w:hAnsi="Times New Roman"/>
          <w:sz w:val="17"/>
          <w:szCs w:val="17"/>
          <w:color w:val="auto"/>
        </w:rPr>
        <w:t>. A Participant shall have no rights to dividends or any other rights of a stockholder with respect to the shares of Common Stock, if any, subject to a Stock Appreciation Right until the Participant has given written notice of the exercise thereof and has satisfied the requirements of Section 15 hereof.</w:t>
      </w:r>
    </w:p>
    <w:p>
      <w:pPr>
        <w:spacing w:after="0" w:line="169" w:lineRule="exact"/>
        <w:rPr>
          <w:rFonts w:ascii="Times New Roman" w:cs="Times New Roman" w:eastAsia="Times New Roman" w:hAnsi="Times New Roman"/>
          <w:sz w:val="17"/>
          <w:szCs w:val="17"/>
          <w:color w:val="auto"/>
        </w:rPr>
      </w:pPr>
    </w:p>
    <w:p>
      <w:pPr>
        <w:ind w:left="1420" w:hanging="219"/>
        <w:spacing w:after="0"/>
        <w:tabs>
          <w:tab w:leader="none" w:pos="142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Exercise Price of Shares purchasable under a Share</w:t>
      </w:r>
    </w:p>
    <w:p>
      <w:pPr>
        <w:spacing w:after="0" w:line="204" w:lineRule="exact"/>
        <w:rPr>
          <w:sz w:val="20"/>
          <w:szCs w:val="20"/>
          <w:color w:val="auto"/>
        </w:rPr>
      </w:pPr>
    </w:p>
    <w:p>
      <w:pPr>
        <w:ind w:right="40" w:firstLine="1200"/>
        <w:spacing w:after="0" w:line="258" w:lineRule="auto"/>
        <w:rPr>
          <w:sz w:val="20"/>
          <w:szCs w:val="20"/>
          <w:color w:val="auto"/>
        </w:rPr>
      </w:pPr>
      <w:r>
        <w:rPr>
          <w:rFonts w:ascii="Times New Roman" w:cs="Times New Roman" w:eastAsia="Times New Roman" w:hAnsi="Times New Roman"/>
          <w:sz w:val="17"/>
          <w:szCs w:val="17"/>
          <w:color w:val="auto"/>
        </w:rPr>
        <w:t>Appreciation Rights shall be determined by the Administrator in its sole discretion at the time of grant, but in no event shall the exercise price of a Share Appreciation Rights be less than one hundred percent (100%) of the Fair Market Value of a share of Common Stock on the date of grant.</w:t>
      </w:r>
    </w:p>
    <w:p>
      <w:pPr>
        <w:spacing w:after="0" w:line="169" w:lineRule="exact"/>
        <w:rPr>
          <w:sz w:val="20"/>
          <w:szCs w:val="20"/>
          <w:color w:val="auto"/>
        </w:rPr>
      </w:pPr>
    </w:p>
    <w:p>
      <w:pPr>
        <w:ind w:left="1440" w:hanging="239"/>
        <w:spacing w:after="0"/>
        <w:tabs>
          <w:tab w:leader="none" w:pos="144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Exercisability</w:t>
      </w:r>
      <w:r>
        <w:rPr>
          <w:rFonts w:ascii="Times New Roman" w:cs="Times New Roman" w:eastAsia="Times New Roman" w:hAnsi="Times New Roman"/>
          <w:sz w:val="17"/>
          <w:szCs w:val="17"/>
          <w:color w:val="auto"/>
        </w:rPr>
        <w:t>.</w:t>
      </w:r>
    </w:p>
    <w:p>
      <w:pPr>
        <w:spacing w:after="0" w:line="204" w:lineRule="exact"/>
        <w:rPr>
          <w:rFonts w:ascii="Times New Roman" w:cs="Times New Roman" w:eastAsia="Times New Roman" w:hAnsi="Times New Roman"/>
          <w:sz w:val="17"/>
          <w:szCs w:val="17"/>
          <w:color w:val="auto"/>
        </w:rPr>
      </w:pPr>
    </w:p>
    <w:p>
      <w:pPr>
        <w:ind w:right="40" w:firstLine="1801"/>
        <w:spacing w:after="0" w:line="271" w:lineRule="auto"/>
        <w:tabs>
          <w:tab w:leader="none" w:pos="203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Appreciation Rights that are Free Standing Rights shall be exercisable at such time or times and subject to such terms and conditions as shall be determined by the Administrator in the applicable Award Agreement.</w:t>
      </w:r>
    </w:p>
    <w:p>
      <w:pPr>
        <w:spacing w:after="0" w:line="158" w:lineRule="exact"/>
        <w:rPr>
          <w:rFonts w:ascii="Times New Roman" w:cs="Times New Roman" w:eastAsia="Times New Roman" w:hAnsi="Times New Roman"/>
          <w:sz w:val="17"/>
          <w:szCs w:val="17"/>
          <w:color w:val="auto"/>
        </w:rPr>
      </w:pPr>
    </w:p>
    <w:p>
      <w:pPr>
        <w:ind w:firstLine="1801"/>
        <w:spacing w:after="0" w:line="271" w:lineRule="auto"/>
        <w:tabs>
          <w:tab w:leader="none" w:pos="203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Appreciation Rights that are Related Rights shall be exercisable only at such time or times and to the extent that the Options to which they relate shall be exercisable in accordance with the provisions of Section 7 hereof and this Section 8 of the Plan.</w:t>
      </w:r>
    </w:p>
    <w:p>
      <w:pPr>
        <w:spacing w:after="0" w:line="158" w:lineRule="exact"/>
        <w:rPr>
          <w:rFonts w:ascii="Times New Roman" w:cs="Times New Roman" w:eastAsia="Times New Roman" w:hAnsi="Times New Roman"/>
          <w:sz w:val="17"/>
          <w:szCs w:val="17"/>
          <w:color w:val="auto"/>
        </w:rPr>
      </w:pPr>
    </w:p>
    <w:p>
      <w:pPr>
        <w:ind w:left="1420" w:hanging="219"/>
        <w:spacing w:after="0"/>
        <w:tabs>
          <w:tab w:leader="none" w:pos="142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Upon Exercise</w:t>
      </w:r>
      <w:r>
        <w:rPr>
          <w:rFonts w:ascii="Times New Roman" w:cs="Times New Roman" w:eastAsia="Times New Roman" w:hAnsi="Times New Roman"/>
          <w:sz w:val="17"/>
          <w:szCs w:val="17"/>
          <w:color w:val="auto"/>
        </w:rPr>
        <w:t>.</w:t>
      </w:r>
    </w:p>
    <w:p>
      <w:pPr>
        <w:spacing w:after="0" w:line="204" w:lineRule="exact"/>
        <w:rPr>
          <w:rFonts w:ascii="Times New Roman" w:cs="Times New Roman" w:eastAsia="Times New Roman" w:hAnsi="Times New Roman"/>
          <w:sz w:val="17"/>
          <w:szCs w:val="17"/>
          <w:color w:val="auto"/>
        </w:rPr>
      </w:pPr>
    </w:p>
    <w:p>
      <w:pPr>
        <w:jc w:val="both"/>
        <w:ind w:right="180" w:firstLine="1801"/>
        <w:spacing w:after="0" w:line="258" w:lineRule="auto"/>
        <w:tabs>
          <w:tab w:leader="none" w:pos="203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exercise of a Free Standing Right, the Participant shall be entitled to receive up to, but not more than, that number of Shares equal in value to the excess of the Fair Market Value as of the date of exercise over the Exercise Price per share specified in the Free Standing Right multiplied by the number of Shares in respect of which the Free Standing Right is being exercised.</w:t>
      </w:r>
    </w:p>
    <w:p>
      <w:pPr>
        <w:spacing w:after="0" w:line="169" w:lineRule="exact"/>
        <w:rPr>
          <w:rFonts w:ascii="Times New Roman" w:cs="Times New Roman" w:eastAsia="Times New Roman" w:hAnsi="Times New Roman"/>
          <w:sz w:val="17"/>
          <w:szCs w:val="17"/>
          <w:color w:val="auto"/>
        </w:rPr>
      </w:pPr>
    </w:p>
    <w:p>
      <w:pPr>
        <w:ind w:firstLine="1801"/>
        <w:spacing w:after="0" w:line="251" w:lineRule="auto"/>
        <w:tabs>
          <w:tab w:leader="none" w:pos="203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Related Right may be exercised by a Participant by surrendering the applicable portion of the related Option. Upon such exercise and surrender, the Participant shall be entitled to receive up to, but not more than, that number of Shares equal in value to the excess of the Fair Market Value as of the date of exercise over the Exercise Price specified in the related Option multiplied by the number of Shares in respect of which the Related Right is being exercised. Options which have been so surrendered, in whole or in part, shall no longer be exercisable to the extent the Related Rights have been so exercised.</w:t>
      </w:r>
    </w:p>
    <w:p>
      <w:pPr>
        <w:spacing w:after="0" w:line="177" w:lineRule="exact"/>
        <w:rPr>
          <w:rFonts w:ascii="Times New Roman" w:cs="Times New Roman" w:eastAsia="Times New Roman" w:hAnsi="Times New Roman"/>
          <w:sz w:val="17"/>
          <w:szCs w:val="17"/>
          <w:color w:val="auto"/>
        </w:rPr>
      </w:pPr>
    </w:p>
    <w:p>
      <w:pPr>
        <w:ind w:right="100" w:firstLine="1801"/>
        <w:spacing w:after="0" w:line="271" w:lineRule="auto"/>
        <w:tabs>
          <w:tab w:leader="none" w:pos="203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the Administrator may determine to settle the exercise of a Share Appreciation Right in cash (or in any combination of Shares and cash).</w:t>
      </w:r>
    </w:p>
    <w:p>
      <w:pPr>
        <w:spacing w:after="0" w:line="158" w:lineRule="exact"/>
        <w:rPr>
          <w:rFonts w:ascii="Times New Roman" w:cs="Times New Roman" w:eastAsia="Times New Roman" w:hAnsi="Times New Roman"/>
          <w:sz w:val="17"/>
          <w:szCs w:val="17"/>
          <w:color w:val="auto"/>
        </w:rPr>
      </w:pPr>
    </w:p>
    <w:p>
      <w:pPr>
        <w:ind w:right="440" w:firstLine="1201"/>
        <w:spacing w:after="0" w:line="271" w:lineRule="auto"/>
        <w:tabs>
          <w:tab w:leader="none" w:pos="1408"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 or Service</w:t>
      </w:r>
      <w:r>
        <w:rPr>
          <w:rFonts w:ascii="Times New Roman" w:cs="Times New Roman" w:eastAsia="Times New Roman" w:hAnsi="Times New Roman"/>
          <w:sz w:val="17"/>
          <w:szCs w:val="17"/>
          <w:color w:val="auto"/>
        </w:rPr>
        <w:t>. Treatment of an Share Appreciation Right upon termination of employment of a Participant shall be provided for by the Administrator in the Award Agreement.</w:t>
      </w:r>
    </w:p>
    <w:p>
      <w:pPr>
        <w:spacing w:after="0" w:line="158" w:lineRule="exact"/>
        <w:rPr>
          <w:rFonts w:ascii="Times New Roman" w:cs="Times New Roman" w:eastAsia="Times New Roman" w:hAnsi="Times New Roman"/>
          <w:sz w:val="17"/>
          <w:szCs w:val="17"/>
          <w:color w:val="auto"/>
        </w:rPr>
      </w:pPr>
    </w:p>
    <w:p>
      <w:pPr>
        <w:ind w:left="1440" w:hanging="239"/>
        <w:spacing w:after="0"/>
        <w:tabs>
          <w:tab w:leader="none" w:pos="144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w:t>
      </w:r>
    </w:p>
    <w:p>
      <w:pPr>
        <w:spacing w:after="0" w:line="204" w:lineRule="exact"/>
        <w:rPr>
          <w:rFonts w:ascii="Times New Roman" w:cs="Times New Roman" w:eastAsia="Times New Roman" w:hAnsi="Times New Roman"/>
          <w:sz w:val="17"/>
          <w:szCs w:val="17"/>
          <w:color w:val="auto"/>
        </w:rPr>
      </w:pPr>
    </w:p>
    <w:p>
      <w:pPr>
        <w:ind w:right="560" w:firstLine="1801"/>
        <w:spacing w:after="0" w:line="271" w:lineRule="auto"/>
        <w:tabs>
          <w:tab w:leader="none" w:pos="203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of each Free Standing Right shall be fixed by the Administrator, but no Free Standing Right shall be exercisable more than ten (10) years after the date such right is granted.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right="460" w:firstLine="1801"/>
        <w:spacing w:after="0" w:line="271" w:lineRule="auto"/>
        <w:tabs>
          <w:tab w:leader="none" w:pos="2036"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of each Related Right shall be the term of the Option to which it relates, but no Related Right shall be exercisable more than ten (10) years after the date such right is granted.</w:t>
      </w:r>
    </w:p>
    <w:p>
      <w:pPr>
        <w:spacing w:after="0" w:line="158" w:lineRule="exact"/>
        <w:rPr>
          <w:rFonts w:ascii="Times New Roman" w:cs="Times New Roman" w:eastAsia="Times New Roman" w:hAnsi="Times New Roman"/>
          <w:sz w:val="17"/>
          <w:szCs w:val="17"/>
          <w:color w:val="auto"/>
        </w:rPr>
      </w:pPr>
    </w:p>
    <w:p>
      <w:pPr>
        <w:ind w:right="400" w:firstLine="1201"/>
        <w:spacing w:after="0" w:line="282" w:lineRule="auto"/>
        <w:tabs>
          <w:tab w:leader="none" w:pos="1435"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Change in Employment or Service Status</w:t>
      </w:r>
      <w:r>
        <w:rPr>
          <w:rFonts w:ascii="Times New Roman" w:cs="Times New Roman" w:eastAsia="Times New Roman" w:hAnsi="Times New Roman"/>
          <w:sz w:val="16"/>
          <w:szCs w:val="16"/>
          <w:color w:val="auto"/>
        </w:rPr>
        <w:t>. Share Appreciation Rights shall be affected, both with regard to vesting schedule and termination, by leaves of absence, including unpaid and un-protected leaves of absence, changes from full-time to part-time employment, partial Disability or other changes in the employment or service status of a Participant, in the discretion of the Administrator.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9. Restricted Shares and Restricted Stock Units.</w:t>
      </w:r>
    </w:p>
    <w:p>
      <w:pPr>
        <w:spacing w:after="0" w:line="208" w:lineRule="exact"/>
        <w:rPr>
          <w:sz w:val="20"/>
          <w:szCs w:val="20"/>
          <w:color w:val="auto"/>
        </w:rPr>
      </w:pPr>
    </w:p>
    <w:p>
      <w:pPr>
        <w:ind w:firstLine="1201"/>
        <w:spacing w:after="0" w:line="248" w:lineRule="auto"/>
        <w:tabs>
          <w:tab w:leader="none" w:pos="1426"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Restricted Shares or Restricted Stock Units may be issued under the Plan. The Administrator shall determine the Eligible Recipients to whom, and the time or times at which, Restricted Shares or Restricted Stock Units shall be made. Each Participant who is granted Restricted Shares or Restricted Stock Units shall enter into an Award Agreement with the Company, containing such terms and conditions as the Administrator shall determine, in its sole discretion, including, among other things, the number of Shares to be awarded; the price, if any, to be paid by the Participant for the acquisition of Restricted Shares or Restricted Stock Units; the period of time restrictions, performance goals or other conditions that apply to Transferability, delivery or vesting of such Awards (the “Restricted Period”); and all other conditions applicable to the Restricted Shares and Restricted Stock Units. If the restrictions, performance goals or conditions established by the Administrator are not attained, a Participant shall forfeit his or her Restricted Shares or Restricted Stock Units, in accordance with the terms of the grant. The provisions of the Restricted Shares or Restricted Stock Units need not be the same with respect to each Participant.</w:t>
      </w:r>
    </w:p>
    <w:p>
      <w:pPr>
        <w:spacing w:after="0" w:line="181" w:lineRule="exact"/>
        <w:rPr>
          <w:rFonts w:ascii="Times New Roman" w:cs="Times New Roman" w:eastAsia="Times New Roman" w:hAnsi="Times New Roman"/>
          <w:sz w:val="17"/>
          <w:szCs w:val="17"/>
          <w:color w:val="auto"/>
        </w:rPr>
      </w:pPr>
    </w:p>
    <w:p>
      <w:pPr>
        <w:ind w:right="100" w:firstLine="1201"/>
        <w:spacing w:after="0" w:line="254" w:lineRule="auto"/>
        <w:tabs>
          <w:tab w:leader="none" w:pos="1435"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Awards and Certificates</w:t>
      </w:r>
      <w:r>
        <w:rPr>
          <w:rFonts w:ascii="Times New Roman" w:cs="Times New Roman" w:eastAsia="Times New Roman" w:hAnsi="Times New Roman"/>
          <w:sz w:val="17"/>
          <w:szCs w:val="17"/>
          <w:color w:val="auto"/>
        </w:rPr>
        <w:t>. Except as otherwise provided below in Section 9(c), (i) each Participant who is granted an Award of Restricted Shares may, in the Company’s sole discretion, be issued a share certificate in respect of such Restricted Shares; and (ii) any such certificate so issued shall be registered in the name of the Participant, and shall bear an appropriate legend referring to the terms, conditions and restrictions applicable to any such Award.</w:t>
      </w:r>
    </w:p>
    <w:p>
      <w:pPr>
        <w:spacing w:after="0" w:line="172" w:lineRule="exact"/>
        <w:rPr>
          <w:sz w:val="20"/>
          <w:szCs w:val="20"/>
          <w:color w:val="auto"/>
        </w:rPr>
      </w:pPr>
    </w:p>
    <w:p>
      <w:pPr>
        <w:ind w:firstLine="1200"/>
        <w:spacing w:after="0" w:line="251" w:lineRule="auto"/>
        <w:rPr>
          <w:sz w:val="20"/>
          <w:szCs w:val="20"/>
          <w:color w:val="auto"/>
        </w:rPr>
      </w:pPr>
      <w:r>
        <w:rPr>
          <w:rFonts w:ascii="Times New Roman" w:cs="Times New Roman" w:eastAsia="Times New Roman" w:hAnsi="Times New Roman"/>
          <w:sz w:val="17"/>
          <w:szCs w:val="17"/>
          <w:color w:val="auto"/>
        </w:rPr>
        <w:t>The Company may require that the share certificates, if any, evidencing Restricted Shares granted hereunder be held in the custody of the Company until the restrictions thereon shall have lapsed, and that, as a condition of any Award of Restricted Shares, the Participant shall have delivered a share transfer form, endorsed in blank, relating to the Shares covered by such Award. Certificates for shares of unrestricted Common Stock may, in the Company’s sole discretion, be delivered to the Participant only after the Restricted Period has expired without forfeiture in such Restricted Stock Award.</w:t>
      </w:r>
    </w:p>
    <w:p>
      <w:pPr>
        <w:spacing w:after="0" w:line="178" w:lineRule="exact"/>
        <w:rPr>
          <w:sz w:val="20"/>
          <w:szCs w:val="20"/>
          <w:color w:val="auto"/>
        </w:rPr>
      </w:pPr>
    </w:p>
    <w:p>
      <w:pPr>
        <w:ind w:right="180" w:firstLine="1200"/>
        <w:spacing w:after="0" w:line="282" w:lineRule="auto"/>
        <w:rPr>
          <w:sz w:val="20"/>
          <w:szCs w:val="20"/>
          <w:color w:val="auto"/>
        </w:rPr>
      </w:pPr>
      <w:r>
        <w:rPr>
          <w:rFonts w:ascii="Times New Roman" w:cs="Times New Roman" w:eastAsia="Times New Roman" w:hAnsi="Times New Roman"/>
          <w:sz w:val="16"/>
          <w:szCs w:val="16"/>
          <w:color w:val="auto"/>
        </w:rPr>
        <w:t>With respect to Restricted Stock Units to be settled in Shares, at the expiration of the Restricted Period, share certificates in respect of the shares of Common Stock underlying such Restricted Stock Units may, in the Company’s sole discretion, be delivered to the Participant, or his legal representative, in a number equal to the number of shares of Common Stock underlying the Restricted Stock Units Award.</w:t>
      </w:r>
    </w:p>
    <w:p>
      <w:pPr>
        <w:spacing w:after="0" w:line="151" w:lineRule="exact"/>
        <w:rPr>
          <w:sz w:val="20"/>
          <w:szCs w:val="20"/>
          <w:color w:val="auto"/>
        </w:rPr>
      </w:pPr>
    </w:p>
    <w:p>
      <w:pPr>
        <w:jc w:val="both"/>
        <w:ind w:firstLine="1200"/>
        <w:spacing w:after="0" w:line="258" w:lineRule="auto"/>
        <w:rPr>
          <w:sz w:val="20"/>
          <w:szCs w:val="20"/>
          <w:color w:val="auto"/>
        </w:rPr>
      </w:pPr>
      <w:r>
        <w:rPr>
          <w:rFonts w:ascii="Times New Roman" w:cs="Times New Roman" w:eastAsia="Times New Roman" w:hAnsi="Times New Roman"/>
          <w:sz w:val="17"/>
          <w:szCs w:val="17"/>
          <w:color w:val="auto"/>
        </w:rPr>
        <w:t>Notwithstanding anything in the Plan to the contrary, any Restricted Shares or Restricted Stock Units to be settled in Shares (at the expiration of the Restricted Period, and whether before or after any vesting conditions have been satisfied) may, in the Company’s sole discretion, be issued in uncertificated form.</w:t>
      </w:r>
    </w:p>
    <w:p>
      <w:pPr>
        <w:spacing w:after="0" w:line="169" w:lineRule="exact"/>
        <w:rPr>
          <w:sz w:val="20"/>
          <w:szCs w:val="20"/>
          <w:color w:val="auto"/>
        </w:rPr>
      </w:pPr>
    </w:p>
    <w:p>
      <w:pPr>
        <w:ind w:right="140" w:firstLine="1200"/>
        <w:spacing w:after="0" w:line="274" w:lineRule="auto"/>
        <w:rPr>
          <w:sz w:val="20"/>
          <w:szCs w:val="20"/>
          <w:color w:val="auto"/>
        </w:rPr>
      </w:pPr>
      <w:r>
        <w:rPr>
          <w:rFonts w:ascii="Times New Roman" w:cs="Times New Roman" w:eastAsia="Times New Roman" w:hAnsi="Times New Roman"/>
          <w:sz w:val="16"/>
          <w:szCs w:val="16"/>
          <w:color w:val="auto"/>
        </w:rPr>
        <w:t>Further, notwithstanding anything in the Plan to the contrary, with respect to Restricted Stock Units, at the expiration of the Restricted Period, Shares, or cash, as applicable, shall promptly be issued (either in certificated or uncertificated form) to the Participant, unless otherwise deferred in accordance with procedures established by the Company in accordance with Section 409A of the Code, and such issuance or payment shall in any event be made within such period as is required to avoid the imposition of a tax under Section 409A of the Code.</w:t>
      </w:r>
    </w:p>
    <w:p>
      <w:pPr>
        <w:spacing w:after="0" w:line="160" w:lineRule="exact"/>
        <w:rPr>
          <w:sz w:val="20"/>
          <w:szCs w:val="20"/>
          <w:color w:val="auto"/>
        </w:rPr>
      </w:pPr>
    </w:p>
    <w:p>
      <w:pPr>
        <w:ind w:right="240" w:firstLine="1201"/>
        <w:spacing w:after="0" w:line="258" w:lineRule="auto"/>
        <w:tabs>
          <w:tab w:leader="none" w:pos="1426"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and Conditions</w:t>
      </w:r>
      <w:r>
        <w:rPr>
          <w:rFonts w:ascii="Times New Roman" w:cs="Times New Roman" w:eastAsia="Times New Roman" w:hAnsi="Times New Roman"/>
          <w:sz w:val="17"/>
          <w:szCs w:val="17"/>
          <w:color w:val="auto"/>
        </w:rPr>
        <w:t>. The Restricted Shares or Restricted Stock Units granted pursuant to this Section 9 shall be subject to the following restrictions and conditions and any additional restrictions or conditions as determined by the Administrator at the time of grant or, subject to Section 409A of the Code where applicable, thereafter:</w:t>
      </w:r>
    </w:p>
    <w:p>
      <w:pPr>
        <w:spacing w:after="0" w:line="169" w:lineRule="exact"/>
        <w:rPr>
          <w:rFonts w:ascii="Times New Roman" w:cs="Times New Roman" w:eastAsia="Times New Roman" w:hAnsi="Times New Roman"/>
          <w:sz w:val="17"/>
          <w:szCs w:val="17"/>
          <w:color w:val="auto"/>
        </w:rPr>
      </w:pPr>
    </w:p>
    <w:p>
      <w:pPr>
        <w:ind w:firstLine="1801"/>
        <w:spacing w:after="0" w:line="251" w:lineRule="auto"/>
        <w:tabs>
          <w:tab w:leader="none" w:pos="2036"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Administrator may, in its sole discretion, provide for the lapse of restrictions in installments and may accelerate or waive such restrictions in whole or in part based on such factors and such circumstances as the Administrator may determine, in its sole discretion, including, but not limited to, the attainment of certain performance goals, the Participant’s termination of employment or service with the Company or any Affiliate thereof, or the Participant’s death or Disability. Notwithstanding the foregoing, upon a Change in Control, the outstanding Awards shall be subject to Section 12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6"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firstLine="1801"/>
        <w:spacing w:after="0" w:line="248" w:lineRule="auto"/>
        <w:tabs>
          <w:tab w:leader="none" w:pos="2036"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provided in the applicable Award Agreement, the Participant shall generally have the rights of a stockholder of the Company with respect to Restricted Shares during the Restricted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dividends declared during the Restricted Period with respect to an Award, shall only become payable if (and to the extent) the underlying Restricted Shares vest. Except as provided in the applicable Award Agreement, the Participant shall generally not have the rights of a stockholder with respect to Shares subject to Restricted Stock Units during the Restricted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subject to Section 409A of the Code, an amount equal to dividends declared during the Restricted Period with respect to the number of Shares covered by Restricted Stock Units shall, unless otherwise set forth in an Award Agreement, be paid to the Participant at the time (and to the extent) Shares in respect of the related Restricted Stock Units are delivered to the Participant. Certificates for Shares of unrestricted Common Stock may, in the Company’s sole discretion, be delivered to the Participant only after the Restricted Period has expired without forfeiture in respect of such Restricted Shares or Restricted Stock Units, except as the Administrator, in its sole discretion, shall otherwise determine.</w:t>
      </w:r>
    </w:p>
    <w:p>
      <w:pPr>
        <w:spacing w:after="0" w:line="179" w:lineRule="exact"/>
        <w:rPr>
          <w:rFonts w:ascii="Times New Roman" w:cs="Times New Roman" w:eastAsia="Times New Roman" w:hAnsi="Times New Roman"/>
          <w:sz w:val="17"/>
          <w:szCs w:val="17"/>
          <w:color w:val="auto"/>
        </w:rPr>
      </w:pPr>
    </w:p>
    <w:p>
      <w:pPr>
        <w:ind w:right="160" w:firstLine="1801"/>
        <w:spacing w:after="0" w:line="258" w:lineRule="auto"/>
        <w:tabs>
          <w:tab w:leader="none" w:pos="2036"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Participants granted Restricted Shares or Restricted Stock Units upon termination of employment or service as a director, independent contractor or consultant to the Company or to any Affiliate thereof during the Restricted Period shall be set forth in the Award Agreement.</w:t>
      </w:r>
    </w:p>
    <w:p>
      <w:pPr>
        <w:spacing w:after="0" w:line="169" w:lineRule="exact"/>
        <w:rPr>
          <w:rFonts w:ascii="Times New Roman" w:cs="Times New Roman" w:eastAsia="Times New Roman" w:hAnsi="Times New Roman"/>
          <w:sz w:val="17"/>
          <w:szCs w:val="17"/>
          <w:color w:val="auto"/>
        </w:rPr>
      </w:pPr>
    </w:p>
    <w:p>
      <w:pPr>
        <w:jc w:val="both"/>
        <w:ind w:right="160" w:firstLine="1201"/>
        <w:spacing w:after="0" w:line="258" w:lineRule="auto"/>
        <w:tabs>
          <w:tab w:leader="none" w:pos="1435"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of Settlement</w:t>
      </w:r>
      <w:r>
        <w:rPr>
          <w:rFonts w:ascii="Times New Roman" w:cs="Times New Roman" w:eastAsia="Times New Roman" w:hAnsi="Times New Roman"/>
          <w:sz w:val="17"/>
          <w:szCs w:val="17"/>
          <w:color w:val="auto"/>
        </w:rPr>
        <w:t>. The Administrator reserves the right in its sole discretion to provide (either at or after the grant thereof) that any Restricted Stock Unit represent the right to receive the amount of cash per unit that is determined by the Administrator in connection with the Award.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10. Other Share-Based Awards.</w:t>
      </w:r>
    </w:p>
    <w:p>
      <w:pPr>
        <w:spacing w:after="0" w:line="208" w:lineRule="exact"/>
        <w:rPr>
          <w:sz w:val="20"/>
          <w:szCs w:val="20"/>
          <w:color w:val="auto"/>
        </w:rPr>
      </w:pPr>
    </w:p>
    <w:p>
      <w:pPr>
        <w:ind w:firstLine="1200"/>
        <w:spacing w:after="0" w:line="247" w:lineRule="auto"/>
        <w:rPr>
          <w:sz w:val="20"/>
          <w:szCs w:val="20"/>
          <w:color w:val="auto"/>
        </w:rPr>
      </w:pPr>
      <w:r>
        <w:rPr>
          <w:rFonts w:ascii="Times New Roman" w:cs="Times New Roman" w:eastAsia="Times New Roman" w:hAnsi="Times New Roman"/>
          <w:sz w:val="17"/>
          <w:szCs w:val="17"/>
          <w:color w:val="auto"/>
        </w:rPr>
        <w:t>Other Share-Based Awards may be issued under the Plan. Subject to the provisions of the Plan, the Administrator shall have sole and complete authority to determine the individuals to whom and the time or times at which such Other Share-Based Awards shall be granted. Each Participant who is granted an Other Share-Based Award shall enter into an Award Agreement with the Company, containing such terms and conditions as the Administrator shall determine, in its sole discretion, including, among other things, the number of shares of Common Stock to be granted pursuant to such Other Share-Based Awards, or the manner in which such Other Share-Based Awards shall be settled (e.g., in shares of Common Stock, cash or other property), or the conditions to the vesting and/or payment or settlement of such Other Share-Based Awards (which may include, but not be limited to, achievement of performance criteria) and all other terms and conditions of such Other Share-Based Awards. In the event that the Administrator grants a bonus in the form of Shares, the Shares constituting such bonus shall, as determined by the Administrator, be evidenced in uncertificated form or by a book entry record or a certificate issued in the name of the Participant to whom such grant was made and delivered to such Participant as soon as practicable after the date on which such bonus is payable. Notwithstanding anything set forth in the Plan to the contrary, any dividend or dividend equivalent Award issued hereunder shall be subject to the same restrictions, conditions and risks of forfeiture as apply to the underlying Award.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11. Cash Awards.</w:t>
      </w:r>
    </w:p>
    <w:p>
      <w:pPr>
        <w:spacing w:after="0" w:line="208" w:lineRule="exact"/>
        <w:rPr>
          <w:sz w:val="20"/>
          <w:szCs w:val="20"/>
          <w:color w:val="auto"/>
        </w:rPr>
      </w:pPr>
    </w:p>
    <w:p>
      <w:pPr>
        <w:ind w:right="260" w:firstLine="1200"/>
        <w:spacing w:after="0" w:line="254" w:lineRule="auto"/>
        <w:rPr>
          <w:sz w:val="20"/>
          <w:szCs w:val="20"/>
          <w:color w:val="auto"/>
        </w:rPr>
      </w:pPr>
      <w:r>
        <w:rPr>
          <w:rFonts w:ascii="Times New Roman" w:cs="Times New Roman" w:eastAsia="Times New Roman" w:hAnsi="Times New Roman"/>
          <w:sz w:val="17"/>
          <w:szCs w:val="17"/>
          <w:color w:val="auto"/>
        </w:rPr>
        <w:t>The Administrator may grant Awards that are denominated in, or payable to Participants solely in, cash, as deemed by the Administrator to be consistent with the purposes of the Plan, and, such Cash Awards shall be subject to the terms, conditions, restrictions and limitations determined by the Administrator, in its sole discretion, from time to time. Awards granted pursuant to this Section 11 may be granted with value and payment contingent upon the achievement of performance goals.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12. Change in Control.</w:t>
      </w:r>
    </w:p>
    <w:p>
      <w:pPr>
        <w:spacing w:after="0" w:line="208" w:lineRule="exact"/>
        <w:rPr>
          <w:sz w:val="20"/>
          <w:szCs w:val="20"/>
          <w:color w:val="auto"/>
        </w:rPr>
      </w:pPr>
    </w:p>
    <w:p>
      <w:pPr>
        <w:ind w:firstLine="1200"/>
        <w:spacing w:after="0" w:line="254" w:lineRule="auto"/>
        <w:rPr>
          <w:sz w:val="20"/>
          <w:szCs w:val="20"/>
          <w:color w:val="auto"/>
        </w:rPr>
      </w:pPr>
      <w:r>
        <w:rPr>
          <w:rFonts w:ascii="Times New Roman" w:cs="Times New Roman" w:eastAsia="Times New Roman" w:hAnsi="Times New Roman"/>
          <w:sz w:val="17"/>
          <w:szCs w:val="17"/>
          <w:color w:val="auto"/>
        </w:rPr>
        <w:t>Unless otherwise determined by the Administrator and evidenced in an Award Agreement, notwithstanding Section 4(e) of the Plan, in the event that (a) a Change in Control occurs, and (b) the Participant’s employment or service is terminated by the Company, its successor or an Affiliate thereof without Cause or by the Participant for Good Reason (if applicable) on or after the effective date of the Change in Control but prior to twelve (12) months following the Change in Control, then:</w:t>
      </w:r>
    </w:p>
    <w:p>
      <w:pPr>
        <w:spacing w:after="0" w:line="172" w:lineRule="exact"/>
        <w:rPr>
          <w:sz w:val="20"/>
          <w:szCs w:val="20"/>
          <w:color w:val="auto"/>
        </w:rPr>
      </w:pPr>
    </w:p>
    <w:p>
      <w:pPr>
        <w:ind w:left="1420" w:hanging="219"/>
        <w:spacing w:after="0"/>
        <w:tabs>
          <w:tab w:leader="none" w:pos="142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unvested or unexercisable portion of any Award carrying a right to exercise shall become fully vested and exercisable; and</w:t>
      </w:r>
    </w:p>
    <w:p>
      <w:pPr>
        <w:spacing w:after="0" w:line="215" w:lineRule="exact"/>
        <w:rPr>
          <w:rFonts w:ascii="Times New Roman" w:cs="Times New Roman" w:eastAsia="Times New Roman" w:hAnsi="Times New Roman"/>
          <w:sz w:val="16"/>
          <w:szCs w:val="16"/>
          <w:color w:val="auto"/>
        </w:rPr>
      </w:pPr>
    </w:p>
    <w:p>
      <w:pPr>
        <w:ind w:right="280" w:firstLine="1201"/>
        <w:spacing w:after="0" w:line="258" w:lineRule="auto"/>
        <w:tabs>
          <w:tab w:leader="none" w:pos="1436"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restrictions, deferral limitations, payment conditions and forfeiture conditions applicable to an Award granted under the Plan shall lapse and such Awards shall be deemed fully vested and any performance conditions imposed with respect to such Awards shall be deemed to be fully achieved at target performance levels.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firstLine="1200"/>
        <w:spacing w:after="0" w:line="254" w:lineRule="auto"/>
        <w:rPr>
          <w:sz w:val="20"/>
          <w:szCs w:val="20"/>
          <w:color w:val="auto"/>
        </w:rPr>
      </w:pPr>
      <w:r>
        <w:rPr>
          <w:rFonts w:ascii="Times New Roman" w:cs="Times New Roman" w:eastAsia="Times New Roman" w:hAnsi="Times New Roman"/>
          <w:sz w:val="17"/>
          <w:szCs w:val="17"/>
          <w:color w:val="auto"/>
        </w:rPr>
        <w:t>If the Administrator determines in its discretion pursuant to Section 3(b)(4) hereof to accelerate the vesting of Options and/or Share Appreciation Rights in connection with a Change in Control, the Administrator shall also have discretion in connection with such action to provide that all Options and/or Share Appreciation Rights outstanding immediately prior to such Change in Control shall expire on the effective date of such Change in Control.</w:t>
      </w:r>
    </w:p>
    <w:p>
      <w:pPr>
        <w:spacing w:after="0" w:line="172" w:lineRule="exact"/>
        <w:rPr>
          <w:sz w:val="20"/>
          <w:szCs w:val="20"/>
          <w:color w:val="auto"/>
        </w:rPr>
      </w:pPr>
    </w:p>
    <w:p>
      <w:pPr>
        <w:ind w:right="80" w:firstLine="1200"/>
        <w:spacing w:after="0" w:line="250" w:lineRule="auto"/>
        <w:rPr>
          <w:sz w:val="20"/>
          <w:szCs w:val="20"/>
          <w:color w:val="auto"/>
        </w:rPr>
      </w:pPr>
      <w:r>
        <w:rPr>
          <w:rFonts w:ascii="Times New Roman" w:cs="Times New Roman" w:eastAsia="Times New Roman" w:hAnsi="Times New Roman"/>
          <w:sz w:val="17"/>
          <w:szCs w:val="17"/>
          <w:color w:val="auto"/>
        </w:rPr>
        <w:t xml:space="preserve">In connection with a Change in Control, the Administrator may provide, in its sole discretion, but subject in all events to the requirements of Section 409A of the Code, for the cancellation of any outstanding Award granted hereunder in exchange for payment in cash or other property having an aggregate Fair Market Value equal to the Fair Market Value of the Shares, cash or other property covered by such Award, reduced by the aggregate Exercise Price or purchase price thereof, if 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Exercise Price or purchase price of any outstanding Award is equal to or greater than the Fair Market Value of the shares of Common Stock, cash or other property covered by such Award, the Administrator may cancel such Award without the payment of any consideration to the Participant.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13. Amendment and Termination.</w:t>
      </w:r>
    </w:p>
    <w:p>
      <w:pPr>
        <w:spacing w:after="0" w:line="208" w:lineRule="exact"/>
        <w:rPr>
          <w:sz w:val="20"/>
          <w:szCs w:val="20"/>
          <w:color w:val="auto"/>
        </w:rPr>
      </w:pPr>
    </w:p>
    <w:p>
      <w:pPr>
        <w:ind w:right="40" w:firstLine="1200"/>
        <w:spacing w:after="0" w:line="250" w:lineRule="auto"/>
        <w:rPr>
          <w:sz w:val="20"/>
          <w:szCs w:val="20"/>
          <w:color w:val="auto"/>
        </w:rPr>
      </w:pPr>
      <w:r>
        <w:rPr>
          <w:rFonts w:ascii="Times New Roman" w:cs="Times New Roman" w:eastAsia="Times New Roman" w:hAnsi="Times New Roman"/>
          <w:sz w:val="17"/>
          <w:szCs w:val="17"/>
          <w:color w:val="auto"/>
        </w:rPr>
        <w:t>The Board may amend, alter or terminate the Plan at any time, but no amendment, alteration or termination shall be made that would impair the rights of a Participant under any Award theretofore granted without such Participant’s consent. The Board shall obtain approval of the Company’s stockholders for any amendment that would require such approval in order to satisfy the requirements of any rules of the stock exchange on which the Common Stock is traded or other Applicable Law. The Administrator may amend the terms of any Award theretofore granted, prospectively or retroactively, but, subject to Section 5 of the Plan and the immediately preceding sentence, no such amendment shall materially impair the rights of any Participant without his or her consent.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14. Unfunded Status of Plan.</w:t>
      </w:r>
    </w:p>
    <w:p>
      <w:pPr>
        <w:spacing w:after="0" w:line="208" w:lineRule="exact"/>
        <w:rPr>
          <w:sz w:val="20"/>
          <w:szCs w:val="20"/>
          <w:color w:val="auto"/>
        </w:rPr>
      </w:pPr>
    </w:p>
    <w:p>
      <w:pPr>
        <w:ind w:firstLine="1200"/>
        <w:spacing w:after="0" w:line="258" w:lineRule="auto"/>
        <w:rPr>
          <w:sz w:val="20"/>
          <w:szCs w:val="20"/>
          <w:color w:val="auto"/>
        </w:rPr>
      </w:pPr>
      <w:r>
        <w:rPr>
          <w:rFonts w:ascii="Times New Roman" w:cs="Times New Roman" w:eastAsia="Times New Roman" w:hAnsi="Times New Roman"/>
          <w:sz w:val="17"/>
          <w:szCs w:val="17"/>
          <w:color w:val="auto"/>
        </w:rPr>
        <w:t>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15. Withholding Taxes.</w:t>
      </w:r>
    </w:p>
    <w:p>
      <w:pPr>
        <w:spacing w:after="0" w:line="208" w:lineRule="exact"/>
        <w:rPr>
          <w:sz w:val="20"/>
          <w:szCs w:val="20"/>
          <w:color w:val="auto"/>
        </w:rPr>
      </w:pPr>
    </w:p>
    <w:p>
      <w:pPr>
        <w:ind w:right="40" w:firstLine="1200"/>
        <w:spacing w:after="0" w:line="263" w:lineRule="auto"/>
        <w:rPr>
          <w:sz w:val="20"/>
          <w:szCs w:val="20"/>
          <w:color w:val="auto"/>
        </w:rPr>
      </w:pPr>
      <w:r>
        <w:rPr>
          <w:rFonts w:ascii="Times New Roman" w:cs="Times New Roman" w:eastAsia="Times New Roman" w:hAnsi="Times New Roman"/>
          <w:sz w:val="16"/>
          <w:szCs w:val="16"/>
          <w:color w:val="auto"/>
        </w:rPr>
        <w:t xml:space="preserve">Each Participant shall, no later than the date as of which the value of an Award first becomes includible in the gross income of such Participant for purposes of applicable taxes, pay to the Company, or make arrangements satisfactory to the Administrator regarding payment of an amount up to the maximum statutory tax rates in the Participant’s applicable jurisdiction with respect to the Award, as determined by the Company. The obligations of the Company under the Plan shall be conditional on the making of such payments or arrangements, and the Company shall, to the extent permitted by Applicable Laws, have the right to deduct any such taxes from any payment of any kind otherwise due to such Participant. Whenever cash is to be paid pursuant to an Award, the Company shall have the right to deduct therefrom an amount sufficient to satisfy any applicable withholding tax requirements related thereto. Whenever Shares or property other than cash are to be delivered pursuant to an Award, the Company shall have the right to require the Participant to remit to the Company in cash an amount sufficient to satisfy any related taxes to be withheld and applied to the tax obligations;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with the approval of the Administrator, a Participant may satisfy the foregoing requirement by either (i) electing to have the Company withhold from delivery of Shares or other property, as applicable, or (ii) delivering already owned unrestricted shares of Common Stock, in each case, having a value not exceeding the applicable taxes to be withheld and applied to the tax obligations. Such already owned and unrestricted shares of Common Stock shall be valued at their Fair Market Value on the date on which the amount of tax to be withheld is determined and any fractional share amounts resulting therefrom shall be settled in cash. Such an election may be made with respect to all or any portion of the Shares to be delivered pursuant to an award. The Company may also use any other method of obtaining the necessary payment or proceeds, as permitted by Applicable Laws, to satisfy its withholding obligation with respect to any Award.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16. Transfer of Awards.</w:t>
      </w:r>
    </w:p>
    <w:p>
      <w:pPr>
        <w:spacing w:after="0" w:line="208" w:lineRule="exact"/>
        <w:rPr>
          <w:sz w:val="20"/>
          <w:szCs w:val="20"/>
          <w:color w:val="auto"/>
        </w:rPr>
      </w:pPr>
    </w:p>
    <w:p>
      <w:pPr>
        <w:ind w:right="200" w:firstLine="1200"/>
        <w:spacing w:after="0" w:line="250" w:lineRule="auto"/>
        <w:rPr>
          <w:sz w:val="20"/>
          <w:szCs w:val="20"/>
          <w:color w:val="auto"/>
        </w:rPr>
      </w:pPr>
      <w:r>
        <w:rPr>
          <w:rFonts w:ascii="Times New Roman" w:cs="Times New Roman" w:eastAsia="Times New Roman" w:hAnsi="Times New Roman"/>
          <w:sz w:val="17"/>
          <w:szCs w:val="17"/>
          <w:color w:val="auto"/>
        </w:rPr>
        <w:t>Until such time as the Awards are fully vested and/or exercisable in accordance with the Plan or an Award Agreement, no purported sale, assignment, mortgage, hypothecation, transfer, charge, pledge, encumbrance, gift, transfer in trust (voting or other) or other disposition of, or creation of a security interest in or lien on, any Award or any agreement or commitment to do any of the foregoing (each, a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by any holder thereof in violation of the provisions of the Plan or an Award Agreement will be valid, except with the prior written consent of the Administrator, which consent may be granted or withheld in the sole discretion of the Administrator. Any purported Transfer of an Award or any economic benefit or interest therein in violation of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7"/>
          <w:szCs w:val="17"/>
          <w:color w:val="auto"/>
        </w:rPr>
        <w:t>Plan or an Award Agreement shall be null and void ab initio and shall not create any obligation or liability of the Company, and any Person purportedly acquiring any Award or any economic benefit or interest therein transferred in violation of the Plan or an Award Agreement shall not be entitled to be recognized as a holder of such Shares or other property underlying such Award. Unless otherwise determined by the Administrator in accordance with the provisions of the immediately preceding sentence, an Option or a Share Appreciation Right may be exercised, during the lifetime of the Participant, only by the Participant or, during any period during which the Participant is under a legal Disability, by the Participant’s guardian or legal representative.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17. Continued Employment or Service.</w:t>
      </w:r>
    </w:p>
    <w:p>
      <w:pPr>
        <w:spacing w:after="0" w:line="208" w:lineRule="exact"/>
        <w:rPr>
          <w:sz w:val="20"/>
          <w:szCs w:val="20"/>
          <w:color w:val="auto"/>
        </w:rPr>
      </w:pPr>
    </w:p>
    <w:p>
      <w:pPr>
        <w:jc w:val="both"/>
        <w:ind w:right="600" w:firstLine="1200"/>
        <w:spacing w:after="0" w:line="258" w:lineRule="auto"/>
        <w:rPr>
          <w:sz w:val="20"/>
          <w:szCs w:val="20"/>
          <w:color w:val="auto"/>
        </w:rPr>
      </w:pPr>
      <w:r>
        <w:rPr>
          <w:rFonts w:ascii="Times New Roman" w:cs="Times New Roman" w:eastAsia="Times New Roman" w:hAnsi="Times New Roman"/>
          <w:sz w:val="17"/>
          <w:szCs w:val="17"/>
          <w:color w:val="auto"/>
        </w:rPr>
        <w:t>Neither the adoption of the Plan nor the grant of an Award shall confer upon any Eligible Recipient any right to continued employment or service with the Company or any Affiliate thereof, as the case may be, nor shall it interfere in any way with the right of the Company or any Affiliate thereof to terminate the employment or service of any of its Eligible Recipients at any time.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18. Effective Date.</w:t>
      </w:r>
    </w:p>
    <w:p>
      <w:pPr>
        <w:spacing w:after="0" w:line="208" w:lineRule="exact"/>
        <w:rPr>
          <w:sz w:val="20"/>
          <w:szCs w:val="20"/>
          <w:color w:val="auto"/>
        </w:rPr>
      </w:pPr>
    </w:p>
    <w:p>
      <w:pPr>
        <w:ind w:right="60" w:firstLine="1200"/>
        <w:spacing w:after="0" w:line="271" w:lineRule="auto"/>
        <w:rPr>
          <w:sz w:val="20"/>
          <w:szCs w:val="20"/>
          <w:color w:val="auto"/>
        </w:rPr>
      </w:pPr>
      <w:r>
        <w:rPr>
          <w:rFonts w:ascii="Times New Roman" w:cs="Times New Roman" w:eastAsia="Times New Roman" w:hAnsi="Times New Roman"/>
          <w:sz w:val="16"/>
          <w:szCs w:val="16"/>
          <w:color w:val="auto"/>
        </w:rPr>
        <w:t>The Plan was originally adopted by the Board on April 21, 2018 and became effective on June 5, 2018, the date it was approved by the Company’s stockholders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The amended version of the Plan was adopted by the Board on April 19, 2021 and approved by the Company’s stockholders on June 8, 2021 (the “</w:t>
      </w:r>
      <w:r>
        <w:rPr>
          <w:rFonts w:ascii="Times New Roman" w:cs="Times New Roman" w:eastAsia="Times New Roman" w:hAnsi="Times New Roman"/>
          <w:sz w:val="16"/>
          <w:szCs w:val="16"/>
          <w:u w:val="single" w:color="auto"/>
          <w:color w:val="auto"/>
        </w:rPr>
        <w:t>First Amendment Date</w:t>
      </w:r>
      <w:r>
        <w:rPr>
          <w:rFonts w:ascii="Times New Roman" w:cs="Times New Roman" w:eastAsia="Times New Roman" w:hAnsi="Times New Roman"/>
          <w:sz w:val="16"/>
          <w:szCs w:val="16"/>
          <w:color w:val="auto"/>
        </w:rPr>
        <w:t>”). The further amended version of the Plan was adopted by the Board on March 5, 2024 and shall become effective on the date that it is approved by the Company’s stockholders (the “</w:t>
      </w:r>
      <w:r>
        <w:rPr>
          <w:rFonts w:ascii="Times New Roman" w:cs="Times New Roman" w:eastAsia="Times New Roman" w:hAnsi="Times New Roman"/>
          <w:sz w:val="16"/>
          <w:szCs w:val="16"/>
          <w:u w:val="single" w:color="auto"/>
          <w:color w:val="auto"/>
        </w:rPr>
        <w:t>Second Amendment Date</w:t>
      </w:r>
      <w:r>
        <w:rPr>
          <w:rFonts w:ascii="Times New Roman" w:cs="Times New Roman" w:eastAsia="Times New Roman" w:hAnsi="Times New Roman"/>
          <w:sz w:val="16"/>
          <w:szCs w:val="16"/>
          <w:color w:val="auto"/>
        </w:rPr>
        <w:t>”). The Plan shall be submitted for and subject to stockholder approval no later than twelve months after the Second Amendment Date.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19. Electronic Signature.</w:t>
      </w:r>
    </w:p>
    <w:p>
      <w:pPr>
        <w:spacing w:after="0" w:line="2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Participant’s electronic signature of an Award Agreement shall have the same validity and effect as a signature affixed by hand.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20. Term of Plan.</w:t>
      </w:r>
    </w:p>
    <w:p>
      <w:pPr>
        <w:spacing w:after="0" w:line="2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No Award shall be granted pursuant to the Plan on or after May 28, 2034, but Awards theretofore granted may extend beyond that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21. Securities Matters and Regulations.</w:t>
      </w:r>
    </w:p>
    <w:p>
      <w:pPr>
        <w:spacing w:after="0" w:line="208" w:lineRule="exact"/>
        <w:rPr>
          <w:sz w:val="20"/>
          <w:szCs w:val="20"/>
          <w:color w:val="auto"/>
        </w:rPr>
      </w:pPr>
    </w:p>
    <w:p>
      <w:pPr>
        <w:ind w:firstLine="1201"/>
        <w:spacing w:after="0" w:line="250" w:lineRule="auto"/>
        <w:tabs>
          <w:tab w:leader="none" w:pos="1426"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the obligation of the Company to sell or deliver Shares with respect to any Award granted under the Plan shall be subject to all Applicable Laws, rules and regulations, including all applicable federal and state securities laws, and the obtaining of all such approvals by governmental agencies as may be deemed necessary or appropriate by the Administrator. The Administrator may require, as a condition of the issuance and delivery of certificates evidencing shares of Common Stock pursuant to the terms hereof, that the recipient of such shares make such agreements and representations, and that such certificates bear such legends, as the Administrator, in its sole discretion, deems necessary or advisable.</w:t>
      </w:r>
    </w:p>
    <w:p>
      <w:pPr>
        <w:spacing w:after="0" w:line="177" w:lineRule="exact"/>
        <w:rPr>
          <w:rFonts w:ascii="Times New Roman" w:cs="Times New Roman" w:eastAsia="Times New Roman" w:hAnsi="Times New Roman"/>
          <w:sz w:val="17"/>
          <w:szCs w:val="17"/>
          <w:color w:val="auto"/>
        </w:rPr>
      </w:pPr>
    </w:p>
    <w:p>
      <w:pPr>
        <w:ind w:right="240" w:firstLine="1201"/>
        <w:spacing w:after="0" w:line="251" w:lineRule="auto"/>
        <w:tabs>
          <w:tab w:leader="none" w:pos="1436"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Award is subject to the requirement that, if at any time the Administrator determines that the listing, registration or qualification of Shares is required by any securities exchange or under any state or federal law, or the consent or approval of any governmental regulatory body is necessary or desirable as a condition of, or in connection with, the grant of an Award or the issuance of Shares, no such Award shall be granted or payment made or Shares issued, in whole or in part, unless listing, registration, qualification, consent or approval has been effected or obtained free of any conditions not acceptable to the Administrator.</w:t>
      </w:r>
    </w:p>
    <w:p>
      <w:pPr>
        <w:spacing w:after="0" w:line="177" w:lineRule="exact"/>
        <w:rPr>
          <w:rFonts w:ascii="Times New Roman" w:cs="Times New Roman" w:eastAsia="Times New Roman" w:hAnsi="Times New Roman"/>
          <w:sz w:val="17"/>
          <w:szCs w:val="17"/>
          <w:color w:val="auto"/>
        </w:rPr>
      </w:pPr>
    </w:p>
    <w:p>
      <w:pPr>
        <w:ind w:right="60" w:firstLine="1201"/>
        <w:spacing w:after="0" w:line="251" w:lineRule="auto"/>
        <w:tabs>
          <w:tab w:leader="none" w:pos="1426"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disposition of Shares acquired pursuant to the Plan is not covered by a then current registration statement under the Securities Act and is not otherwise exempt from such registration, such Shares shall be restricted against transfer to the extent required by the Securities Act or regulations thereunder, and the Administrator may require a Participant receiving Common Stock pursuant to the Plan, as a condition precedent to receipt of such Common Stock, to represent to the Company in writing that the Common Stock acquired by such Participant is acquired for investment only and not with a view to distribution.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22. Section 409A of the Code.</w:t>
      </w:r>
    </w:p>
    <w:p>
      <w:pPr>
        <w:spacing w:after="0" w:line="208" w:lineRule="exact"/>
        <w:rPr>
          <w:sz w:val="20"/>
          <w:szCs w:val="20"/>
          <w:color w:val="auto"/>
        </w:rPr>
      </w:pPr>
    </w:p>
    <w:p>
      <w:pPr>
        <w:ind w:right="20" w:firstLine="1200"/>
        <w:spacing w:after="0" w:line="247" w:lineRule="auto"/>
        <w:rPr>
          <w:sz w:val="20"/>
          <w:szCs w:val="20"/>
          <w:color w:val="auto"/>
        </w:rPr>
      </w:pPr>
      <w:r>
        <w:rPr>
          <w:rFonts w:ascii="Times New Roman" w:cs="Times New Roman" w:eastAsia="Times New Roman" w:hAnsi="Times New Roman"/>
          <w:sz w:val="17"/>
          <w:szCs w:val="17"/>
          <w:color w:val="auto"/>
        </w:rPr>
        <w:t>The Plan as well as payments and benefits under the Plan are intended to be exempt from, or to the extent subject thereto, to comply with Section 409A of the Code, and, accordingly, to the maximum extent permitted, the Plan shall be interpreted in accordance therewith. Notwithstanding anything contained herein to the contrary, to the extent required in order to avoid accelerated taxation and/or tax penalties under Section 409A of the Code, the Participant shall not be considered to have terminated employment or service with the Company for purposes of the Plan and no payment shall be due to the Participant under the Plan or any Award until the Participant would be considered to have incurred a “separation from service” from the Company and its Affiliates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Awards (or any other amounts payable under any plan, program or arrangement of the Company or any of its Affiliates) are payable upon a separation from service and such payment would result in the imposition of any individual tax and penalty interest charges imposed under Section 409A of the Code, the settlement and payment of such awards (or other amounts) shall instead be made on the first business day after the date that is six (6) months following such separation from service (or death, if earlier). Each amount to be paid or benefit to be provided under this Plan shall be construed as a separate identified payment for purposes of Section 409A of the Code. The Company makes no representation that any or all of the payments or benefits described in this Plan will be exempt from or comply with Section 409A of the Code and makes no undertaking to preclude Section 409A of the Code from applying to any such payment. The Participant shall be solely responsible for the payment of any taxes and penalties incurred under Section 409A.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23. Notification of Election Under Section 83(b) of the Code.</w:t>
      </w:r>
    </w:p>
    <w:p>
      <w:pPr>
        <w:spacing w:after="0" w:line="208" w:lineRule="exact"/>
        <w:rPr>
          <w:sz w:val="20"/>
          <w:szCs w:val="20"/>
          <w:color w:val="auto"/>
        </w:rPr>
      </w:pPr>
    </w:p>
    <w:p>
      <w:pPr>
        <w:ind w:right="20" w:firstLine="1200"/>
        <w:spacing w:after="0" w:line="258" w:lineRule="auto"/>
        <w:rPr>
          <w:sz w:val="20"/>
          <w:szCs w:val="20"/>
          <w:color w:val="auto"/>
        </w:rPr>
      </w:pPr>
      <w:r>
        <w:rPr>
          <w:rFonts w:ascii="Times New Roman" w:cs="Times New Roman" w:eastAsia="Times New Roman" w:hAnsi="Times New Roman"/>
          <w:sz w:val="17"/>
          <w:szCs w:val="17"/>
          <w:color w:val="auto"/>
        </w:rPr>
        <w:t>If any Participant shall, in connection with the acquisition of shares of Common Stock under the Plan, make the election permitted under Section 83(b) of the Code, such Participant shall notify the Company of such election within ten (10) days after filing notice of the election with the Internal Revenue Service.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24. No Fractional Shares.</w:t>
      </w:r>
    </w:p>
    <w:p>
      <w:pPr>
        <w:spacing w:after="0" w:line="208" w:lineRule="exact"/>
        <w:rPr>
          <w:sz w:val="20"/>
          <w:szCs w:val="20"/>
          <w:color w:val="auto"/>
        </w:rPr>
      </w:pPr>
    </w:p>
    <w:p>
      <w:pPr>
        <w:ind w:right="80" w:firstLine="1200"/>
        <w:spacing w:after="0" w:line="258" w:lineRule="auto"/>
        <w:rPr>
          <w:sz w:val="20"/>
          <w:szCs w:val="20"/>
          <w:color w:val="auto"/>
        </w:rPr>
      </w:pPr>
      <w:r>
        <w:rPr>
          <w:rFonts w:ascii="Times New Roman" w:cs="Times New Roman" w:eastAsia="Times New Roman" w:hAnsi="Times New Roman"/>
          <w:sz w:val="17"/>
          <w:szCs w:val="17"/>
          <w:color w:val="auto"/>
        </w:rPr>
        <w:t>No fractional shares of Common Stock shall be issued or delivered pursuant to the Plan. The Administrator shall determine whether cash, other Awards, or other property shall be issued or paid in lieu of such fractional shares or whether such fractional shares or any rights thereto shall be forfeited or otherwise eliminated.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25. Beneficiary.</w:t>
      </w:r>
    </w:p>
    <w:p>
      <w:pPr>
        <w:spacing w:after="0" w:line="208" w:lineRule="exact"/>
        <w:rPr>
          <w:sz w:val="20"/>
          <w:szCs w:val="20"/>
          <w:color w:val="auto"/>
        </w:rPr>
      </w:pPr>
    </w:p>
    <w:p>
      <w:pPr>
        <w:ind w:right="100" w:firstLine="1200"/>
        <w:spacing w:after="0" w:line="258" w:lineRule="auto"/>
        <w:rPr>
          <w:sz w:val="20"/>
          <w:szCs w:val="20"/>
          <w:color w:val="auto"/>
        </w:rPr>
      </w:pPr>
      <w:r>
        <w:rPr>
          <w:rFonts w:ascii="Times New Roman" w:cs="Times New Roman" w:eastAsia="Times New Roman" w:hAnsi="Times New Roman"/>
          <w:sz w:val="17"/>
          <w:szCs w:val="17"/>
          <w:color w:val="auto"/>
        </w:rPr>
        <w:t>A Participant may file with the Administrator a written designation of a beneficiary on such form as may be prescribed by the Administrator and may, from time to time, amend or revoke such designation. If no designated beneficiary survives the Participant, the executor or administrator of the Participant’s estate shall be deemed to be the Participant’s beneficiary.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26. Paperless Administration.</w:t>
      </w:r>
    </w:p>
    <w:p>
      <w:pPr>
        <w:spacing w:after="0" w:line="208" w:lineRule="exact"/>
        <w:rPr>
          <w:sz w:val="20"/>
          <w:szCs w:val="20"/>
          <w:color w:val="auto"/>
        </w:rPr>
      </w:pPr>
    </w:p>
    <w:p>
      <w:pPr>
        <w:ind w:right="680" w:firstLine="1200"/>
        <w:spacing w:after="0" w:line="282" w:lineRule="auto"/>
        <w:rPr>
          <w:sz w:val="20"/>
          <w:szCs w:val="20"/>
          <w:color w:val="auto"/>
        </w:rPr>
      </w:pPr>
      <w:r>
        <w:rPr>
          <w:rFonts w:ascii="Times New Roman" w:cs="Times New Roman" w:eastAsia="Times New Roman" w:hAnsi="Times New Roman"/>
          <w:sz w:val="16"/>
          <w:szCs w:val="16"/>
          <w:color w:val="auto"/>
        </w:rPr>
        <w:t>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27. Severability.</w:t>
      </w:r>
    </w:p>
    <w:p>
      <w:pPr>
        <w:spacing w:after="0" w:line="208" w:lineRule="exact"/>
        <w:rPr>
          <w:sz w:val="20"/>
          <w:szCs w:val="20"/>
          <w:color w:val="auto"/>
        </w:rPr>
      </w:pPr>
    </w:p>
    <w:p>
      <w:pPr>
        <w:ind w:firstLine="1200"/>
        <w:spacing w:after="0" w:line="271" w:lineRule="auto"/>
        <w:rPr>
          <w:sz w:val="20"/>
          <w:szCs w:val="20"/>
          <w:color w:val="auto"/>
        </w:rPr>
      </w:pPr>
      <w:r>
        <w:rPr>
          <w:rFonts w:ascii="Times New Roman" w:cs="Times New Roman" w:eastAsia="Times New Roman" w:hAnsi="Times New Roman"/>
          <w:sz w:val="17"/>
          <w:szCs w:val="17"/>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28. Clawback.</w:t>
      </w:r>
    </w:p>
    <w:p>
      <w:pPr>
        <w:spacing w:after="0" w:line="208" w:lineRule="exact"/>
        <w:rPr>
          <w:sz w:val="20"/>
          <w:szCs w:val="20"/>
          <w:color w:val="auto"/>
        </w:rPr>
      </w:pPr>
    </w:p>
    <w:p>
      <w:pPr>
        <w:jc w:val="both"/>
        <w:ind w:right="40" w:firstLine="1201"/>
        <w:spacing w:after="0" w:line="254" w:lineRule="auto"/>
        <w:tabs>
          <w:tab w:leader="none" w:pos="1426"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awards granted under the Plan are subject to the terms of the Company’s recoupment, clawback or similar policy as it may be in effect from time to time, as well as any similar provisions of 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4" w:lineRule="exact"/>
        <w:rPr>
          <w:sz w:val="20"/>
          <w:szCs w:val="20"/>
          <w:color w:val="auto"/>
        </w:rPr>
      </w:pPr>
    </w:p>
    <w:p>
      <w:pPr>
        <w:jc w:val="both"/>
        <w:ind w:right="100" w:firstLine="1201"/>
        <w:spacing w:after="0" w:line="254" w:lineRule="auto"/>
        <w:tabs>
          <w:tab w:leader="none" w:pos="1436"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provisions in this Plan, any Award which is subject to recovery under any Applicable Laws, government regulation or stock exchange listing requirement, will be subject to such deductions and clawback as may be required to be made pursuant to such Applicable Law, government regulation or stock exchange listing requirement (or any policy adopted by the Company pursuant to any such law, government regulation or stock exchange listing requirement).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29. Governing Law.</w:t>
      </w:r>
    </w:p>
    <w:p>
      <w:pPr>
        <w:spacing w:after="0" w:line="208" w:lineRule="exact"/>
        <w:rPr>
          <w:sz w:val="20"/>
          <w:szCs w:val="20"/>
          <w:color w:val="auto"/>
        </w:rPr>
      </w:pPr>
    </w:p>
    <w:p>
      <w:pPr>
        <w:ind w:right="460" w:firstLine="1200"/>
        <w:spacing w:after="0" w:line="271" w:lineRule="auto"/>
        <w:rPr>
          <w:sz w:val="20"/>
          <w:szCs w:val="20"/>
          <w:color w:val="auto"/>
        </w:rPr>
      </w:pPr>
      <w:r>
        <w:rPr>
          <w:rFonts w:ascii="Times New Roman" w:cs="Times New Roman" w:eastAsia="Times New Roman" w:hAnsi="Times New Roman"/>
          <w:sz w:val="17"/>
          <w:szCs w:val="17"/>
          <w:color w:val="auto"/>
        </w:rPr>
        <w:t>The Plan shall be governed by, and construed in accordance with, the laws of the State of Delaware, without giving effect to principles of conflicts of law of such state.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30. Indemnification.</w:t>
      </w:r>
    </w:p>
    <w:p>
      <w:pPr>
        <w:spacing w:after="0" w:line="208" w:lineRule="exact"/>
        <w:rPr>
          <w:sz w:val="20"/>
          <w:szCs w:val="20"/>
          <w:color w:val="auto"/>
        </w:rPr>
      </w:pPr>
    </w:p>
    <w:p>
      <w:pPr>
        <w:ind w:right="40" w:firstLine="1200"/>
        <w:spacing w:after="0" w:line="248" w:lineRule="auto"/>
        <w:rPr>
          <w:sz w:val="20"/>
          <w:szCs w:val="20"/>
          <w:color w:val="auto"/>
        </w:rPr>
      </w:pPr>
      <w:r>
        <w:rPr>
          <w:rFonts w:ascii="Times New Roman" w:cs="Times New Roman" w:eastAsia="Times New Roman" w:hAnsi="Times New Roman"/>
          <w:sz w:val="17"/>
          <w:szCs w:val="17"/>
          <w:color w:val="auto"/>
        </w:rPr>
        <w:t>To the extent allowable pursuant to applicable law, each member of the Board and the Administrator and any officer or other employee to whom authority to administer any component of the Plan is delegated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however, that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individuals may be entitled pursuant to the Company’s Certificate of Incorporation or Bylaws, as a matter of law, or otherwise, or any power that the Company may have to indemnify them or hold them harmless.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31. Titles and Headings, References to Sections of the Code or Exchange Act.</w:t>
      </w:r>
    </w:p>
    <w:p>
      <w:pPr>
        <w:spacing w:after="0" w:line="208" w:lineRule="exact"/>
        <w:rPr>
          <w:sz w:val="20"/>
          <w:szCs w:val="20"/>
          <w:color w:val="auto"/>
        </w:rPr>
      </w:pPr>
    </w:p>
    <w:p>
      <w:pPr>
        <w:jc w:val="both"/>
        <w:ind w:right="100" w:firstLine="1200"/>
        <w:spacing w:after="0" w:line="258" w:lineRule="auto"/>
        <w:rPr>
          <w:sz w:val="20"/>
          <w:szCs w:val="20"/>
          <w:color w:val="auto"/>
        </w:rPr>
      </w:pPr>
      <w:r>
        <w:rPr>
          <w:rFonts w:ascii="Times New Roman" w:cs="Times New Roman" w:eastAsia="Times New Roman" w:hAnsi="Times New Roman"/>
          <w:sz w:val="17"/>
          <w:szCs w:val="17"/>
          <w:color w:val="auto"/>
        </w:rPr>
        <w:t>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32. Successors.</w:t>
      </w:r>
    </w:p>
    <w:p>
      <w:pPr>
        <w:spacing w:after="0" w:line="208" w:lineRule="exact"/>
        <w:rPr>
          <w:sz w:val="20"/>
          <w:szCs w:val="20"/>
          <w:color w:val="auto"/>
        </w:rPr>
      </w:pPr>
    </w:p>
    <w:p>
      <w:pPr>
        <w:ind w:right="20" w:firstLine="1200"/>
        <w:spacing w:after="0" w:line="258" w:lineRule="auto"/>
        <w:rPr>
          <w:sz w:val="20"/>
          <w:szCs w:val="20"/>
          <w:color w:val="auto"/>
        </w:rPr>
      </w:pPr>
      <w:r>
        <w:rPr>
          <w:rFonts w:ascii="Times New Roman" w:cs="Times New Roman" w:eastAsia="Times New Roman" w:hAnsi="Times New Roman"/>
          <w:sz w:val="17"/>
          <w:szCs w:val="17"/>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33. Relationship to other Benefits.</w:t>
      </w:r>
    </w:p>
    <w:p>
      <w:pPr>
        <w:spacing w:after="0" w:line="208" w:lineRule="exact"/>
        <w:rPr>
          <w:sz w:val="20"/>
          <w:szCs w:val="20"/>
          <w:color w:val="auto"/>
        </w:rPr>
      </w:pPr>
    </w:p>
    <w:p>
      <w:pPr>
        <w:jc w:val="both"/>
        <w:ind w:right="160" w:firstLine="1200"/>
        <w:spacing w:after="0" w:line="258" w:lineRule="auto"/>
        <w:rPr>
          <w:sz w:val="20"/>
          <w:szCs w:val="20"/>
          <w:color w:val="auto"/>
        </w:rPr>
      </w:pPr>
      <w:r>
        <w:rPr>
          <w:rFonts w:ascii="Times New Roman" w:cs="Times New Roman" w:eastAsia="Times New Roman" w:hAnsi="Times New Roman"/>
          <w:sz w:val="17"/>
          <w:szCs w:val="17"/>
          <w:color w:val="auto"/>
        </w:rPr>
        <w:t>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34.  Discretion to Accelerate.</w:t>
      </w:r>
    </w:p>
    <w:p>
      <w:pPr>
        <w:spacing w:after="0" w:line="208" w:lineRule="exact"/>
        <w:rPr>
          <w:sz w:val="20"/>
          <w:szCs w:val="20"/>
          <w:color w:val="auto"/>
        </w:rPr>
      </w:pPr>
    </w:p>
    <w:p>
      <w:pPr>
        <w:ind w:firstLine="1200"/>
        <w:spacing w:after="0" w:line="271" w:lineRule="auto"/>
        <w:rPr>
          <w:sz w:val="20"/>
          <w:szCs w:val="20"/>
          <w:color w:val="auto"/>
        </w:rPr>
      </w:pPr>
      <w:r>
        <w:rPr>
          <w:rFonts w:ascii="Times New Roman" w:cs="Times New Roman" w:eastAsia="Times New Roman" w:hAnsi="Times New Roman"/>
          <w:sz w:val="17"/>
          <w:szCs w:val="17"/>
          <w:color w:val="auto"/>
        </w:rPr>
        <w:t>The Administrator shall have the discretion to accelerate the vesting of any Award in circumstances it determines to be appropriate (whether in connection with a transaction, termination of employment or for any other reason).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330835</wp:posOffset>
            </wp:positionV>
            <wp:extent cx="6301105"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8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abstractNum>
  <w:abstractNum w:abstractNumId="5">
    <w:nsid w:val="1EBA5D23"/>
    <w:multiLevelType w:val="hybridMultilevel"/>
    <w:lvl w:ilvl="0">
      <w:lvlJc w:val="left"/>
      <w:lvlText w:val="%1."/>
      <w:numFmt w:val="decimal"/>
      <w:start w:val="1"/>
    </w:lvl>
  </w:abstractNum>
  <w:abstractNum w:abstractNumId="6">
    <w:nsid w:val="661E3F1E"/>
    <w:multiLevelType w:val="hybridMultilevel"/>
    <w:lvl w:ilvl="0">
      <w:lvlJc w:val="left"/>
      <w:lvlText w:val="%1."/>
      <w:numFmt w:val="decimal"/>
      <w:start w:val="1"/>
    </w:lvl>
  </w:abstractNum>
  <w:abstractNum w:abstractNumId="7">
    <w:nsid w:val="5DC79EA8"/>
    <w:multiLevelType w:val="hybridMultilevel"/>
    <w:lvl w:ilvl="0">
      <w:lvlJc w:val="left"/>
      <w:lvlText w:val="%1:"/>
      <w:numFmt w:val="upperLetter"/>
      <w:start w:val="17"/>
    </w:lvl>
  </w:abstractNum>
  <w:abstractNum w:abstractNumId="8">
    <w:nsid w:val="540A471C"/>
    <w:multiLevelType w:val="hybridMultilevel"/>
    <w:lvl w:ilvl="0">
      <w:lvlJc w:val="left"/>
      <w:lvlText w:val="%1:"/>
      <w:numFmt w:val="upperLetter"/>
      <w:start w:val="1"/>
    </w:lvl>
  </w:abstractNum>
  <w:abstractNum w:abstractNumId="9">
    <w:nsid w:val="7BD3EE7B"/>
    <w:multiLevelType w:val="hybridMultilevel"/>
    <w:lvl w:ilvl="0">
      <w:lvlJc w:val="left"/>
      <w:lvlText w:val="%1:"/>
      <w:numFmt w:val="upperLetter"/>
      <w:start w:val="17"/>
    </w:lvl>
  </w:abstractNum>
  <w:abstractNum w:abstractNumId="10">
    <w:nsid w:val="51D9C564"/>
    <w:multiLevelType w:val="hybridMultilevel"/>
    <w:lvl w:ilvl="0">
      <w:lvlJc w:val="left"/>
      <w:lvlText w:val="%1:"/>
      <w:numFmt w:val="upperLetter"/>
      <w:start w:val="1"/>
    </w:lvl>
    <w:lvl w:ilvl="1">
      <w:lvlJc w:val="left"/>
      <w:lvlText w:val="●"/>
      <w:numFmt w:val="bullet"/>
      <w:start w:val="1"/>
    </w:lvl>
  </w:abstractNum>
  <w:abstractNum w:abstractNumId="11">
    <w:nsid w:val="613EFDC5"/>
    <w:multiLevelType w:val="hybridMultilevel"/>
    <w:lvl w:ilvl="0">
      <w:lvlJc w:val="left"/>
      <w:lvlText w:val="%1:"/>
      <w:numFmt w:val="upperLetter"/>
      <w:start w:val="17"/>
    </w:lvl>
  </w:abstractNum>
  <w:abstractNum w:abstractNumId="12">
    <w:nsid w:val="BF72B14"/>
    <w:multiLevelType w:val="hybridMultilevel"/>
    <w:lvl w:ilvl="0">
      <w:lvlJc w:val="left"/>
      <w:lvlText w:val="%1:"/>
      <w:numFmt w:val="upperLetter"/>
      <w:start w:val="1"/>
    </w:lvl>
    <w:lvl w:ilvl="1">
      <w:lvlJc w:val="left"/>
      <w:lvlText w:val="●"/>
      <w:numFmt w:val="bullet"/>
      <w:start w:val="1"/>
    </w:lvl>
  </w:abstractNum>
  <w:abstractNum w:abstractNumId="13">
    <w:nsid w:val="11447B73"/>
    <w:multiLevelType w:val="hybridMultilevel"/>
    <w:lvl w:ilvl="0">
      <w:lvlJc w:val="left"/>
      <w:lvlText w:val="%1:"/>
      <w:numFmt w:val="upperLetter"/>
      <w:start w:val="17"/>
    </w:lvl>
  </w:abstractNum>
  <w:abstractNum w:abstractNumId="14">
    <w:nsid w:val="42963E5A"/>
    <w:multiLevelType w:val="hybridMultilevel"/>
    <w:lvl w:ilvl="0">
      <w:lvlJc w:val="left"/>
      <w:lvlText w:val="%1:"/>
      <w:numFmt w:val="upperLetter"/>
      <w:start w:val="1"/>
    </w:lvl>
  </w:abstractNum>
  <w:abstractNum w:abstractNumId="15">
    <w:nsid w:val="A0382C5"/>
    <w:multiLevelType w:val="hybridMultilevel"/>
    <w:lvl w:ilvl="0">
      <w:lvlJc w:val="left"/>
      <w:lvlText w:val="%1."/>
      <w:numFmt w:val="upperLetter"/>
      <w:start w:val="17"/>
    </w:lvl>
  </w:abstractNum>
  <w:abstractNum w:abstractNumId="16">
    <w:nsid w:val="8F2B15E"/>
    <w:multiLevelType w:val="hybridMultilevel"/>
    <w:lvl w:ilvl="0">
      <w:lvlJc w:val="left"/>
      <w:lvlText w:val="%1:"/>
      <w:numFmt w:val="upperLetter"/>
      <w:start w:val="1"/>
    </w:lvl>
  </w:abstractNum>
  <w:abstractNum w:abstractNumId="17">
    <w:nsid w:val="1A32234B"/>
    <w:multiLevelType w:val="hybridMultilevel"/>
    <w:lvl w:ilvl="0">
      <w:lvlJc w:val="left"/>
      <w:lvlText w:val="%1."/>
      <w:numFmt w:val="upperLetter"/>
      <w:start w:val="17"/>
    </w:lvl>
  </w:abstractNum>
  <w:abstractNum w:abstractNumId="18">
    <w:nsid w:val="3B0FD379"/>
    <w:multiLevelType w:val="hybridMultilevel"/>
    <w:lvl w:ilvl="0">
      <w:lvlJc w:val="left"/>
      <w:lvlText w:val="%1:"/>
      <w:numFmt w:val="upperLetter"/>
      <w:start w:val="1"/>
    </w:lvl>
  </w:abstractNum>
  <w:abstractNum w:abstractNumId="19">
    <w:nsid w:val="68EB2F63"/>
    <w:multiLevelType w:val="hybridMultilevel"/>
    <w:lvl w:ilvl="0">
      <w:lvlJc w:val="left"/>
      <w:lvlText w:val="%1:"/>
      <w:numFmt w:val="upperLetter"/>
      <w:start w:val="17"/>
    </w:lvl>
  </w:abstractNum>
  <w:abstractNum w:abstractNumId="20">
    <w:nsid w:val="4962813B"/>
    <w:multiLevelType w:val="hybridMultilevel"/>
    <w:lvl w:ilvl="0">
      <w:lvlJc w:val="left"/>
      <w:lvlText w:val="%1:"/>
      <w:numFmt w:val="upperLetter"/>
      <w:start w:val="1"/>
    </w:lvl>
  </w:abstractNum>
  <w:abstractNum w:abstractNumId="21">
    <w:nsid w:val="60B6DF70"/>
    <w:multiLevelType w:val="hybridMultilevel"/>
    <w:lvl w:ilvl="0">
      <w:lvlJc w:val="left"/>
      <w:lvlText w:val="%1:"/>
      <w:numFmt w:val="upperLetter"/>
      <w:start w:val="17"/>
    </w:lvl>
  </w:abstractNum>
  <w:abstractNum w:abstractNumId="22">
    <w:nsid w:val="6A5EE64"/>
    <w:multiLevelType w:val="hybridMultilevel"/>
    <w:lvl w:ilvl="0">
      <w:lvlJc w:val="left"/>
      <w:lvlText w:val="%1:"/>
      <w:numFmt w:val="upperLetter"/>
      <w:start w:val="1"/>
    </w:lvl>
  </w:abstractNum>
  <w:abstractNum w:abstractNumId="23">
    <w:nsid w:val="14330624"/>
    <w:multiLevelType w:val="hybridMultilevel"/>
    <w:lvl w:ilvl="0">
      <w:lvlJc w:val="left"/>
      <w:lvlText w:val="%1:"/>
      <w:numFmt w:val="upperLetter"/>
      <w:start w:val="17"/>
    </w:lvl>
  </w:abstractNum>
  <w:abstractNum w:abstractNumId="24">
    <w:nsid w:val="7FFFCA11"/>
    <w:multiLevelType w:val="hybridMultilevel"/>
    <w:lvl w:ilvl="0">
      <w:lvlJc w:val="left"/>
      <w:lvlText w:val="%1:"/>
      <w:numFmt w:val="upperLetter"/>
      <w:start w:val="1"/>
    </w:lvl>
  </w:abstractNum>
  <w:abstractNum w:abstractNumId="25">
    <w:nsid w:val="1A27709E"/>
    <w:multiLevelType w:val="hybridMultilevel"/>
    <w:lvl w:ilvl="0">
      <w:lvlJc w:val="left"/>
      <w:lvlText w:val="%1:"/>
      <w:numFmt w:val="upperLetter"/>
      <w:start w:val="17"/>
    </w:lvl>
  </w:abstractNum>
  <w:abstractNum w:abstractNumId="26">
    <w:nsid w:val="71EA1109"/>
    <w:multiLevelType w:val="hybridMultilevel"/>
    <w:lvl w:ilvl="0">
      <w:lvlJc w:val="left"/>
      <w:lvlText w:val="%1:"/>
      <w:numFmt w:val="upperLetter"/>
      <w:start w:val="1"/>
    </w:lvl>
  </w:abstractNum>
  <w:abstractNum w:abstractNumId="27">
    <w:nsid w:val="100F59DC"/>
    <w:multiLevelType w:val="hybridMultilevel"/>
    <w:lvl w:ilvl="0">
      <w:lvlJc w:val="left"/>
      <w:lvlText w:val="%1:"/>
      <w:numFmt w:val="upperLetter"/>
      <w:start w:val="17"/>
    </w:lvl>
  </w:abstractNum>
  <w:abstractNum w:abstractNumId="28">
    <w:nsid w:val="7FB7E0AA"/>
    <w:multiLevelType w:val="hybridMultilevel"/>
    <w:lvl w:ilvl="0">
      <w:lvlJc w:val="left"/>
      <w:lvlText w:val="%1:"/>
      <w:numFmt w:val="upperLetter"/>
      <w:start w:val="1"/>
    </w:lvl>
    <w:lvl w:ilvl="1">
      <w:lvlJc w:val="left"/>
      <w:lvlText w:val="●"/>
      <w:numFmt w:val="bullet"/>
      <w:start w:val="1"/>
    </w:lvl>
  </w:abstractNum>
  <w:abstractNum w:abstractNumId="29">
    <w:nsid w:val="6EB5BD4"/>
    <w:multiLevelType w:val="hybridMultilevel"/>
    <w:lvl w:ilvl="0">
      <w:lvlJc w:val="left"/>
      <w:lvlText w:val="%1:"/>
      <w:numFmt w:val="upperLetter"/>
      <w:start w:val="17"/>
    </w:lvl>
  </w:abstractNum>
  <w:abstractNum w:abstractNumId="30">
    <w:nsid w:val="6F6DD9AC"/>
    <w:multiLevelType w:val="hybridMultilevel"/>
    <w:lvl w:ilvl="0">
      <w:lvlJc w:val="left"/>
      <w:lvlText w:val="%1:"/>
      <w:numFmt w:val="upperLetter"/>
      <w:start w:val="1"/>
    </w:lvl>
  </w:abstractNum>
  <w:abstractNum w:abstractNumId="31">
    <w:nsid w:val="94211F2"/>
    <w:multiLevelType w:val="hybridMultilevel"/>
    <w:lvl w:ilvl="0">
      <w:lvlJc w:val="left"/>
      <w:lvlText w:val="%1:"/>
      <w:numFmt w:val="upperLetter"/>
      <w:start w:val="17"/>
    </w:lvl>
  </w:abstractNum>
  <w:abstractNum w:abstractNumId="32">
    <w:nsid w:val="885E1B"/>
    <w:multiLevelType w:val="hybridMultilevel"/>
    <w:lvl w:ilvl="0">
      <w:lvlJc w:val="left"/>
      <w:lvlText w:val="%1:"/>
      <w:numFmt w:val="upperLetter"/>
      <w:start w:val="1"/>
    </w:lvl>
  </w:abstractNum>
  <w:abstractNum w:abstractNumId="33">
    <w:nsid w:val="76272110"/>
    <w:multiLevelType w:val="hybridMultilevel"/>
    <w:lvl w:ilvl="0">
      <w:lvlJc w:val="left"/>
      <w:lvlText w:val="%1:"/>
      <w:numFmt w:val="upperLetter"/>
      <w:start w:val="17"/>
    </w:lvl>
  </w:abstractNum>
  <w:abstractNum w:abstractNumId="34">
    <w:nsid w:val="4C04A8AF"/>
    <w:multiLevelType w:val="hybridMultilevel"/>
    <w:lvl w:ilvl="0">
      <w:lvlJc w:val="left"/>
      <w:lvlText w:val="%1:"/>
      <w:numFmt w:val="upperLetter"/>
      <w:start w:val="1"/>
    </w:lvl>
  </w:abstractNum>
  <w:abstractNum w:abstractNumId="35">
    <w:nsid w:val="1716703B"/>
    <w:multiLevelType w:val="hybridMultilevel"/>
    <w:lvl w:ilvl="0">
      <w:lvlJc w:val="left"/>
      <w:lvlText w:val="%1:"/>
      <w:numFmt w:val="upperLetter"/>
      <w:start w:val="17"/>
    </w:lvl>
  </w:abstractNum>
  <w:abstractNum w:abstractNumId="36">
    <w:nsid w:val="14E17E33"/>
    <w:multiLevelType w:val="hybridMultilevel"/>
    <w:lvl w:ilvl="0">
      <w:lvlJc w:val="left"/>
      <w:lvlText w:val="%1:"/>
      <w:numFmt w:val="upperLetter"/>
      <w:start w:val="1"/>
    </w:lvl>
  </w:abstractNum>
  <w:abstractNum w:abstractNumId="37">
    <w:nsid w:val="3222E7CD"/>
    <w:multiLevelType w:val="hybridMultilevel"/>
    <w:lvl w:ilvl="0">
      <w:lvlJc w:val="left"/>
      <w:lvlText w:val="%1:"/>
      <w:numFmt w:val="upperLetter"/>
      <w:start w:val="17"/>
    </w:lvl>
  </w:abstractNum>
  <w:abstractNum w:abstractNumId="38">
    <w:nsid w:val="74DE0EE3"/>
    <w:multiLevelType w:val="hybridMultilevel"/>
    <w:lvl w:ilvl="0">
      <w:lvlJc w:val="left"/>
      <w:lvlText w:val="%1:"/>
      <w:numFmt w:val="upperLetter"/>
      <w:start w:val="1"/>
    </w:lvl>
  </w:abstractNum>
  <w:abstractNum w:abstractNumId="39">
    <w:nsid w:val="68EBC550"/>
    <w:multiLevelType w:val="hybridMultilevel"/>
    <w:lvl w:ilvl="0">
      <w:lvlJc w:val="left"/>
      <w:lvlText w:val="%1:"/>
      <w:numFmt w:val="upperLetter"/>
      <w:start w:val="17"/>
    </w:lvl>
  </w:abstractNum>
  <w:abstractNum w:abstractNumId="40">
    <w:nsid w:val="2DF6D648"/>
    <w:multiLevelType w:val="hybridMultilevel"/>
    <w:lvl w:ilvl="0">
      <w:lvlJc w:val="left"/>
      <w:lvlText w:val="%1:"/>
      <w:numFmt w:val="upperLetter"/>
      <w:start w:val="1"/>
    </w:lvl>
  </w:abstractNum>
  <w:abstractNum w:abstractNumId="41">
    <w:nsid w:val="46B7D447"/>
    <w:multiLevelType w:val="hybridMultilevel"/>
    <w:lvl w:ilvl="0">
      <w:lvlJc w:val="left"/>
      <w:lvlText w:val="%1:"/>
      <w:numFmt w:val="upperLetter"/>
      <w:start w:val="17"/>
    </w:lvl>
  </w:abstractNum>
  <w:abstractNum w:abstractNumId="42">
    <w:nsid w:val="4A2AC315"/>
    <w:multiLevelType w:val="hybridMultilevel"/>
    <w:lvl w:ilvl="0">
      <w:lvlJc w:val="left"/>
      <w:lvlText w:val="%1:"/>
      <w:numFmt w:val="upperLetter"/>
      <w:start w:val="1"/>
    </w:lvl>
  </w:abstractNum>
  <w:abstractNum w:abstractNumId="43">
    <w:nsid w:val="39EE015C"/>
    <w:multiLevelType w:val="hybridMultilevel"/>
    <w:lvl w:ilvl="0">
      <w:lvlJc w:val="left"/>
      <w:lvlText w:val="%1:"/>
      <w:numFmt w:val="upperLetter"/>
      <w:start w:val="17"/>
    </w:lvl>
  </w:abstractNum>
  <w:abstractNum w:abstractNumId="44">
    <w:nsid w:val="57FC4FBB"/>
    <w:multiLevelType w:val="hybridMultilevel"/>
    <w:lvl w:ilvl="0">
      <w:lvlJc w:val="left"/>
      <w:lvlText w:val="%1:"/>
      <w:numFmt w:val="upperLetter"/>
      <w:start w:val="1"/>
    </w:lvl>
  </w:abstractNum>
  <w:abstractNum w:abstractNumId="45">
    <w:nsid w:val="CC1016F"/>
    <w:multiLevelType w:val="hybridMultilevel"/>
    <w:lvl w:ilvl="0">
      <w:lvlJc w:val="left"/>
      <w:lvlText w:val="%1:"/>
      <w:numFmt w:val="upperLetter"/>
      <w:start w:val="17"/>
    </w:lvl>
  </w:abstractNum>
  <w:abstractNum w:abstractNumId="46">
    <w:nsid w:val="43F18422"/>
    <w:multiLevelType w:val="hybridMultilevel"/>
    <w:lvl w:ilvl="0">
      <w:lvlJc w:val="left"/>
      <w:lvlText w:val="%1:"/>
      <w:numFmt w:val="upperLetter"/>
      <w:start w:val="1"/>
    </w:lvl>
  </w:abstractNum>
  <w:abstractNum w:abstractNumId="47">
    <w:nsid w:val="60EF0119"/>
    <w:multiLevelType w:val="hybridMultilevel"/>
    <w:lvl w:ilvl="0">
      <w:lvlJc w:val="left"/>
      <w:lvlText w:val="%1:"/>
      <w:numFmt w:val="upperLetter"/>
      <w:start w:val="17"/>
    </w:lvl>
  </w:abstractNum>
  <w:abstractNum w:abstractNumId="48">
    <w:nsid w:val="26F324BA"/>
    <w:multiLevelType w:val="hybridMultilevel"/>
    <w:lvl w:ilvl="0">
      <w:lvlJc w:val="left"/>
      <w:lvlText w:val="%1:"/>
      <w:numFmt w:val="upperLetter"/>
      <w:start w:val="1"/>
    </w:lvl>
  </w:abstractNum>
  <w:abstractNum w:abstractNumId="49">
    <w:nsid w:val="7F01579B"/>
    <w:multiLevelType w:val="hybridMultilevel"/>
    <w:lvl w:ilvl="0">
      <w:lvlJc w:val="left"/>
      <w:lvlText w:val="%1:"/>
      <w:numFmt w:val="upperLetter"/>
      <w:start w:val="17"/>
    </w:lvl>
  </w:abstractNum>
  <w:abstractNum w:abstractNumId="50">
    <w:nsid w:val="49DA307D"/>
    <w:multiLevelType w:val="hybridMultilevel"/>
    <w:lvl w:ilvl="0">
      <w:lvlJc w:val="left"/>
      <w:lvlText w:val="%1:"/>
      <w:numFmt w:val="upperLetter"/>
      <w:start w:val="1"/>
    </w:lvl>
  </w:abstractNum>
  <w:abstractNum w:abstractNumId="51">
    <w:nsid w:val="7055A5F5"/>
    <w:multiLevelType w:val="hybridMultilevel"/>
    <w:lvl w:ilvl="0">
      <w:lvlJc w:val="left"/>
      <w:lvlText w:val="%1:"/>
      <w:numFmt w:val="upperLetter"/>
      <w:start w:val="17"/>
    </w:lvl>
  </w:abstractNum>
  <w:abstractNum w:abstractNumId="52">
    <w:nsid w:val="5FB8370B"/>
    <w:multiLevelType w:val="hybridMultilevel"/>
    <w:lvl w:ilvl="0">
      <w:lvlJc w:val="left"/>
      <w:lvlText w:val="%1:"/>
      <w:numFmt w:val="upperLetter"/>
      <w:start w:val="1"/>
    </w:lvl>
  </w:abstractNum>
  <w:abstractNum w:abstractNumId="53">
    <w:nsid w:val="50801EE1"/>
    <w:multiLevelType w:val="hybridMultilevel"/>
    <w:lvl w:ilvl="0">
      <w:lvlJc w:val="left"/>
      <w:lvlText w:val="(%1)"/>
      <w:numFmt w:val="decimal"/>
      <w:start w:val="1"/>
    </w:lvl>
  </w:abstractNum>
  <w:abstractNum w:abstractNumId="54">
    <w:nsid w:val="488AC1A"/>
    <w:multiLevelType w:val="hybridMultilevel"/>
    <w:lvl w:ilvl="0">
      <w:lvlJc w:val="left"/>
      <w:lvlText w:val="●"/>
      <w:numFmt w:val="bullet"/>
      <w:start w:val="1"/>
    </w:lvl>
  </w:abstractNum>
  <w:abstractNum w:abstractNumId="55">
    <w:nsid w:val="5FB8011C"/>
    <w:multiLevelType w:val="hybridMultilevel"/>
    <w:lvl w:ilvl="0">
      <w:lvlJc w:val="left"/>
      <w:lvlText w:val="●"/>
      <w:numFmt w:val="bullet"/>
      <w:start w:val="1"/>
    </w:lvl>
  </w:abstractNum>
  <w:abstractNum w:abstractNumId="56">
    <w:nsid w:val="6AA78F7F"/>
    <w:multiLevelType w:val="hybridMultilevel"/>
    <w:lvl w:ilvl="0">
      <w:lvlJc w:val="left"/>
      <w:lvlText w:val="●"/>
      <w:numFmt w:val="bullet"/>
      <w:start w:val="1"/>
    </w:lvl>
  </w:abstractNum>
  <w:abstractNum w:abstractNumId="57">
    <w:nsid w:val="7672BD23"/>
    <w:multiLevelType w:val="hybridMultilevel"/>
    <w:lvl w:ilvl="0">
      <w:lvlJc w:val="left"/>
      <w:lvlText w:val="(%1)"/>
      <w:numFmt w:val="decimal"/>
      <w:start w:val="1"/>
    </w:lvl>
  </w:abstractNum>
  <w:abstractNum w:abstractNumId="58">
    <w:nsid w:val="6FC75AF8"/>
    <w:multiLevelType w:val="hybridMultilevel"/>
    <w:lvl w:ilvl="0">
      <w:lvlJc w:val="left"/>
      <w:lvlText w:val="●"/>
      <w:numFmt w:val="bullet"/>
      <w:start w:val="1"/>
    </w:lvl>
  </w:abstractNum>
  <w:abstractNum w:abstractNumId="59">
    <w:nsid w:val="6A5F7029"/>
    <w:multiLevelType w:val="hybridMultilevel"/>
    <w:lvl w:ilvl="0">
      <w:lvlJc w:val="left"/>
      <w:lvlText w:val="(%1)"/>
      <w:numFmt w:val="decimal"/>
      <w:start w:val="1"/>
    </w:lvl>
  </w:abstractNum>
  <w:abstractNum w:abstractNumId="60">
    <w:nsid w:val="7D5E18F8"/>
    <w:multiLevelType w:val="hybridMultilevel"/>
    <w:lvl w:ilvl="0">
      <w:lvlJc w:val="left"/>
      <w:lvlText w:val="(%1)"/>
      <w:numFmt w:val="decimal"/>
      <w:start w:val="1"/>
    </w:lvl>
  </w:abstractNum>
  <w:abstractNum w:abstractNumId="61">
    <w:nsid w:val="5F3534A4"/>
    <w:multiLevelType w:val="hybridMultilevel"/>
    <w:lvl w:ilvl="0">
      <w:lvlJc w:val="left"/>
      <w:lvlText w:val="●"/>
      <w:numFmt w:val="bullet"/>
      <w:start w:val="1"/>
    </w:lvl>
  </w:abstractNum>
  <w:abstractNum w:abstractNumId="62">
    <w:nsid w:val="73A1821B"/>
    <w:multiLevelType w:val="hybridMultilevel"/>
    <w:lvl w:ilvl="0">
      <w:lvlJc w:val="left"/>
      <w:lvlText w:val="●"/>
      <w:numFmt w:val="bullet"/>
      <w:start w:val="1"/>
    </w:lvl>
  </w:abstractNum>
  <w:abstractNum w:abstractNumId="63">
    <w:nsid w:val="7DE67713"/>
    <w:multiLevelType w:val="hybridMultilevel"/>
    <w:lvl w:ilvl="0">
      <w:lvlJc w:val="left"/>
      <w:lvlText w:val="●"/>
      <w:numFmt w:val="bullet"/>
      <w:start w:val="1"/>
    </w:lvl>
  </w:abstractNum>
  <w:abstractNum w:abstractNumId="64">
    <w:nsid w:val="555C55B5"/>
    <w:multiLevelType w:val="hybridMultilevel"/>
    <w:lvl w:ilvl="0">
      <w:lvlJc w:val="left"/>
      <w:lvlText w:val="●"/>
      <w:numFmt w:val="bullet"/>
      <w:start w:val="1"/>
    </w:lvl>
  </w:abstractNum>
  <w:abstractNum w:abstractNumId="65">
    <w:nsid w:val="3FA62ACA"/>
    <w:multiLevelType w:val="hybridMultilevel"/>
    <w:lvl w:ilvl="0">
      <w:lvlJc w:val="left"/>
      <w:lvlText w:val="●"/>
      <w:numFmt w:val="bullet"/>
      <w:start w:val="1"/>
    </w:lvl>
  </w:abstractNum>
  <w:abstractNum w:abstractNumId="66">
    <w:nsid w:val="14FCE74E"/>
    <w:multiLevelType w:val="hybridMultilevel"/>
    <w:lvl w:ilvl="0">
      <w:lvlJc w:val="left"/>
      <w:lvlText w:val="●"/>
      <w:numFmt w:val="bullet"/>
      <w:start w:val="1"/>
    </w:lvl>
  </w:abstractNum>
  <w:abstractNum w:abstractNumId="67">
    <w:nsid w:val="6A3DD3E8"/>
    <w:multiLevelType w:val="hybridMultilevel"/>
    <w:lvl w:ilvl="0">
      <w:lvlJc w:val="left"/>
      <w:lvlText w:val="●"/>
      <w:numFmt w:val="bullet"/>
      <w:start w:val="1"/>
    </w:lvl>
  </w:abstractNum>
  <w:abstractNum w:abstractNumId="68">
    <w:nsid w:val="71C91298"/>
    <w:multiLevelType w:val="hybridMultilevel"/>
    <w:lvl w:ilvl="0">
      <w:lvlJc w:val="left"/>
      <w:lvlText w:val="●"/>
      <w:numFmt w:val="bullet"/>
      <w:start w:val="1"/>
    </w:lvl>
  </w:abstractNum>
  <w:abstractNum w:abstractNumId="69">
    <w:nsid w:val="9DAF632"/>
    <w:multiLevelType w:val="hybridMultilevel"/>
    <w:lvl w:ilvl="0">
      <w:lvlJc w:val="left"/>
      <w:lvlText w:val="●"/>
      <w:numFmt w:val="bullet"/>
      <w:start w:val="1"/>
    </w:lvl>
  </w:abstractNum>
  <w:abstractNum w:abstractNumId="70">
    <w:nsid w:val="53299938"/>
    <w:multiLevelType w:val="hybridMultilevel"/>
    <w:lvl w:ilvl="0">
      <w:lvlJc w:val="left"/>
      <w:lvlText w:val="●"/>
      <w:numFmt w:val="bullet"/>
      <w:start w:val="1"/>
    </w:lvl>
  </w:abstractNum>
  <w:abstractNum w:abstractNumId="71">
    <w:nsid w:val="1FBFE8E0"/>
    <w:multiLevelType w:val="hybridMultilevel"/>
    <w:lvl w:ilvl="0">
      <w:lvlJc w:val="left"/>
      <w:lvlText w:val="●"/>
      <w:numFmt w:val="bullet"/>
      <w:start w:val="1"/>
    </w:lvl>
  </w:abstractNum>
  <w:abstractNum w:abstractNumId="72">
    <w:nsid w:val="5092CA79"/>
    <w:multiLevelType w:val="hybridMultilevel"/>
    <w:lvl w:ilvl="0">
      <w:lvlJc w:val="left"/>
      <w:lvlText w:val="●"/>
      <w:numFmt w:val="bullet"/>
      <w:start w:val="1"/>
    </w:lvl>
  </w:abstractNum>
  <w:abstractNum w:abstractNumId="73">
    <w:nsid w:val="1D545C4D"/>
    <w:multiLevelType w:val="hybridMultilevel"/>
    <w:lvl w:ilvl="0">
      <w:lvlJc w:val="left"/>
      <w:lvlText w:val="●"/>
      <w:numFmt w:val="bullet"/>
      <w:start w:val="1"/>
    </w:lvl>
  </w:abstractNum>
  <w:abstractNum w:abstractNumId="74">
    <w:nsid w:val="59ADEA3D"/>
    <w:multiLevelType w:val="hybridMultilevel"/>
    <w:lvl w:ilvl="0">
      <w:lvlJc w:val="left"/>
      <w:lvlText w:val="(%1)"/>
      <w:numFmt w:val="decimal"/>
      <w:start w:val="1"/>
    </w:lvl>
  </w:abstractNum>
  <w:abstractNum w:abstractNumId="75">
    <w:nsid w:val="288F1A34"/>
    <w:multiLevelType w:val="hybridMultilevel"/>
    <w:lvl w:ilvl="0">
      <w:lvlJc w:val="left"/>
      <w:lvlText w:val="●"/>
      <w:numFmt w:val="bullet"/>
      <w:start w:val="1"/>
    </w:lvl>
  </w:abstractNum>
  <w:abstractNum w:abstractNumId="76">
    <w:nsid w:val="2A155DBC"/>
    <w:multiLevelType w:val="hybridMultilevel"/>
    <w:lvl w:ilvl="0">
      <w:lvlJc w:val="left"/>
      <w:lvlText w:val="☑"/>
      <w:numFmt w:val="bullet"/>
      <w:start w:val="1"/>
    </w:lvl>
  </w:abstractNum>
  <w:abstractNum w:abstractNumId="77">
    <w:nsid w:val="1D9F6E5F"/>
    <w:multiLevelType w:val="hybridMultilevel"/>
    <w:lvl w:ilvl="0">
      <w:lvlJc w:val="left"/>
      <w:lvlText w:val="⌧"/>
      <w:numFmt w:val="bullet"/>
      <w:start w:val="1"/>
    </w:lvl>
  </w:abstractNum>
  <w:abstractNum w:abstractNumId="78">
    <w:nsid w:val="97E1B4E"/>
    <w:multiLevelType w:val="hybridMultilevel"/>
    <w:lvl w:ilvl="0">
      <w:lvlJc w:val="left"/>
      <w:lvlText w:val="●"/>
      <w:numFmt w:val="bullet"/>
      <w:start w:val="1"/>
    </w:lvl>
  </w:abstractNum>
  <w:abstractNum w:abstractNumId="79">
    <w:nsid w:val="51088277"/>
    <w:multiLevelType w:val="hybridMultilevel"/>
    <w:lvl w:ilvl="0">
      <w:lvlJc w:val="left"/>
      <w:lvlText w:val="●"/>
      <w:numFmt w:val="bullet"/>
      <w:start w:val="1"/>
    </w:lvl>
  </w:abstractNum>
  <w:abstractNum w:abstractNumId="80">
    <w:nsid w:val="1CA0C5FA"/>
    <w:multiLevelType w:val="hybridMultilevel"/>
    <w:lvl w:ilvl="0">
      <w:lvlJc w:val="left"/>
      <w:lvlText w:val="●"/>
      <w:numFmt w:val="bullet"/>
      <w:start w:val="1"/>
    </w:lvl>
    <w:lvl w:ilvl="1">
      <w:lvlJc w:val="left"/>
      <w:lvlText w:val="(%2)"/>
      <w:numFmt w:val="lowerRoman"/>
      <w:start w:val="1"/>
    </w:lvl>
  </w:abstractNum>
  <w:abstractNum w:abstractNumId="81">
    <w:nsid w:val="53584BCB"/>
    <w:multiLevelType w:val="hybridMultilevel"/>
    <w:lvl w:ilvl="0">
      <w:lvlJc w:val="left"/>
      <w:lvlText w:val="●"/>
      <w:numFmt w:val="bullet"/>
      <w:start w:val="1"/>
    </w:lvl>
  </w:abstractNum>
  <w:abstractNum w:abstractNumId="82">
    <w:nsid w:val="415E286C"/>
    <w:multiLevelType w:val="hybridMultilevel"/>
    <w:lvl w:ilvl="0">
      <w:lvlJc w:val="left"/>
      <w:lvlText w:val="(%1)"/>
      <w:numFmt w:val="decimal"/>
      <w:start w:val="1"/>
    </w:lvl>
  </w:abstractNum>
  <w:abstractNum w:abstractNumId="83">
    <w:nsid w:val="7C58FD05"/>
    <w:multiLevelType w:val="hybridMultilevel"/>
    <w:lvl w:ilvl="0">
      <w:lvlJc w:val="left"/>
      <w:lvlText w:val="(%1)"/>
      <w:numFmt w:val="decimal"/>
      <w:start w:val="1"/>
    </w:lvl>
  </w:abstractNum>
  <w:abstractNum w:abstractNumId="84">
    <w:nsid w:val="23D86AAC"/>
    <w:multiLevelType w:val="hybridMultilevel"/>
    <w:lvl w:ilvl="0">
      <w:lvlJc w:val="left"/>
      <w:lvlText w:val="(%1)"/>
      <w:numFmt w:val="decimal"/>
      <w:start w:val="2"/>
    </w:lvl>
  </w:abstractNum>
  <w:abstractNum w:abstractNumId="85">
    <w:nsid w:val="45E6D486"/>
    <w:multiLevelType w:val="hybridMultilevel"/>
    <w:lvl w:ilvl="0">
      <w:lvlJc w:val="left"/>
      <w:lvlText w:val="(%1)"/>
      <w:numFmt w:val="decimal"/>
      <w:start w:val="1"/>
    </w:lvl>
  </w:abstractNum>
  <w:abstractNum w:abstractNumId="86">
    <w:nsid w:val="5C10FE21"/>
    <w:multiLevelType w:val="hybridMultilevel"/>
    <w:lvl w:ilvl="0">
      <w:lvlJc w:val="left"/>
      <w:lvlText w:val="(%1)"/>
      <w:numFmt w:val="decimal"/>
      <w:start w:val="1"/>
    </w:lvl>
    <w:lvl w:ilvl="1">
      <w:lvlJc w:val="left"/>
      <w:lvlText w:val="●"/>
      <w:numFmt w:val="bullet"/>
      <w:start w:val="1"/>
    </w:lvl>
  </w:abstractNum>
  <w:abstractNum w:abstractNumId="87">
    <w:nsid w:val="E7FFA2B"/>
    <w:multiLevelType w:val="hybridMultilevel"/>
    <w:lvl w:ilvl="0">
      <w:lvlJc w:val="left"/>
      <w:lvlText w:val="(%1)"/>
      <w:numFmt w:val="decimal"/>
      <w:start w:val="1"/>
    </w:lvl>
  </w:abstractNum>
  <w:abstractNum w:abstractNumId="88">
    <w:nsid w:val="3C5991AA"/>
    <w:multiLevelType w:val="hybridMultilevel"/>
    <w:lvl w:ilvl="0">
      <w:lvlJc w:val="left"/>
      <w:lvlText w:val="(%1)"/>
      <w:numFmt w:val="decimal"/>
      <w:start w:val="1"/>
    </w:lvl>
  </w:abstractNum>
  <w:abstractNum w:abstractNumId="89">
    <w:nsid w:val="4BD8591A"/>
    <w:multiLevelType w:val="hybridMultilevel"/>
    <w:lvl w:ilvl="0">
      <w:lvlJc w:val="left"/>
      <w:lvlText w:val="(%1)"/>
      <w:numFmt w:val="decimal"/>
      <w:start w:val="1"/>
    </w:lvl>
  </w:abstractNum>
  <w:abstractNum w:abstractNumId="90">
    <w:nsid w:val="78DF6A55"/>
    <w:multiLevelType w:val="hybridMultilevel"/>
    <w:lvl w:ilvl="0">
      <w:lvlJc w:val="left"/>
      <w:lvlText w:val="(%1)"/>
      <w:numFmt w:val="decimal"/>
      <w:start w:val="1"/>
    </w:lvl>
  </w:abstractNum>
  <w:abstractNum w:abstractNumId="91">
    <w:nsid w:val="39B7AAA2"/>
    <w:multiLevelType w:val="hybridMultilevel"/>
    <w:lvl w:ilvl="0">
      <w:lvlJc w:val="left"/>
      <w:lvlText w:val="(%1)"/>
      <w:numFmt w:val="decimal"/>
      <w:start w:val="3"/>
    </w:lvl>
  </w:abstractNum>
  <w:abstractNum w:abstractNumId="92">
    <w:nsid w:val="2B0D8DBE"/>
    <w:multiLevelType w:val="hybridMultilevel"/>
    <w:lvl w:ilvl="0">
      <w:lvlJc w:val="left"/>
      <w:lvlText w:val="(%1)"/>
      <w:numFmt w:val="decimal"/>
      <w:start w:val="2"/>
    </w:lvl>
  </w:abstractNum>
  <w:abstractNum w:abstractNumId="93">
    <w:nsid w:val="6C80EC70"/>
    <w:multiLevelType w:val="hybridMultilevel"/>
    <w:lvl w:ilvl="0">
      <w:lvlJc w:val="left"/>
      <w:lvlText w:val="(%1)"/>
      <w:numFmt w:val="decimal"/>
      <w:start w:val="3"/>
    </w:lvl>
  </w:abstractNum>
  <w:abstractNum w:abstractNumId="94">
    <w:nsid w:val="379E21B5"/>
    <w:multiLevelType w:val="hybridMultilevel"/>
    <w:lvl w:ilvl="0">
      <w:lvlJc w:val="left"/>
      <w:lvlText w:val="(%1)"/>
      <w:numFmt w:val="decimal"/>
      <w:start w:val="4"/>
    </w:lvl>
  </w:abstractNum>
  <w:abstractNum w:abstractNumId="95">
    <w:nsid w:val="69E373"/>
    <w:multiLevelType w:val="hybridMultilevel"/>
    <w:lvl w:ilvl="0">
      <w:lvlJc w:val="left"/>
      <w:lvlText w:val="(%1)"/>
      <w:numFmt w:val="decimal"/>
      <w:start w:val="1"/>
    </w:lvl>
  </w:abstractNum>
  <w:abstractNum w:abstractNumId="96">
    <w:nsid w:val="2C27173B"/>
    <w:multiLevelType w:val="hybridMultilevel"/>
    <w:lvl w:ilvl="0">
      <w:lvlJc w:val="left"/>
      <w:lvlText w:val="*"/>
      <w:numFmt w:val="bullet"/>
      <w:start w:val="1"/>
    </w:lvl>
  </w:abstractNum>
  <w:abstractNum w:abstractNumId="97">
    <w:nsid w:val="4C9B0904"/>
    <w:multiLevelType w:val="hybridMultilevel"/>
    <w:lvl w:ilvl="0">
      <w:lvlJc w:val="left"/>
      <w:lvlText w:val="(%1)"/>
      <w:numFmt w:val="decimal"/>
      <w:start w:val="1"/>
    </w:lvl>
  </w:abstractNum>
  <w:abstractNum w:abstractNumId="98">
    <w:nsid w:val="6AA7B75C"/>
    <w:multiLevelType w:val="hybridMultilevel"/>
    <w:lvl w:ilvl="0">
      <w:lvlJc w:val="left"/>
      <w:lvlText w:val="(%1)"/>
      <w:numFmt w:val="decimal"/>
      <w:start w:val="4"/>
    </w:lvl>
  </w:abstractNum>
  <w:abstractNum w:abstractNumId="99">
    <w:nsid w:val="1DF029D3"/>
    <w:multiLevelType w:val="hybridMultilevel"/>
    <w:lvl w:ilvl="0">
      <w:lvlJc w:val="left"/>
      <w:lvlText w:val="(%1)"/>
      <w:numFmt w:val="decimal"/>
      <w:start w:val="1"/>
    </w:lvl>
  </w:abstractNum>
  <w:abstractNum w:abstractNumId="100">
    <w:nsid w:val="5675FF36"/>
    <w:multiLevelType w:val="hybridMultilevel"/>
    <w:lvl w:ilvl="0">
      <w:lvlJc w:val="left"/>
      <w:lvlText w:val="●"/>
      <w:numFmt w:val="bullet"/>
      <w:start w:val="1"/>
    </w:lvl>
  </w:abstractNum>
  <w:abstractNum w:abstractNumId="101">
    <w:nsid w:val="3DD15094"/>
    <w:multiLevelType w:val="hybridMultilevel"/>
    <w:lvl w:ilvl="0">
      <w:lvlJc w:val="left"/>
      <w:lvlText w:val="●"/>
      <w:numFmt w:val="bullet"/>
      <w:start w:val="1"/>
    </w:lvl>
  </w:abstractNum>
  <w:abstractNum w:abstractNumId="102">
    <w:nsid w:val="3DB012B3"/>
    <w:multiLevelType w:val="hybridMultilevel"/>
    <w:lvl w:ilvl="0">
      <w:lvlJc w:val="left"/>
      <w:lvlText w:val="(%1)"/>
      <w:numFmt w:val="lowerRoman"/>
      <w:start w:val="2"/>
    </w:lvl>
  </w:abstractNum>
  <w:abstractNum w:abstractNumId="103">
    <w:nsid w:val="2708C9AF"/>
    <w:multiLevelType w:val="hybridMultilevel"/>
    <w:lvl w:ilvl="0">
      <w:lvlJc w:val="left"/>
      <w:lvlText w:val="(%1)"/>
      <w:numFmt w:val="lowerRoman"/>
      <w:start w:val="1"/>
    </w:lvl>
  </w:abstractNum>
  <w:abstractNum w:abstractNumId="104">
    <w:nsid w:val="5B25ACE2"/>
    <w:multiLevelType w:val="hybridMultilevel"/>
    <w:lvl w:ilvl="0">
      <w:lvlJc w:val="left"/>
      <w:lvlText w:val="(%1)"/>
      <w:numFmt w:val="lowerLetter"/>
      <w:start w:val="1"/>
    </w:lvl>
  </w:abstractNum>
  <w:abstractNum w:abstractNumId="105">
    <w:nsid w:val="175DFCF0"/>
    <w:multiLevelType w:val="hybridMultilevel"/>
    <w:lvl w:ilvl="0">
      <w:lvlJc w:val="left"/>
      <w:lvlText w:val="(%1)"/>
      <w:numFmt w:val="lowerLetter"/>
      <w:start w:val="5"/>
    </w:lvl>
  </w:abstractNum>
  <w:abstractNum w:abstractNumId="106">
    <w:nsid w:val="4F97E3E4"/>
    <w:multiLevelType w:val="hybridMultilevel"/>
    <w:lvl w:ilvl="0">
      <w:lvlJc w:val="left"/>
      <w:lvlText w:val="(%1)"/>
      <w:numFmt w:val="decimal"/>
      <w:start w:val="1"/>
    </w:lvl>
  </w:abstractNum>
  <w:abstractNum w:abstractNumId="107">
    <w:nsid w:val="53B0A9E"/>
    <w:multiLevelType w:val="hybridMultilevel"/>
    <w:lvl w:ilvl="0">
      <w:lvlJc w:val="left"/>
      <w:lvlText w:val="(%1)"/>
      <w:numFmt w:val="lowerLetter"/>
      <w:start w:val="1"/>
    </w:lvl>
  </w:abstractNum>
  <w:abstractNum w:abstractNumId="108">
    <w:nsid w:val="34FD6B4F"/>
    <w:multiLevelType w:val="hybridMultilevel"/>
    <w:lvl w:ilvl="0">
      <w:lvlJc w:val="left"/>
      <w:lvlText w:val="(%1)"/>
      <w:numFmt w:val="lowerLetter"/>
      <w:start w:val="2"/>
    </w:lvl>
    <w:lvl w:ilvl="1">
      <w:lvlJc w:val="left"/>
      <w:lvlText w:val="(%2)"/>
      <w:numFmt w:val="decimal"/>
      <w:start w:val="1"/>
    </w:lvl>
  </w:abstractNum>
  <w:abstractNum w:abstractNumId="109">
    <w:nsid w:val="5915FF32"/>
    <w:multiLevelType w:val="hybridMultilevel"/>
    <w:lvl w:ilvl="0">
      <w:lvlJc w:val="left"/>
      <w:lvlText w:val="(%1)"/>
      <w:numFmt w:val="lowerLetter"/>
      <w:start w:val="1"/>
    </w:lvl>
  </w:abstractNum>
  <w:abstractNum w:abstractNumId="110">
    <w:nsid w:val="56438D15"/>
    <w:multiLevelType w:val="hybridMultilevel"/>
    <w:lvl w:ilvl="0">
      <w:lvlJc w:val="left"/>
      <w:lvlText w:val="(%1)"/>
      <w:numFmt w:val="lowerLetter"/>
      <w:start w:val="2"/>
    </w:lvl>
  </w:abstractNum>
  <w:abstractNum w:abstractNumId="111">
    <w:nsid w:val="519E3149"/>
    <w:multiLevelType w:val="hybridMultilevel"/>
    <w:lvl w:ilvl="0">
      <w:lvlJc w:val="left"/>
      <w:lvlText w:val="(%1)"/>
      <w:numFmt w:val="lowerLetter"/>
      <w:start w:val="1"/>
    </w:lvl>
  </w:abstractNum>
  <w:abstractNum w:abstractNumId="112">
    <w:nsid w:val="2C6E4AFD"/>
    <w:multiLevelType w:val="hybridMultilevel"/>
    <w:lvl w:ilvl="0">
      <w:lvlJc w:val="left"/>
      <w:lvlText w:val="(%1)"/>
      <w:numFmt w:val="lowerLetter"/>
      <w:start w:val="3"/>
    </w:lvl>
  </w:abstractNum>
  <w:abstractNum w:abstractNumId="113">
    <w:nsid w:val="17A1B582"/>
    <w:multiLevelType w:val="hybridMultilevel"/>
    <w:lvl w:ilvl="0">
      <w:lvlJc w:val="left"/>
      <w:lvlText w:val="(%1)"/>
      <w:numFmt w:val="lowerLetter"/>
      <w:start w:val="1"/>
    </w:lvl>
  </w:abstractNum>
  <w:abstractNum w:abstractNumId="114">
    <w:nsid w:val="4DF72E4E"/>
    <w:multiLevelType w:val="hybridMultilevel"/>
    <w:lvl w:ilvl="0">
      <w:lvlJc w:val="left"/>
      <w:lvlText w:val="(%1)"/>
      <w:numFmt w:val="lowerLetter"/>
      <w:start w:val="2"/>
    </w:lvl>
  </w:abstractNum>
  <w:abstractNum w:abstractNumId="115">
    <w:nsid w:val="5046B5A9"/>
    <w:multiLevelType w:val="hybridMultilevel"/>
    <w:lvl w:ilvl="0">
      <w:lvlJc w:val="left"/>
      <w:lvlText w:val="(%1)"/>
      <w:numFmt w:val="lowerLetter"/>
      <w:start w:val="1"/>
    </w:lvl>
  </w:abstractNum>
  <w:abstractNum w:abstractNumId="116">
    <w:nsid w:val="5D888A08"/>
    <w:multiLevelType w:val="hybridMultilevel"/>
    <w:lvl w:ilvl="0">
      <w:lvlJc w:val="left"/>
      <w:lvlText w:val="(%1)"/>
      <w:numFmt w:val="lowerLetter"/>
      <w:start w:val="12"/>
    </w:lvl>
    <w:lvl w:ilvl="1">
      <w:lvlJc w:val="left"/>
      <w:lvlText w:val="(%2)"/>
      <w:numFmt w:val="decimal"/>
      <w:start w:val="1"/>
    </w:lvl>
  </w:abstractNum>
  <w:abstractNum w:abstractNumId="117">
    <w:nsid w:val="2A082C70"/>
    <w:multiLevelType w:val="hybridMultilevel"/>
    <w:lvl w:ilvl="0">
      <w:lvlJc w:val="left"/>
      <w:lvlText w:val="(%1)"/>
      <w:numFmt w:val="lowerLetter"/>
      <w:start w:val="9"/>
    </w:lvl>
    <w:lvl w:ilvl="1">
      <w:lvlJc w:val="left"/>
      <w:lvlText w:val="(%2)"/>
      <w:numFmt w:val="lowerLetter"/>
      <w:start w:val="14"/>
    </w:lvl>
    <w:lvl w:ilvl="2">
      <w:lvlJc w:val="left"/>
      <w:lvlText w:val="(%3)"/>
      <w:numFmt w:val="decimal"/>
      <w:start w:val="1"/>
    </w:lvl>
  </w:abstractNum>
  <w:abstractNum w:abstractNumId="118">
    <w:nsid w:val="5EC6AFD4"/>
    <w:multiLevelType w:val="hybridMultilevel"/>
    <w:lvl w:ilvl="0">
      <w:lvlJc w:val="left"/>
      <w:lvlText w:val="(%1)"/>
      <w:numFmt w:val="lowerLetter"/>
      <w:start w:val="23"/>
    </w:lvl>
  </w:abstractNum>
  <w:abstractNum w:abstractNumId="119">
    <w:nsid w:val="19E21BB2"/>
    <w:multiLevelType w:val="hybridMultilevel"/>
    <w:lvl w:ilvl="0">
      <w:lvlJc w:val="left"/>
      <w:lvlText w:val="(%1)"/>
      <w:numFmt w:val="lowerLetter"/>
      <w:start w:val="27"/>
    </w:lvl>
  </w:abstractNum>
  <w:abstractNum w:abstractNumId="120">
    <w:nsid w:val="75E0858A"/>
    <w:multiLevelType w:val="hybridMultilevel"/>
    <w:lvl w:ilvl="0">
      <w:lvlJc w:val="left"/>
      <w:lvlText w:val="(%1)"/>
      <w:numFmt w:val="lowerLetter"/>
      <w:start w:val="39"/>
    </w:lvl>
  </w:abstractNum>
  <w:abstractNum w:abstractNumId="121">
    <w:nsid w:val="57A61A29"/>
    <w:multiLevelType w:val="hybridMultilevel"/>
    <w:lvl w:ilvl="0">
      <w:lvlJc w:val="left"/>
      <w:lvlText w:val="(%1)"/>
      <w:numFmt w:val="lowerLetter"/>
      <w:start w:val="1"/>
    </w:lvl>
    <w:lvl w:ilvl="1">
      <w:lvlJc w:val="left"/>
      <w:lvlText w:val="(%2)"/>
      <w:numFmt w:val="decimal"/>
      <w:start w:val="1"/>
    </w:lvl>
  </w:abstractNum>
  <w:abstractNum w:abstractNumId="122">
    <w:nsid w:val="5399C654"/>
    <w:multiLevelType w:val="hybridMultilevel"/>
    <w:lvl w:ilvl="0">
      <w:lvlJc w:val="left"/>
      <w:lvlText w:val="%1"/>
      <w:numFmt w:val="lowerLetter"/>
      <w:start w:val="1"/>
    </w:lvl>
    <w:lvl w:ilvl="1">
      <w:lvlJc w:val="left"/>
      <w:lvlText w:val="(%2)"/>
      <w:numFmt w:val="decimal"/>
      <w:start w:val="8"/>
    </w:lvl>
  </w:abstractNum>
  <w:abstractNum w:abstractNumId="123">
    <w:nsid w:val="20EE1348"/>
    <w:multiLevelType w:val="hybridMultilevel"/>
    <w:lvl w:ilvl="0">
      <w:lvlJc w:val="left"/>
      <w:lvlText w:val="(%1)"/>
      <w:numFmt w:val="lowerLetter"/>
      <w:start w:val="3"/>
    </w:lvl>
    <w:lvl w:ilvl="1">
      <w:lvlJc w:val="left"/>
      <w:lvlText w:val="%2"/>
      <w:numFmt w:val="decimal"/>
      <w:start w:val="1"/>
    </w:lvl>
  </w:abstractNum>
  <w:abstractNum w:abstractNumId="124">
    <w:nsid w:val="4427069A"/>
    <w:multiLevelType w:val="hybridMultilevel"/>
    <w:lvl w:ilvl="0">
      <w:lvlJc w:val="left"/>
      <w:lvlText w:val="(%1)"/>
      <w:numFmt w:val="lowerLetter"/>
      <w:start w:val="1"/>
    </w:lvl>
  </w:abstractNum>
  <w:abstractNum w:abstractNumId="125">
    <w:nsid w:val="B37E80A"/>
    <w:multiLevelType w:val="hybridMultilevel"/>
    <w:lvl w:ilvl="0">
      <w:lvlJc w:val="left"/>
      <w:lvlText w:val="(%1)"/>
      <w:numFmt w:val="lowerLetter"/>
      <w:start w:val="4"/>
    </w:lvl>
  </w:abstractNum>
  <w:abstractNum w:abstractNumId="126">
    <w:nsid w:val="2157F6BC"/>
    <w:multiLevelType w:val="hybridMultilevel"/>
    <w:lvl w:ilvl="0">
      <w:lvlJc w:val="left"/>
      <w:lvlText w:val="(%1)"/>
      <w:numFmt w:val="lowerLetter"/>
      <w:start w:val="1"/>
    </w:lvl>
  </w:abstractNum>
  <w:abstractNum w:abstractNumId="127">
    <w:nsid w:val="704E1DD5"/>
    <w:multiLevelType w:val="hybridMultilevel"/>
    <w:lvl w:ilvl="0">
      <w:lvlJc w:val="left"/>
      <w:lvlText w:val="(%1)"/>
      <w:numFmt w:val="lowerLetter"/>
      <w:start w:val="4"/>
    </w:lvl>
    <w:lvl w:ilvl="1">
      <w:lvlJc w:val="left"/>
      <w:lvlText w:val="(%2)"/>
      <w:numFmt w:val="decimal"/>
      <w:start w:val="1"/>
    </w:lvl>
  </w:abstractNum>
  <w:abstractNum w:abstractNumId="128">
    <w:nsid w:val="57D2F10E"/>
    <w:multiLevelType w:val="hybridMultilevel"/>
    <w:lvl w:ilvl="0">
      <w:lvlJc w:val="left"/>
      <w:lvlText w:val="(%1)"/>
      <w:numFmt w:val="lowerLetter"/>
      <w:start w:val="1"/>
    </w:lvl>
  </w:abstractNum>
  <w:abstractNum w:abstractNumId="129">
    <w:nsid w:val="BFFAE18"/>
    <w:multiLevelType w:val="hybridMultilevel"/>
    <w:lvl w:ilvl="0">
      <w:lvlJc w:val="left"/>
      <w:lvlText w:val="(%1)"/>
      <w:numFmt w:val="lowerLetter"/>
      <w:start w:val="4"/>
    </w:lvl>
    <w:lvl w:ilvl="1">
      <w:lvlJc w:val="left"/>
      <w:lvlText w:val="(%2)"/>
      <w:numFmt w:val="decimal"/>
      <w:start w:val="1"/>
    </w:lvl>
  </w:abstractNum>
  <w:abstractNum w:abstractNumId="130">
    <w:nsid w:val="E3E47A8"/>
    <w:multiLevelType w:val="hybridMultilevel"/>
    <w:lvl w:ilvl="0">
      <w:lvlJc w:val="left"/>
      <w:lvlText w:val="%1"/>
      <w:numFmt w:val="lowerLetter"/>
      <w:start w:val="1"/>
    </w:lvl>
    <w:lvl w:ilvl="1">
      <w:lvlJc w:val="left"/>
      <w:lvlText w:val="(%2)"/>
      <w:numFmt w:val="decimal"/>
      <w:start w:val="2"/>
    </w:lvl>
  </w:abstractNum>
  <w:abstractNum w:abstractNumId="131">
    <w:nsid w:val="2E48F044"/>
    <w:multiLevelType w:val="hybridMultilevel"/>
    <w:lvl w:ilvl="0">
      <w:lvlJc w:val="left"/>
      <w:lvlText w:val="(%1)"/>
      <w:numFmt w:val="lowerLetter"/>
      <w:start w:val="8"/>
    </w:lvl>
    <w:lvl w:ilvl="1">
      <w:lvlJc w:val="left"/>
      <w:lvlText w:val="%2"/>
      <w:numFmt w:val="decimal"/>
      <w:start w:val="1"/>
    </w:lvl>
  </w:abstractNum>
  <w:abstractNum w:abstractNumId="132">
    <w:nsid w:val="49D0FEAC"/>
    <w:multiLevelType w:val="hybridMultilevel"/>
    <w:lvl w:ilvl="0">
      <w:lvlJc w:val="left"/>
      <w:lvlText w:val="(%1)"/>
      <w:numFmt w:val="lowerLetter"/>
      <w:start w:val="1"/>
    </w:lvl>
  </w:abstractNum>
  <w:abstractNum w:abstractNumId="133">
    <w:nsid w:val="4BEE5A5B"/>
    <w:multiLevelType w:val="hybridMultilevel"/>
    <w:lvl w:ilvl="0">
      <w:lvlJc w:val="left"/>
      <w:lvlText w:val="(%1)"/>
      <w:numFmt w:val="lowerLetter"/>
      <w:start w:val="3"/>
    </w:lvl>
    <w:lvl w:ilvl="1">
      <w:lvlJc w:val="left"/>
      <w:lvlText w:val="(%2)"/>
      <w:numFmt w:val="decimal"/>
      <w:start w:val="1"/>
    </w:lvl>
  </w:abstractNum>
  <w:abstractNum w:abstractNumId="134">
    <w:nsid w:val="5551B9F3"/>
    <w:multiLevelType w:val="hybridMultilevel"/>
    <w:lvl w:ilvl="0">
      <w:lvlJc w:val="left"/>
      <w:lvlText w:val="%1"/>
      <w:numFmt w:val="lowerLetter"/>
      <w:start w:val="1"/>
    </w:lvl>
    <w:lvl w:ilvl="1">
      <w:lvlJc w:val="left"/>
      <w:lvlText w:val="(%2)"/>
      <w:numFmt w:val="decimal"/>
      <w:start w:val="2"/>
    </w:lvl>
  </w:abstractNum>
  <w:abstractNum w:abstractNumId="135">
    <w:nsid w:val="24F6AB8E"/>
    <w:multiLevelType w:val="hybridMultilevel"/>
    <w:lvl w:ilvl="0">
      <w:lvlJc w:val="left"/>
      <w:lvlText w:val="(%1)"/>
      <w:numFmt w:val="lowerLetter"/>
      <w:start w:val="4"/>
    </w:lvl>
    <w:lvl w:ilvl="1">
      <w:lvlJc w:val="left"/>
      <w:lvlText w:val="%2"/>
      <w:numFmt w:val="decimal"/>
      <w:start w:val="1"/>
    </w:lvl>
  </w:abstractNum>
  <w:abstractNum w:abstractNumId="136">
    <w:nsid w:val="634C574C"/>
    <w:multiLevelType w:val="hybridMultilevel"/>
    <w:lvl w:ilvl="0">
      <w:lvlJc w:val="left"/>
      <w:lvlText w:val="(%1)"/>
      <w:numFmt w:val="lowerLetter"/>
      <w:start w:val="1"/>
    </w:lvl>
  </w:abstractNum>
  <w:abstractNum w:abstractNumId="137">
    <w:nsid w:val="24E99DD7"/>
    <w:multiLevelType w:val="hybridMultilevel"/>
    <w:lvl w:ilvl="0">
      <w:lvlJc w:val="left"/>
      <w:lvlText w:val="(%1)"/>
      <w:numFmt w:val="lowerLetter"/>
      <w:start w:val="1"/>
    </w:lvl>
  </w:abstractNum>
  <w:abstractNum w:abstractNumId="138">
    <w:nsid w:val="2A31B62D"/>
    <w:multiLevelType w:val="hybridMultilevel"/>
    <w:lvl w:ilvl="0">
      <w:lvlJc w:val="left"/>
      <w:lvlText w:val="(%1)"/>
      <w:numFmt w:val="lowerLetter"/>
      <w:start w:val="1"/>
    </w:lvl>
  </w:abstractNum>
  <w:abstractNum w:abstractNumId="139">
    <w:nsid w:val="1849C29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jpe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jpe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24" Type="http://schemas.openxmlformats.org/officeDocument/2006/relationships/hyperlink" Target="https://www.sec.gov/Archives/edgar/data/1606366/000119312514332367/d77966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2024-04-16T15:33:19Z</dcterms:created>
  <dcterms:modified xsi:type="dcterms:W3CDTF">2024-04-16T15:33:19Z</dcterms:modified>
</cp:coreProperties>
</file>