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168910</wp:posOffset>
            </wp:positionV>
            <wp:extent cx="1406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254635</wp:posOffset>
            </wp:positionV>
            <wp:extent cx="1406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71"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December 26, 2018</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271"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3" w:lineRule="exact"/>
        <w:rPr>
          <w:sz w:val="24"/>
          <w:szCs w:val="24"/>
          <w:color w:val="auto"/>
        </w:rPr>
      </w:pPr>
    </w:p>
    <w:p>
      <w:pPr>
        <w:ind w:left="408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243840</wp:posOffset>
            </wp:positionV>
            <wp:extent cx="1406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97"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EL POLLO LOCO HOLDINGS, INC.</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00" w:type="dxa"/>
            <w:vAlign w:val="bottom"/>
            <w:gridSpan w:val="5"/>
          </w:tcPr>
          <w:p>
            <w:pPr>
              <w:jc w:val="center"/>
              <w:ind w:left="52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100" w:type="dxa"/>
            <w:vAlign w:val="bottom"/>
          </w:tcPr>
          <w:p>
            <w:pPr>
              <w:spacing w:after="0"/>
              <w:rPr>
                <w:sz w:val="24"/>
                <w:szCs w:val="24"/>
                <w:color w:val="auto"/>
              </w:rPr>
            </w:pPr>
          </w:p>
        </w:tc>
        <w:tc>
          <w:tcPr>
            <w:tcW w:w="5140" w:type="dxa"/>
            <w:vAlign w:val="bottom"/>
            <w:gridSpan w:val="4"/>
          </w:tcPr>
          <w:p>
            <w:pPr>
              <w:jc w:val="center"/>
              <w:ind w:right="4180"/>
              <w:spacing w:after="0"/>
              <w:rPr>
                <w:sz w:val="20"/>
                <w:szCs w:val="20"/>
                <w:color w:val="auto"/>
              </w:rPr>
            </w:pPr>
            <w:r>
              <w:rPr>
                <w:rFonts w:ascii="Arial" w:cs="Arial" w:eastAsia="Arial" w:hAnsi="Arial"/>
                <w:sz w:val="16"/>
                <w:szCs w:val="16"/>
                <w:b w:val="1"/>
                <w:bCs w:val="1"/>
                <w:color w:val="auto"/>
                <w:w w:val="91"/>
              </w:rPr>
              <w:t>Delaware</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2"/>
          </w:tcPr>
          <w:p>
            <w:pPr>
              <w:jc w:val="right"/>
              <w:ind w:right="703"/>
              <w:spacing w:after="0"/>
              <w:rPr>
                <w:sz w:val="20"/>
                <w:szCs w:val="20"/>
                <w:color w:val="auto"/>
              </w:rPr>
            </w:pPr>
            <w:r>
              <w:rPr>
                <w:rFonts w:ascii="Arial" w:cs="Arial" w:eastAsia="Arial" w:hAnsi="Arial"/>
                <w:sz w:val="16"/>
                <w:szCs w:val="16"/>
                <w:b w:val="1"/>
                <w:bCs w:val="1"/>
                <w:color w:val="auto"/>
              </w:rPr>
              <w:t>20-3563182</w:t>
            </w:r>
          </w:p>
        </w:tc>
        <w:tc>
          <w:tcPr>
            <w:tcW w:w="0" w:type="dxa"/>
            <w:vAlign w:val="bottom"/>
          </w:tcPr>
          <w:p>
            <w:pPr>
              <w:spacing w:after="0"/>
              <w:rPr>
                <w:sz w:val="1"/>
                <w:szCs w:val="1"/>
                <w:color w:val="auto"/>
              </w:rPr>
            </w:pPr>
          </w:p>
        </w:tc>
      </w:tr>
      <w:tr>
        <w:trPr>
          <w:trHeight w:val="177"/>
        </w:trPr>
        <w:tc>
          <w:tcPr>
            <w:tcW w:w="7240" w:type="dxa"/>
            <w:vAlign w:val="bottom"/>
            <w:gridSpan w:val="5"/>
          </w:tcPr>
          <w:p>
            <w:pPr>
              <w:jc w:val="center"/>
              <w:ind w:right="2080"/>
              <w:spacing w:after="0"/>
              <w:rPr>
                <w:sz w:val="20"/>
                <w:szCs w:val="20"/>
                <w:color w:val="auto"/>
              </w:rPr>
            </w:pPr>
            <w:r>
              <w:rPr>
                <w:rFonts w:ascii="Arial" w:cs="Arial" w:eastAsia="Arial" w:hAnsi="Arial"/>
                <w:sz w:val="13"/>
                <w:szCs w:val="13"/>
                <w:b w:val="1"/>
                <w:bCs w:val="1"/>
                <w:color w:val="auto"/>
                <w:w w:val="87"/>
              </w:rPr>
              <w:t>State or other jurisdiction of</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gridSpan w:val="2"/>
          </w:tcPr>
          <w:p>
            <w:pPr>
              <w:jc w:val="center"/>
              <w:ind w:right="283"/>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7240" w:type="dxa"/>
            <w:vAlign w:val="bottom"/>
            <w:gridSpan w:val="5"/>
          </w:tcPr>
          <w:p>
            <w:pPr>
              <w:jc w:val="center"/>
              <w:ind w:right="2080"/>
              <w:spacing w:after="0"/>
              <w:rPr>
                <w:sz w:val="20"/>
                <w:szCs w:val="20"/>
                <w:color w:val="auto"/>
              </w:rPr>
            </w:pPr>
            <w:r>
              <w:rPr>
                <w:rFonts w:ascii="Arial" w:cs="Arial" w:eastAsia="Arial" w:hAnsi="Arial"/>
                <w:sz w:val="13"/>
                <w:szCs w:val="13"/>
                <w:b w:val="1"/>
                <w:bCs w:val="1"/>
                <w:color w:val="auto"/>
                <w:w w:val="88"/>
              </w:rPr>
              <w:t>incorporation or organization</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2"/>
          </w:tcPr>
          <w:p>
            <w:pPr>
              <w:jc w:val="center"/>
              <w:ind w:right="283"/>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361"/>
        </w:trPr>
        <w:tc>
          <w:tcPr>
            <w:tcW w:w="7240" w:type="dxa"/>
            <w:vAlign w:val="bottom"/>
            <w:gridSpan w:val="5"/>
          </w:tcPr>
          <w:p>
            <w:pPr>
              <w:jc w:val="center"/>
              <w:ind w:right="2080"/>
              <w:spacing w:after="0"/>
              <w:rPr>
                <w:sz w:val="20"/>
                <w:szCs w:val="20"/>
                <w:color w:val="auto"/>
              </w:rPr>
            </w:pPr>
            <w:r>
              <w:rPr>
                <w:rFonts w:ascii="Arial" w:cs="Arial" w:eastAsia="Arial" w:hAnsi="Arial"/>
                <w:sz w:val="16"/>
                <w:szCs w:val="16"/>
                <w:b w:val="1"/>
                <w:bCs w:val="1"/>
                <w:color w:val="auto"/>
                <w:w w:val="92"/>
              </w:rPr>
              <w:t>3535 Harbor Blvd., Suite 100, Costa Mesa, California</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ind w:right="883"/>
              <w:spacing w:after="0"/>
              <w:rPr>
                <w:sz w:val="20"/>
                <w:szCs w:val="20"/>
                <w:color w:val="auto"/>
              </w:rPr>
            </w:pPr>
            <w:r>
              <w:rPr>
                <w:rFonts w:ascii="Arial" w:cs="Arial" w:eastAsia="Arial" w:hAnsi="Arial"/>
                <w:sz w:val="16"/>
                <w:szCs w:val="16"/>
                <w:b w:val="1"/>
                <w:bCs w:val="1"/>
                <w:color w:val="auto"/>
              </w:rPr>
              <w:t>92626</w:t>
            </w:r>
          </w:p>
        </w:tc>
        <w:tc>
          <w:tcPr>
            <w:tcW w:w="0" w:type="dxa"/>
            <w:vAlign w:val="bottom"/>
          </w:tcPr>
          <w:p>
            <w:pPr>
              <w:spacing w:after="0"/>
              <w:rPr>
                <w:sz w:val="1"/>
                <w:szCs w:val="1"/>
                <w:color w:val="auto"/>
              </w:rPr>
            </w:pPr>
          </w:p>
        </w:tc>
      </w:tr>
      <w:tr>
        <w:trPr>
          <w:trHeight w:val="206"/>
        </w:trPr>
        <w:tc>
          <w:tcPr>
            <w:tcW w:w="7240" w:type="dxa"/>
            <w:vAlign w:val="bottom"/>
            <w:gridSpan w:val="5"/>
          </w:tcPr>
          <w:p>
            <w:pPr>
              <w:jc w:val="center"/>
              <w:ind w:right="208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center"/>
              <w:ind w:right="743"/>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67"/>
        </w:trPr>
        <w:tc>
          <w:tcPr>
            <w:tcW w:w="6820" w:type="dxa"/>
            <w:vAlign w:val="bottom"/>
            <w:gridSpan w:val="4"/>
          </w:tcPr>
          <w:p>
            <w:pPr>
              <w:jc w:val="center"/>
              <w:ind w:left="4526"/>
              <w:spacing w:after="0"/>
              <w:rPr>
                <w:sz w:val="20"/>
                <w:szCs w:val="20"/>
                <w:color w:val="auto"/>
              </w:rPr>
            </w:pPr>
            <w:r>
              <w:rPr>
                <w:rFonts w:ascii="Arial" w:cs="Arial" w:eastAsia="Arial" w:hAnsi="Arial"/>
                <w:sz w:val="16"/>
                <w:szCs w:val="16"/>
                <w:b w:val="1"/>
                <w:bCs w:val="1"/>
                <w:color w:val="auto"/>
                <w:w w:val="93"/>
              </w:rPr>
              <w:t>(714) 599-5000</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180" w:type="dxa"/>
            <w:vAlign w:val="bottom"/>
            <w:gridSpan w:val="3"/>
          </w:tcPr>
          <w:p>
            <w:pPr>
              <w:jc w:val="center"/>
              <w:ind w:left="1063"/>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700" w:type="dxa"/>
            <w:vAlign w:val="bottom"/>
            <w:gridSpan w:val="5"/>
          </w:tcPr>
          <w:p>
            <w:pPr>
              <w:jc w:val="center"/>
              <w:ind w:left="54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210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41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264"/>
        </w:trPr>
        <w:tc>
          <w:tcPr>
            <w:tcW w:w="7240" w:type="dxa"/>
            <w:vAlign w:val="bottom"/>
            <w:gridSpan w:val="5"/>
          </w:tcPr>
          <w:p>
            <w:pPr>
              <w:jc w:val="center"/>
              <w:ind w:right="2060"/>
              <w:spacing w:after="0"/>
              <w:rPr>
                <w:sz w:val="20"/>
                <w:szCs w:val="20"/>
                <w:color w:val="auto"/>
              </w:rPr>
            </w:pPr>
            <w:r>
              <w:rPr>
                <w:rFonts w:ascii="Arial" w:cs="Arial" w:eastAsia="Arial" w:hAnsi="Arial"/>
                <w:sz w:val="16"/>
                <w:szCs w:val="16"/>
                <w:b w:val="1"/>
                <w:bCs w:val="1"/>
                <w:color w:val="auto"/>
                <w:w w:val="90"/>
              </w:rPr>
              <w:t>Common Stock</w:t>
            </w:r>
            <w:r>
              <w:rPr>
                <w:rFonts w:ascii="Arial" w:cs="Arial" w:eastAsia="Arial" w:hAnsi="Arial"/>
                <w:sz w:val="18"/>
                <w:szCs w:val="18"/>
                <w:b w:val="1"/>
                <w:bCs w:val="1"/>
                <w:color w:val="auto"/>
                <w:w w:val="90"/>
              </w:rPr>
              <w:t>, par value $0.01 per share</w:t>
            </w:r>
          </w:p>
        </w:tc>
        <w:tc>
          <w:tcPr>
            <w:tcW w:w="2500" w:type="dxa"/>
            <w:vAlign w:val="bottom"/>
            <w:gridSpan w:val="4"/>
          </w:tcPr>
          <w:p>
            <w:pPr>
              <w:ind w:left="160"/>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332"/>
        </w:trPr>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00" w:type="dxa"/>
            <w:vAlign w:val="bottom"/>
            <w:gridSpan w:val="5"/>
          </w:tcPr>
          <w:p>
            <w:pPr>
              <w:jc w:val="center"/>
              <w:ind w:left="543"/>
              <w:spacing w:after="0"/>
              <w:rPr>
                <w:sz w:val="20"/>
                <w:szCs w:val="20"/>
                <w:color w:val="auto"/>
              </w:rPr>
            </w:pPr>
            <w:r>
              <w:rPr>
                <w:rFonts w:ascii="Arial" w:cs="Arial" w:eastAsia="Arial" w:hAnsi="Arial"/>
                <w:sz w:val="16"/>
                <w:szCs w:val="16"/>
                <w:b w:val="1"/>
                <w:bCs w:val="1"/>
                <w:color w:val="auto"/>
                <w:w w:val="89"/>
              </w:rPr>
              <w:t>Securities registered pursuant to section 12(g) of the Act:</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None</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6"/>
              </w:rPr>
              <w:t>(Title of class)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58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vMerge w:val="restart"/>
          </w:tcPr>
          <w:p>
            <w:pPr>
              <w:ind w:left="2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4"/>
                <w:szCs w:val="14"/>
                <w:color w:val="auto"/>
                <w:w w:val="91"/>
              </w:rPr>
              <w:t>☐</w:t>
            </w:r>
          </w:p>
        </w:tc>
        <w:tc>
          <w:tcPr>
            <w:tcW w:w="1520" w:type="dxa"/>
            <w:vAlign w:val="bottom"/>
            <w:vMerge w:val="restart"/>
          </w:tcPr>
          <w:p>
            <w:pPr>
              <w:jc w:val="center"/>
              <w:ind w:right="703"/>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430"/>
        </w:trPr>
        <w:tc>
          <w:tcPr>
            <w:tcW w:w="776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6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6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60" w:type="dxa"/>
            <w:vAlign w:val="bottom"/>
          </w:tcPr>
          <w:p>
            <w:pPr>
              <w:ind w:left="160"/>
              <w:spacing w:after="0"/>
              <w:rPr>
                <w:sz w:val="20"/>
                <w:szCs w:val="20"/>
                <w:color w:val="auto"/>
              </w:rPr>
            </w:pPr>
            <w:r>
              <w:rPr>
                <w:rFonts w:ascii="Arial" w:cs="Arial" w:eastAsia="Arial" w:hAnsi="Arial"/>
                <w:sz w:val="16"/>
                <w:szCs w:val="16"/>
                <w:color w:val="auto"/>
              </w:rPr>
              <w:t>Yes</w:t>
            </w:r>
          </w:p>
        </w:tc>
        <w:tc>
          <w:tcPr>
            <w:tcW w:w="1520" w:type="dxa"/>
            <w:vAlign w:val="bottom"/>
          </w:tcPr>
          <w:p>
            <w:pPr>
              <w:jc w:val="center"/>
              <w:ind w:right="703"/>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140"/>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ind w:right="100"/>
        <w:spacing w:after="0" w:line="292"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ind w:left="320" w:hanging="312"/>
        <w:spacing w:after="0" w:line="184" w:lineRule="exact"/>
        <w:tabs>
          <w:tab w:leader="none" w:pos="320" w:val="left"/>
        </w:tabs>
        <w:numPr>
          <w:ilvl w:val="0"/>
          <w:numId w:val="3"/>
        </w:numPr>
        <w:rPr>
          <w:rFonts w:ascii="Arial" w:cs="Arial" w:eastAsia="Arial" w:hAnsi="Arial"/>
          <w:sz w:val="16"/>
          <w:szCs w:val="16"/>
          <w:color w:val="auto"/>
        </w:rPr>
      </w:pPr>
      <w:r>
        <w:rPr>
          <w:rFonts w:ascii="MS PGothic" w:cs="MS PGothic" w:eastAsia="MS PGothic" w:hAnsi="MS PGothic"/>
          <w:sz w:val="14"/>
          <w:szCs w:val="14"/>
          <w:color w:val="auto"/>
        </w:rPr>
        <w:t>☐</w:t>
      </w:r>
    </w:p>
    <w:p>
      <w:pPr>
        <w:spacing w:after="0" w:line="113" w:lineRule="exact"/>
        <w:rPr>
          <w:sz w:val="24"/>
          <w:szCs w:val="24"/>
          <w:color w:val="auto"/>
        </w:rPr>
      </w:pPr>
    </w:p>
    <w:p>
      <w:pPr>
        <w:ind w:right="2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6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34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78"/>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06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34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640" w:type="dxa"/>
            <w:vAlign w:val="bottom"/>
          </w:tcPr>
          <w:p>
            <w:pPr>
              <w:ind w:left="234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1"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380"/>
          </w:cols>
          <w:pgMar w:left="240" w:top="729" w:right="279" w:bottom="0" w:gutter="0" w:footer="0" w:header="0"/>
        </w:sectPr>
      </w:pPr>
    </w:p>
    <w:bookmarkStart w:id="1" w:name="page2"/>
    <w:bookmarkEnd w:id="1"/>
    <w:p>
      <w:pPr>
        <w:spacing w:after="0" w:line="184" w:lineRule="exact"/>
        <w:tabs>
          <w:tab w:leader="none" w:pos="6820" w:val="left"/>
          <w:tab w:leader="none" w:pos="7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6"/>
          <w:szCs w:val="16"/>
          <w:color w:val="auto"/>
        </w:rPr>
        <w:tab/>
        <w:t xml:space="preserve">No </w:t>
      </w:r>
      <w:r>
        <w:rPr>
          <w:rFonts w:ascii="MS PGothic" w:cs="MS PGothic" w:eastAsia="MS PGothic" w:hAnsi="MS PGothic"/>
          <w:sz w:val="14"/>
          <w:szCs w:val="14"/>
          <w:color w:val="auto"/>
        </w:rPr>
        <w:t>☒</w:t>
      </w:r>
    </w:p>
    <w:p>
      <w:pPr>
        <w:spacing w:after="0" w:line="13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As of June 27, 2018, the last business day of the registrant’s most recently completed second fiscal quarter, the aggregate market value of the registrant’s common equity held by non-affiliates was approximately $245 million, deeming purely for purposes of this calculation all directors and executive officers and Trimaran Pollo Partners, L.L.C. to be affiliates.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28, 2019, there were 38,962,766 shares of the registrant’s common stock outstanding.</w:t>
      </w:r>
    </w:p>
    <w:p>
      <w:pPr>
        <w:spacing w:after="0" w:line="109"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Part III hereof incorporates by reference certain portions of the registrant’s definitive proxy statement for its 2019 annual meeting of stockholders to be filed not later than 120 days after the end of the registrant’s 2018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8"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40" w:type="dxa"/>
            <w:vAlign w:val="bottom"/>
            <w:gridSpan w:val="14"/>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Borders>
              <w:bottom w:val="single" w:sz="8" w:color="004FF2"/>
            </w:tcBorders>
            <w:gridSpan w:val="2"/>
          </w:tcPr>
          <w:p>
            <w:pPr>
              <w:jc w:val="center"/>
              <w:spacing w:after="0"/>
              <w:rPr>
                <w:sz w:val="20"/>
                <w:szCs w:val="20"/>
                <w:color w:val="auto"/>
              </w:rPr>
            </w:pPr>
            <w:r>
              <w:rPr>
                <w:rFonts w:ascii="Arial" w:cs="Arial" w:eastAsia="Arial" w:hAnsi="Arial"/>
                <w:sz w:val="18"/>
                <w:szCs w:val="18"/>
                <w:color w:val="004FF2"/>
                <w:w w:val="92"/>
              </w:rPr>
              <w:t>PART I</w:t>
            </w:r>
          </w:p>
        </w:tc>
        <w:tc>
          <w:tcPr>
            <w:tcW w:w="568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200" w:type="dxa"/>
            <w:vAlign w:val="bottom"/>
            <w:tcBorders>
              <w:bottom w:val="single" w:sz="8" w:color="004FF2"/>
            </w:tcBorders>
            <w:gridSpan w:val="2"/>
          </w:tcPr>
          <w:p>
            <w:pPr>
              <w:spacing w:after="0"/>
              <w:rPr>
                <w:sz w:val="20"/>
                <w:szCs w:val="20"/>
                <w:color w:val="auto"/>
              </w:rPr>
            </w:pPr>
            <w:r>
              <w:rPr>
                <w:rFonts w:ascii="Arial" w:cs="Arial" w:eastAsia="Arial" w:hAnsi="Arial"/>
                <w:sz w:val="18"/>
                <w:szCs w:val="18"/>
                <w:color w:val="004FF2"/>
                <w:w w:val="88"/>
              </w:rPr>
              <w:t>Item 1. Business</w:t>
            </w:r>
          </w:p>
        </w:tc>
        <w:tc>
          <w:tcPr>
            <w:tcW w:w="9980" w:type="dxa"/>
            <w:vAlign w:val="bottom"/>
            <w:gridSpan w:val="28"/>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50"/>
        </w:trPr>
        <w:tc>
          <w:tcPr>
            <w:tcW w:w="11180" w:type="dxa"/>
            <w:vAlign w:val="bottom"/>
            <w:gridSpan w:val="30"/>
          </w:tcPr>
          <w:p>
            <w:pPr>
              <w:spacing w:after="0"/>
              <w:rPr>
                <w:sz w:val="20"/>
                <w:szCs w:val="20"/>
                <w:color w:val="auto"/>
              </w:rPr>
            </w:pPr>
            <w:r>
              <w:rPr>
                <w:rFonts w:ascii="Arial" w:cs="Arial" w:eastAsia="Arial" w:hAnsi="Arial"/>
                <w:sz w:val="18"/>
                <w:szCs w:val="18"/>
                <w:color w:val="004FF2"/>
              </w:rPr>
              <w:t>Item 1A.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20"/>
        </w:trPr>
        <w:tc>
          <w:tcPr>
            <w:tcW w:w="760" w:type="dxa"/>
            <w:vAlign w:val="bottom"/>
            <w:shd w:val="clear" w:color="auto" w:fill="004FF2"/>
          </w:tcPr>
          <w:p>
            <w:pPr>
              <w:spacing w:after="0" w:line="20" w:lineRule="exact"/>
              <w:rPr>
                <w:sz w:val="1"/>
                <w:szCs w:val="1"/>
                <w:color w:val="auto"/>
              </w:rPr>
            </w:pPr>
          </w:p>
        </w:tc>
        <w:tc>
          <w:tcPr>
            <w:tcW w:w="520" w:type="dxa"/>
            <w:vAlign w:val="bottom"/>
            <w:gridSpan w:val="2"/>
            <w:shd w:val="clear" w:color="auto" w:fill="004FF2"/>
          </w:tcPr>
          <w:p>
            <w:pPr>
              <w:spacing w:after="0" w:line="20" w:lineRule="exact"/>
              <w:rPr>
                <w:sz w:val="1"/>
                <w:szCs w:val="1"/>
                <w:color w:val="auto"/>
              </w:rPr>
            </w:pPr>
          </w:p>
        </w:tc>
        <w:tc>
          <w:tcPr>
            <w:tcW w:w="300" w:type="dxa"/>
            <w:vAlign w:val="bottom"/>
            <w:shd w:val="clear" w:color="auto" w:fill="004F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720" w:type="dxa"/>
            <w:vAlign w:val="bottom"/>
            <w:tcBorders>
              <w:bottom w:val="single" w:sz="8" w:color="004FF2"/>
            </w:tcBorders>
            <w:gridSpan w:val="12"/>
          </w:tcPr>
          <w:p>
            <w:pPr>
              <w:spacing w:after="0"/>
              <w:rPr>
                <w:sz w:val="20"/>
                <w:szCs w:val="20"/>
                <w:color w:val="auto"/>
              </w:rPr>
            </w:pPr>
            <w:r>
              <w:rPr>
                <w:rFonts w:ascii="Arial" w:cs="Arial" w:eastAsia="Arial" w:hAnsi="Arial"/>
                <w:sz w:val="18"/>
                <w:szCs w:val="18"/>
                <w:color w:val="004FF2"/>
                <w:w w:val="90"/>
              </w:rPr>
              <w:t>Item 1B. Unresolved Staff Comments</w:t>
            </w:r>
          </w:p>
        </w:tc>
        <w:tc>
          <w:tcPr>
            <w:tcW w:w="8460" w:type="dxa"/>
            <w:vAlign w:val="bottom"/>
            <w:gridSpan w:val="1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250"/>
        </w:trPr>
        <w:tc>
          <w:tcPr>
            <w:tcW w:w="1280" w:type="dxa"/>
            <w:vAlign w:val="bottom"/>
            <w:tcBorders>
              <w:bottom w:val="single" w:sz="8" w:color="004FF2"/>
            </w:tcBorders>
            <w:gridSpan w:val="3"/>
          </w:tcPr>
          <w:p>
            <w:pPr>
              <w:spacing w:after="0"/>
              <w:rPr>
                <w:sz w:val="20"/>
                <w:szCs w:val="20"/>
                <w:color w:val="auto"/>
              </w:rPr>
            </w:pPr>
            <w:r>
              <w:rPr>
                <w:rFonts w:ascii="Arial" w:cs="Arial" w:eastAsia="Arial" w:hAnsi="Arial"/>
                <w:sz w:val="18"/>
                <w:szCs w:val="18"/>
                <w:color w:val="004FF2"/>
                <w:w w:val="88"/>
              </w:rPr>
              <w:t>Item 2. Properties</w:t>
            </w:r>
          </w:p>
        </w:tc>
        <w:tc>
          <w:tcPr>
            <w:tcW w:w="9900" w:type="dxa"/>
            <w:vAlign w:val="bottom"/>
            <w:gridSpan w:val="2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250"/>
        </w:trPr>
        <w:tc>
          <w:tcPr>
            <w:tcW w:w="11180" w:type="dxa"/>
            <w:vAlign w:val="bottom"/>
            <w:gridSpan w:val="30"/>
          </w:tcPr>
          <w:p>
            <w:pPr>
              <w:spacing w:after="0"/>
              <w:rPr>
                <w:sz w:val="20"/>
                <w:szCs w:val="20"/>
                <w:color w:val="auto"/>
              </w:rPr>
            </w:pPr>
            <w:r>
              <w:rPr>
                <w:rFonts w:ascii="Arial" w:cs="Arial" w:eastAsia="Arial" w:hAnsi="Arial"/>
                <w:sz w:val="18"/>
                <w:szCs w:val="18"/>
                <w:color w:val="004FF2"/>
              </w:rPr>
              <w:t>Item 3. Legal Proceedings</w:t>
            </w:r>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20"/>
        </w:trPr>
        <w:tc>
          <w:tcPr>
            <w:tcW w:w="760" w:type="dxa"/>
            <w:vAlign w:val="bottom"/>
            <w:shd w:val="clear" w:color="auto" w:fill="004FF2"/>
          </w:tcPr>
          <w:p>
            <w:pPr>
              <w:spacing w:after="0" w:line="20" w:lineRule="exact"/>
              <w:rPr>
                <w:sz w:val="1"/>
                <w:szCs w:val="1"/>
                <w:color w:val="auto"/>
              </w:rPr>
            </w:pPr>
          </w:p>
        </w:tc>
        <w:tc>
          <w:tcPr>
            <w:tcW w:w="1120" w:type="dxa"/>
            <w:vAlign w:val="bottom"/>
            <w:gridSpan w:val="4"/>
            <w:shd w:val="clear" w:color="auto" w:fill="004F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30"/>
          </w:tcPr>
          <w:p>
            <w:pPr>
              <w:spacing w:after="0"/>
              <w:rPr>
                <w:sz w:val="20"/>
                <w:szCs w:val="20"/>
                <w:color w:val="auto"/>
              </w:rPr>
            </w:pPr>
            <w:r>
              <w:rPr>
                <w:rFonts w:ascii="Arial" w:cs="Arial" w:eastAsia="Arial" w:hAnsi="Arial"/>
                <w:sz w:val="18"/>
                <w:szCs w:val="18"/>
                <w:color w:val="004FF2"/>
              </w:rPr>
              <w:t>Item 4. Mine Safety Disclosures</w:t>
            </w:r>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426"/>
        </w:trPr>
        <w:tc>
          <w:tcPr>
            <w:tcW w:w="760" w:type="dxa"/>
            <w:vAlign w:val="bottom"/>
            <w:tcBorders>
              <w:top w:val="single" w:sz="8" w:color="004FF2"/>
            </w:tcBorders>
          </w:tcPr>
          <w:p>
            <w:pPr>
              <w:spacing w:after="0"/>
              <w:rPr>
                <w:sz w:val="24"/>
                <w:szCs w:val="24"/>
                <w:color w:val="auto"/>
              </w:rPr>
            </w:pPr>
          </w:p>
        </w:tc>
        <w:tc>
          <w:tcPr>
            <w:tcW w:w="44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100" w:type="dxa"/>
            <w:vAlign w:val="bottom"/>
            <w:tcBorders>
              <w:top w:val="single" w:sz="8" w:color="004FF2"/>
            </w:tcBorders>
          </w:tcPr>
          <w:p>
            <w:pPr>
              <w:spacing w:after="0"/>
              <w:rPr>
                <w:sz w:val="24"/>
                <w:szCs w:val="24"/>
                <w:color w:val="auto"/>
              </w:rPr>
            </w:pPr>
          </w:p>
        </w:tc>
        <w:tc>
          <w:tcPr>
            <w:tcW w:w="20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60" w:type="dxa"/>
            <w:vAlign w:val="bottom"/>
            <w:tcBorders>
              <w:top w:val="single" w:sz="8" w:color="004FF2"/>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60" w:type="dxa"/>
            <w:vAlign w:val="bottom"/>
            <w:gridSpan w:val="11"/>
          </w:tcPr>
          <w:p>
            <w:pPr>
              <w:jc w:val="center"/>
              <w:ind w:right="5660"/>
              <w:spacing w:after="0"/>
              <w:rPr>
                <w:sz w:val="20"/>
                <w:szCs w:val="20"/>
                <w:color w:val="auto"/>
              </w:rPr>
            </w:pPr>
            <w:r>
              <w:rPr>
                <w:rFonts w:ascii="Arial" w:cs="Arial" w:eastAsia="Arial" w:hAnsi="Arial"/>
                <w:sz w:val="18"/>
                <w:szCs w:val="18"/>
                <w:color w:val="004FF2"/>
                <w:w w:val="95"/>
              </w:rPr>
              <w:t>PART II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4FF2"/>
          </w:tcPr>
          <w:p>
            <w:pPr>
              <w:spacing w:after="0" w:line="20" w:lineRule="exact"/>
              <w:rPr>
                <w:sz w:val="1"/>
                <w:szCs w:val="1"/>
                <w:color w:val="auto"/>
              </w:rPr>
            </w:pPr>
          </w:p>
        </w:tc>
        <w:tc>
          <w:tcPr>
            <w:tcW w:w="480" w:type="dxa"/>
            <w:vAlign w:val="bottom"/>
            <w:gridSpan w:val="2"/>
            <w:shd w:val="clear" w:color="auto" w:fill="004F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11180" w:type="dxa"/>
            <w:vAlign w:val="bottom"/>
            <w:gridSpan w:val="30"/>
          </w:tcPr>
          <w:p>
            <w:pPr>
              <w:spacing w:after="0"/>
              <w:rPr>
                <w:sz w:val="20"/>
                <w:szCs w:val="20"/>
                <w:color w:val="auto"/>
              </w:rPr>
            </w:pPr>
            <w:r>
              <w:rPr>
                <w:rFonts w:ascii="Arial" w:cs="Arial" w:eastAsia="Arial" w:hAnsi="Arial"/>
                <w:sz w:val="18"/>
                <w:szCs w:val="18"/>
                <w:color w:val="004FF2"/>
              </w:rPr>
              <w:t>Item 5. Market for Registrant’s Common Equity, Related Stockholder Matters and Issuer Purchases of Equity Securities</w:t>
            </w:r>
          </w:p>
        </w:tc>
        <w:tc>
          <w:tcPr>
            <w:tcW w:w="180" w:type="dxa"/>
            <w:vAlign w:val="bottom"/>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250"/>
        </w:trPr>
        <w:tc>
          <w:tcPr>
            <w:tcW w:w="2260" w:type="dxa"/>
            <w:vAlign w:val="bottom"/>
            <w:tcBorders>
              <w:top w:val="single" w:sz="8" w:color="004FF2"/>
              <w:bottom w:val="single" w:sz="8" w:color="004FF2"/>
            </w:tcBorders>
            <w:gridSpan w:val="8"/>
          </w:tcPr>
          <w:p>
            <w:pPr>
              <w:spacing w:after="0"/>
              <w:rPr>
                <w:sz w:val="20"/>
                <w:szCs w:val="20"/>
                <w:color w:val="auto"/>
              </w:rPr>
            </w:pPr>
            <w:r>
              <w:rPr>
                <w:rFonts w:ascii="Arial" w:cs="Arial" w:eastAsia="Arial" w:hAnsi="Arial"/>
                <w:sz w:val="18"/>
                <w:szCs w:val="18"/>
                <w:color w:val="004FF2"/>
                <w:w w:val="89"/>
              </w:rPr>
              <w:t>Item 6. Selected Financial Data</w:t>
            </w:r>
          </w:p>
        </w:tc>
        <w:tc>
          <w:tcPr>
            <w:tcW w:w="6360" w:type="dxa"/>
            <w:vAlign w:val="bottom"/>
            <w:tcBorders>
              <w:top w:val="single" w:sz="8" w:color="004FF2"/>
            </w:tcBorders>
            <w:gridSpan w:val="21"/>
          </w:tcPr>
          <w:p>
            <w:pPr>
              <w:spacing w:after="0"/>
              <w:rPr>
                <w:sz w:val="21"/>
                <w:szCs w:val="21"/>
                <w:color w:val="auto"/>
              </w:rPr>
            </w:pPr>
          </w:p>
        </w:tc>
        <w:tc>
          <w:tcPr>
            <w:tcW w:w="2560" w:type="dxa"/>
            <w:vAlign w:val="bottom"/>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r>
      <w:tr>
        <w:trPr>
          <w:trHeight w:val="250"/>
        </w:trPr>
        <w:tc>
          <w:tcPr>
            <w:tcW w:w="11180" w:type="dxa"/>
            <w:vAlign w:val="bottom"/>
            <w:gridSpan w:val="30"/>
          </w:tcPr>
          <w:p>
            <w:pPr>
              <w:spacing w:after="0"/>
              <w:rPr>
                <w:sz w:val="20"/>
                <w:szCs w:val="20"/>
                <w:color w:val="auto"/>
              </w:rPr>
            </w:pPr>
            <w:r>
              <w:rPr>
                <w:rFonts w:ascii="Arial" w:cs="Arial" w:eastAsia="Arial" w:hAnsi="Arial"/>
                <w:sz w:val="18"/>
                <w:szCs w:val="18"/>
                <w:color w:val="004FF2"/>
              </w:rPr>
              <w:t>Item 7. Management’s Discussion and Analysis of Financial Condition and Results of Operations</w:t>
            </w:r>
          </w:p>
        </w:tc>
        <w:tc>
          <w:tcPr>
            <w:tcW w:w="180" w:type="dxa"/>
            <w:vAlign w:val="bottom"/>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r>
      <w:tr>
        <w:trPr>
          <w:trHeight w:val="250"/>
        </w:trPr>
        <w:tc>
          <w:tcPr>
            <w:tcW w:w="5040" w:type="dxa"/>
            <w:vAlign w:val="bottom"/>
            <w:tcBorders>
              <w:top w:val="single" w:sz="8" w:color="004FF2"/>
              <w:bottom w:val="single" w:sz="8" w:color="004FF2"/>
            </w:tcBorders>
            <w:gridSpan w:val="21"/>
          </w:tcPr>
          <w:p>
            <w:pPr>
              <w:spacing w:after="0"/>
              <w:rPr>
                <w:sz w:val="20"/>
                <w:szCs w:val="20"/>
                <w:color w:val="auto"/>
              </w:rPr>
            </w:pPr>
            <w:r>
              <w:rPr>
                <w:rFonts w:ascii="Arial" w:cs="Arial" w:eastAsia="Arial" w:hAnsi="Arial"/>
                <w:sz w:val="18"/>
                <w:szCs w:val="18"/>
                <w:color w:val="004FF2"/>
                <w:w w:val="92"/>
              </w:rPr>
              <w:t>Item 7A. Quantitative and Qualitative Disclosures About Market Risk</w:t>
            </w:r>
          </w:p>
        </w:tc>
        <w:tc>
          <w:tcPr>
            <w:tcW w:w="1960" w:type="dxa"/>
            <w:vAlign w:val="bottom"/>
            <w:tcBorders>
              <w:top w:val="single" w:sz="8" w:color="004FF2"/>
            </w:tcBorders>
            <w:gridSpan w:val="5"/>
          </w:tcPr>
          <w:p>
            <w:pPr>
              <w:spacing w:after="0"/>
              <w:rPr>
                <w:sz w:val="21"/>
                <w:szCs w:val="21"/>
                <w:color w:val="auto"/>
              </w:rPr>
            </w:pPr>
          </w:p>
        </w:tc>
        <w:tc>
          <w:tcPr>
            <w:tcW w:w="4180" w:type="dxa"/>
            <w:vAlign w:val="bottom"/>
            <w:gridSpan w:val="4"/>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55</w:t>
              </w:r>
            </w:hyperlink>
          </w:p>
        </w:tc>
      </w:tr>
      <w:tr>
        <w:trPr>
          <w:trHeight w:val="250"/>
        </w:trPr>
        <w:tc>
          <w:tcPr>
            <w:tcW w:w="3880" w:type="dxa"/>
            <w:vAlign w:val="bottom"/>
            <w:tcBorders>
              <w:bottom w:val="single" w:sz="8" w:color="004FF2"/>
            </w:tcBorders>
            <w:gridSpan w:val="15"/>
          </w:tcPr>
          <w:p>
            <w:pPr>
              <w:spacing w:after="0"/>
              <w:rPr>
                <w:sz w:val="20"/>
                <w:szCs w:val="20"/>
                <w:color w:val="auto"/>
              </w:rPr>
            </w:pPr>
            <w:r>
              <w:rPr>
                <w:rFonts w:ascii="Arial" w:cs="Arial" w:eastAsia="Arial" w:hAnsi="Arial"/>
                <w:sz w:val="18"/>
                <w:szCs w:val="18"/>
                <w:color w:val="004FF2"/>
                <w:w w:val="89"/>
              </w:rPr>
              <w:t>Item 8. Financial Statements and Supplementary Data</w:t>
            </w:r>
          </w:p>
        </w:tc>
        <w:tc>
          <w:tcPr>
            <w:tcW w:w="730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56</w:t>
              </w:r>
            </w:hyperlink>
          </w:p>
        </w:tc>
      </w:tr>
      <w:tr>
        <w:trPr>
          <w:trHeight w:val="250"/>
        </w:trPr>
        <w:tc>
          <w:tcPr>
            <w:tcW w:w="11180" w:type="dxa"/>
            <w:vAlign w:val="bottom"/>
            <w:gridSpan w:val="30"/>
          </w:tcPr>
          <w:p>
            <w:pPr>
              <w:spacing w:after="0"/>
              <w:rPr>
                <w:sz w:val="20"/>
                <w:szCs w:val="20"/>
                <w:color w:val="auto"/>
              </w:rPr>
            </w:pPr>
            <w:r>
              <w:rPr>
                <w:rFonts w:ascii="Arial" w:cs="Arial" w:eastAsia="Arial" w:hAnsi="Arial"/>
                <w:sz w:val="18"/>
                <w:szCs w:val="18"/>
                <w:color w:val="004FF2"/>
              </w:rPr>
              <w:t>Item 9. Changes in and Disagreements with Accountants on Accounting and Financial Disclosure</w:t>
            </w:r>
          </w:p>
        </w:tc>
        <w:tc>
          <w:tcPr>
            <w:tcW w:w="180" w:type="dxa"/>
            <w:vAlign w:val="bottom"/>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91</w:t>
              </w:r>
            </w:hyperlink>
          </w:p>
        </w:tc>
      </w:tr>
      <w:tr>
        <w:trPr>
          <w:trHeight w:val="250"/>
        </w:trPr>
        <w:tc>
          <w:tcPr>
            <w:tcW w:w="2460" w:type="dxa"/>
            <w:vAlign w:val="bottom"/>
            <w:tcBorders>
              <w:top w:val="single" w:sz="8" w:color="004FF2"/>
              <w:bottom w:val="single" w:sz="8" w:color="004FF2"/>
            </w:tcBorders>
            <w:gridSpan w:val="11"/>
          </w:tcPr>
          <w:p>
            <w:pPr>
              <w:spacing w:after="0"/>
              <w:rPr>
                <w:sz w:val="20"/>
                <w:szCs w:val="20"/>
                <w:color w:val="auto"/>
              </w:rPr>
            </w:pPr>
            <w:r>
              <w:rPr>
                <w:rFonts w:ascii="Arial" w:cs="Arial" w:eastAsia="Arial" w:hAnsi="Arial"/>
                <w:sz w:val="18"/>
                <w:szCs w:val="18"/>
                <w:color w:val="004FF2"/>
                <w:w w:val="89"/>
              </w:rPr>
              <w:t>Item 9A. Controls and Procedures</w:t>
            </w:r>
          </w:p>
        </w:tc>
        <w:tc>
          <w:tcPr>
            <w:tcW w:w="4560" w:type="dxa"/>
            <w:vAlign w:val="bottom"/>
            <w:tcBorders>
              <w:top w:val="single" w:sz="8" w:color="004FF2"/>
            </w:tcBorders>
            <w:gridSpan w:val="16"/>
          </w:tcPr>
          <w:p>
            <w:pPr>
              <w:spacing w:after="0"/>
              <w:rPr>
                <w:sz w:val="21"/>
                <w:szCs w:val="21"/>
                <w:color w:val="auto"/>
              </w:rPr>
            </w:pPr>
          </w:p>
        </w:tc>
        <w:tc>
          <w:tcPr>
            <w:tcW w:w="4160" w:type="dxa"/>
            <w:vAlign w:val="bottom"/>
            <w:gridSpan w:val="3"/>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91</w:t>
              </w:r>
            </w:hyperlink>
          </w:p>
        </w:tc>
      </w:tr>
      <w:tr>
        <w:trPr>
          <w:trHeight w:val="250"/>
        </w:trPr>
        <w:tc>
          <w:tcPr>
            <w:tcW w:w="11180" w:type="dxa"/>
            <w:vAlign w:val="bottom"/>
            <w:gridSpan w:val="30"/>
          </w:tcPr>
          <w:p>
            <w:pPr>
              <w:spacing w:after="0"/>
              <w:rPr>
                <w:sz w:val="20"/>
                <w:szCs w:val="20"/>
                <w:color w:val="auto"/>
              </w:rPr>
            </w:pPr>
            <w:r>
              <w:rPr>
                <w:rFonts w:ascii="Arial" w:cs="Arial" w:eastAsia="Arial" w:hAnsi="Arial"/>
                <w:sz w:val="18"/>
                <w:szCs w:val="18"/>
                <w:color w:val="004FF2"/>
              </w:rPr>
              <w:t>Item 9B.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96">
              <w:r>
                <w:rPr>
                  <w:rFonts w:ascii="Arial" w:cs="Arial" w:eastAsia="Arial" w:hAnsi="Arial"/>
                  <w:sz w:val="18"/>
                  <w:szCs w:val="18"/>
                  <w:color w:val="0000EE"/>
                  <w:w w:val="79"/>
                </w:rPr>
                <w:t>92</w:t>
              </w:r>
            </w:hyperlink>
          </w:p>
        </w:tc>
      </w:tr>
      <w:tr>
        <w:trPr>
          <w:trHeight w:val="426"/>
        </w:trPr>
        <w:tc>
          <w:tcPr>
            <w:tcW w:w="760" w:type="dxa"/>
            <w:vAlign w:val="bottom"/>
            <w:tcBorders>
              <w:top w:val="single" w:sz="8" w:color="004FF2"/>
            </w:tcBorders>
          </w:tcPr>
          <w:p>
            <w:pPr>
              <w:spacing w:after="0"/>
              <w:rPr>
                <w:sz w:val="24"/>
                <w:szCs w:val="24"/>
                <w:color w:val="auto"/>
              </w:rPr>
            </w:pPr>
          </w:p>
        </w:tc>
        <w:tc>
          <w:tcPr>
            <w:tcW w:w="44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100" w:type="dxa"/>
            <w:vAlign w:val="bottom"/>
            <w:tcBorders>
              <w:top w:val="single" w:sz="8" w:color="004FF2"/>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gridSpan w:val="13"/>
          </w:tcPr>
          <w:p>
            <w:pPr>
              <w:jc w:val="center"/>
              <w:ind w:right="5600"/>
              <w:spacing w:after="0"/>
              <w:rPr>
                <w:sz w:val="20"/>
                <w:szCs w:val="20"/>
                <w:color w:val="auto"/>
              </w:rPr>
            </w:pPr>
            <w:r>
              <w:rPr>
                <w:rFonts w:ascii="Arial" w:cs="Arial" w:eastAsia="Arial" w:hAnsi="Arial"/>
                <w:sz w:val="18"/>
                <w:szCs w:val="18"/>
                <w:color w:val="004FF2"/>
                <w:w w:val="96"/>
              </w:rPr>
              <w:t>PART III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740" w:type="dxa"/>
            <w:vAlign w:val="bottom"/>
            <w:tcBorders>
              <w:bottom w:val="single" w:sz="8" w:color="004FF2"/>
            </w:tcBorders>
            <w:gridSpan w:val="16"/>
          </w:tcPr>
          <w:p>
            <w:pPr>
              <w:spacing w:after="0"/>
              <w:rPr>
                <w:sz w:val="20"/>
                <w:szCs w:val="20"/>
                <w:color w:val="auto"/>
              </w:rPr>
            </w:pPr>
            <w:r>
              <w:rPr>
                <w:rFonts w:ascii="Arial" w:cs="Arial" w:eastAsia="Arial" w:hAnsi="Arial"/>
                <w:sz w:val="18"/>
                <w:szCs w:val="18"/>
                <w:color w:val="004FF2"/>
                <w:w w:val="90"/>
              </w:rPr>
              <w:t>Item 10. Directors, Executive Officers and Corporate Governance</w:t>
            </w:r>
          </w:p>
        </w:tc>
        <w:tc>
          <w:tcPr>
            <w:tcW w:w="160" w:type="dxa"/>
            <w:vAlign w:val="bottom"/>
            <w:gridSpan w:val="2"/>
          </w:tcPr>
          <w:p>
            <w:pPr>
              <w:spacing w:after="0"/>
              <w:rPr>
                <w:sz w:val="21"/>
                <w:szCs w:val="21"/>
                <w:color w:val="auto"/>
              </w:rPr>
            </w:pPr>
          </w:p>
        </w:tc>
        <w:tc>
          <w:tcPr>
            <w:tcW w:w="660" w:type="dxa"/>
            <w:vAlign w:val="bottom"/>
            <w:tcBorders>
              <w:top w:val="single" w:sz="8" w:color="004FF2"/>
            </w:tcBorders>
            <w:gridSpan w:val="6"/>
          </w:tcPr>
          <w:p>
            <w:pPr>
              <w:spacing w:after="0"/>
              <w:rPr>
                <w:sz w:val="21"/>
                <w:szCs w:val="21"/>
                <w:color w:val="auto"/>
              </w:rPr>
            </w:pPr>
          </w:p>
        </w:tc>
        <w:tc>
          <w:tcPr>
            <w:tcW w:w="5620" w:type="dxa"/>
            <w:vAlign w:val="bottom"/>
            <w:gridSpan w:val="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93</w:t>
              </w:r>
            </w:hyperlink>
          </w:p>
        </w:tc>
      </w:tr>
      <w:tr>
        <w:trPr>
          <w:trHeight w:val="250"/>
        </w:trPr>
        <w:tc>
          <w:tcPr>
            <w:tcW w:w="2440" w:type="dxa"/>
            <w:vAlign w:val="bottom"/>
            <w:tcBorders>
              <w:bottom w:val="single" w:sz="8" w:color="004FF2"/>
            </w:tcBorders>
            <w:gridSpan w:val="10"/>
          </w:tcPr>
          <w:p>
            <w:pPr>
              <w:spacing w:after="0"/>
              <w:rPr>
                <w:sz w:val="20"/>
                <w:szCs w:val="20"/>
                <w:color w:val="auto"/>
              </w:rPr>
            </w:pPr>
            <w:r>
              <w:rPr>
                <w:rFonts w:ascii="Arial" w:cs="Arial" w:eastAsia="Arial" w:hAnsi="Arial"/>
                <w:sz w:val="18"/>
                <w:szCs w:val="18"/>
                <w:color w:val="004FF2"/>
                <w:w w:val="89"/>
              </w:rPr>
              <w:t>Item 11. Executive Compensation</w:t>
            </w:r>
          </w:p>
        </w:tc>
        <w:tc>
          <w:tcPr>
            <w:tcW w:w="8740" w:type="dxa"/>
            <w:vAlign w:val="bottom"/>
            <w:gridSpan w:val="2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93</w:t>
              </w:r>
            </w:hyperlink>
          </w:p>
        </w:tc>
      </w:tr>
      <w:tr>
        <w:trPr>
          <w:trHeight w:val="250"/>
        </w:trPr>
        <w:tc>
          <w:tcPr>
            <w:tcW w:w="7940" w:type="dxa"/>
            <w:vAlign w:val="bottom"/>
            <w:tcBorders>
              <w:bottom w:val="single" w:sz="8" w:color="004FF2"/>
            </w:tcBorders>
            <w:gridSpan w:val="28"/>
          </w:tcPr>
          <w:p>
            <w:pPr>
              <w:spacing w:after="0"/>
              <w:rPr>
                <w:sz w:val="20"/>
                <w:szCs w:val="20"/>
                <w:color w:val="auto"/>
              </w:rPr>
            </w:pPr>
            <w:r>
              <w:rPr>
                <w:rFonts w:ascii="Arial" w:cs="Arial" w:eastAsia="Arial" w:hAnsi="Arial"/>
                <w:sz w:val="18"/>
                <w:szCs w:val="18"/>
                <w:color w:val="004FF2"/>
                <w:w w:val="90"/>
              </w:rPr>
              <w:t>Item 12. Security Ownership of Certain Beneficial Owners and Management and Related Stockholder Matters</w:t>
            </w:r>
          </w:p>
        </w:tc>
        <w:tc>
          <w:tcPr>
            <w:tcW w:w="324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93</w:t>
              </w:r>
            </w:hyperlink>
          </w:p>
        </w:tc>
      </w:tr>
      <w:tr>
        <w:trPr>
          <w:trHeight w:val="250"/>
        </w:trPr>
        <w:tc>
          <w:tcPr>
            <w:tcW w:w="6100" w:type="dxa"/>
            <w:vAlign w:val="bottom"/>
            <w:tcBorders>
              <w:bottom w:val="single" w:sz="8" w:color="004FF2"/>
            </w:tcBorders>
            <w:gridSpan w:val="25"/>
          </w:tcPr>
          <w:p>
            <w:pPr>
              <w:spacing w:after="0"/>
              <w:rPr>
                <w:sz w:val="20"/>
                <w:szCs w:val="20"/>
                <w:color w:val="auto"/>
              </w:rPr>
            </w:pPr>
            <w:r>
              <w:rPr>
                <w:rFonts w:ascii="Arial" w:cs="Arial" w:eastAsia="Arial" w:hAnsi="Arial"/>
                <w:sz w:val="18"/>
                <w:szCs w:val="18"/>
                <w:color w:val="004FF2"/>
                <w:w w:val="89"/>
              </w:rPr>
              <w:t>Item 13. Certain Relationships and Related Transactions, and Director Independence</w:t>
            </w:r>
          </w:p>
        </w:tc>
        <w:tc>
          <w:tcPr>
            <w:tcW w:w="5080" w:type="dxa"/>
            <w:vAlign w:val="bottom"/>
            <w:gridSpan w:val="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93</w:t>
              </w:r>
            </w:hyperlink>
          </w:p>
        </w:tc>
      </w:tr>
      <w:tr>
        <w:trPr>
          <w:trHeight w:val="250"/>
        </w:trPr>
        <w:tc>
          <w:tcPr>
            <w:tcW w:w="11180" w:type="dxa"/>
            <w:vAlign w:val="bottom"/>
            <w:gridSpan w:val="30"/>
          </w:tcPr>
          <w:p>
            <w:pPr>
              <w:spacing w:after="0"/>
              <w:rPr>
                <w:sz w:val="20"/>
                <w:szCs w:val="20"/>
                <w:color w:val="auto"/>
              </w:rPr>
            </w:pPr>
            <w:r>
              <w:rPr>
                <w:rFonts w:ascii="Arial" w:cs="Arial" w:eastAsia="Arial" w:hAnsi="Arial"/>
                <w:sz w:val="18"/>
                <w:szCs w:val="18"/>
                <w:color w:val="004FF2"/>
              </w:rPr>
              <w:t>Item 14. Principal Accounting Fees and Services</w:t>
            </w:r>
          </w:p>
        </w:tc>
        <w:tc>
          <w:tcPr>
            <w:tcW w:w="180" w:type="dxa"/>
            <w:vAlign w:val="bottom"/>
            <w:gridSpan w:val="2"/>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93</w:t>
              </w:r>
            </w:hyperlink>
          </w:p>
        </w:tc>
      </w:tr>
      <w:tr>
        <w:trPr>
          <w:trHeight w:val="426"/>
        </w:trPr>
        <w:tc>
          <w:tcPr>
            <w:tcW w:w="760" w:type="dxa"/>
            <w:vAlign w:val="bottom"/>
            <w:tcBorders>
              <w:top w:val="single" w:sz="8" w:color="004FF2"/>
            </w:tcBorders>
          </w:tcPr>
          <w:p>
            <w:pPr>
              <w:spacing w:after="0"/>
              <w:rPr>
                <w:sz w:val="24"/>
                <w:szCs w:val="24"/>
                <w:color w:val="auto"/>
              </w:rPr>
            </w:pPr>
          </w:p>
        </w:tc>
        <w:tc>
          <w:tcPr>
            <w:tcW w:w="44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300" w:type="dxa"/>
            <w:vAlign w:val="bottom"/>
            <w:tcBorders>
              <w:top w:val="single" w:sz="8" w:color="004FF2"/>
            </w:tcBorders>
          </w:tcPr>
          <w:p>
            <w:pPr>
              <w:spacing w:after="0"/>
              <w:rPr>
                <w:sz w:val="24"/>
                <w:szCs w:val="24"/>
                <w:color w:val="auto"/>
              </w:rPr>
            </w:pPr>
          </w:p>
        </w:tc>
        <w:tc>
          <w:tcPr>
            <w:tcW w:w="100" w:type="dxa"/>
            <w:vAlign w:val="bottom"/>
            <w:tcBorders>
              <w:top w:val="single" w:sz="8" w:color="004FF2"/>
            </w:tcBorders>
          </w:tcPr>
          <w:p>
            <w:pPr>
              <w:spacing w:after="0"/>
              <w:rPr>
                <w:sz w:val="24"/>
                <w:szCs w:val="24"/>
                <w:color w:val="auto"/>
              </w:rPr>
            </w:pPr>
          </w:p>
        </w:tc>
        <w:tc>
          <w:tcPr>
            <w:tcW w:w="200" w:type="dxa"/>
            <w:vAlign w:val="bottom"/>
            <w:tcBorders>
              <w:top w:val="single" w:sz="8" w:color="004FF2"/>
            </w:tcBorders>
          </w:tcPr>
          <w:p>
            <w:pPr>
              <w:spacing w:after="0"/>
              <w:rPr>
                <w:sz w:val="24"/>
                <w:szCs w:val="24"/>
                <w:color w:val="auto"/>
              </w:rPr>
            </w:pPr>
          </w:p>
        </w:tc>
        <w:tc>
          <w:tcPr>
            <w:tcW w:w="80" w:type="dxa"/>
            <w:vAlign w:val="bottom"/>
            <w:tcBorders>
              <w:top w:val="single" w:sz="8" w:color="004FF2"/>
            </w:tcBorders>
          </w:tcPr>
          <w:p>
            <w:pPr>
              <w:spacing w:after="0"/>
              <w:rPr>
                <w:sz w:val="24"/>
                <w:szCs w:val="24"/>
                <w:color w:val="auto"/>
              </w:rPr>
            </w:pPr>
          </w:p>
        </w:tc>
        <w:tc>
          <w:tcPr>
            <w:tcW w:w="60" w:type="dxa"/>
            <w:vAlign w:val="bottom"/>
            <w:tcBorders>
              <w:top w:val="single" w:sz="8" w:color="004FF2"/>
            </w:tcBorders>
          </w:tcPr>
          <w:p>
            <w:pPr>
              <w:spacing w:after="0"/>
              <w:rPr>
                <w:sz w:val="24"/>
                <w:szCs w:val="24"/>
                <w:color w:val="auto"/>
              </w:rPr>
            </w:pPr>
          </w:p>
        </w:tc>
        <w:tc>
          <w:tcPr>
            <w:tcW w:w="120" w:type="dxa"/>
            <w:vAlign w:val="bottom"/>
            <w:tcBorders>
              <w:top w:val="single" w:sz="8" w:color="004FF2"/>
            </w:tcBorders>
          </w:tcPr>
          <w:p>
            <w:pPr>
              <w:spacing w:after="0"/>
              <w:rPr>
                <w:sz w:val="24"/>
                <w:szCs w:val="24"/>
                <w:color w:val="auto"/>
              </w:rPr>
            </w:pPr>
          </w:p>
        </w:tc>
        <w:tc>
          <w:tcPr>
            <w:tcW w:w="20" w:type="dxa"/>
            <w:vAlign w:val="bottom"/>
            <w:tcBorders>
              <w:top w:val="single" w:sz="8" w:color="004FF2"/>
            </w:tcBorders>
          </w:tcPr>
          <w:p>
            <w:pPr>
              <w:spacing w:after="0"/>
              <w:rPr>
                <w:sz w:val="24"/>
                <w:szCs w:val="24"/>
                <w:color w:val="auto"/>
              </w:rPr>
            </w:pPr>
          </w:p>
        </w:tc>
        <w:tc>
          <w:tcPr>
            <w:tcW w:w="260" w:type="dxa"/>
            <w:vAlign w:val="bottom"/>
            <w:tcBorders>
              <w:top w:val="single" w:sz="8" w:color="004FF2"/>
            </w:tcBorders>
          </w:tcPr>
          <w:p>
            <w:pPr>
              <w:spacing w:after="0"/>
              <w:rPr>
                <w:sz w:val="24"/>
                <w:szCs w:val="24"/>
                <w:color w:val="auto"/>
              </w:rPr>
            </w:pPr>
          </w:p>
        </w:tc>
        <w:tc>
          <w:tcPr>
            <w:tcW w:w="780" w:type="dxa"/>
            <w:vAlign w:val="bottom"/>
            <w:tcBorders>
              <w:top w:val="single" w:sz="8" w:color="004FF2"/>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004FF2"/>
            </w:tcBorders>
            <w:gridSpan w:val="7"/>
          </w:tcPr>
          <w:p>
            <w:pPr>
              <w:jc w:val="center"/>
              <w:spacing w:after="0"/>
              <w:rPr>
                <w:sz w:val="20"/>
                <w:szCs w:val="20"/>
                <w:color w:val="auto"/>
              </w:rPr>
            </w:pPr>
            <w:r>
              <w:rPr>
                <w:rFonts w:ascii="Arial" w:cs="Arial" w:eastAsia="Arial" w:hAnsi="Arial"/>
                <w:sz w:val="18"/>
                <w:szCs w:val="18"/>
                <w:color w:val="004FF2"/>
                <w:w w:val="97"/>
              </w:rPr>
              <w:t>PART IV</w:t>
            </w:r>
          </w:p>
        </w:tc>
        <w:tc>
          <w:tcPr>
            <w:tcW w:w="5620" w:type="dxa"/>
            <w:vAlign w:val="bottom"/>
            <w:gridSpan w:val="6"/>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3540" w:type="dxa"/>
            <w:vAlign w:val="bottom"/>
            <w:tcBorders>
              <w:bottom w:val="single" w:sz="8" w:color="004FF2"/>
            </w:tcBorders>
            <w:gridSpan w:val="14"/>
          </w:tcPr>
          <w:p>
            <w:pPr>
              <w:spacing w:after="0"/>
              <w:rPr>
                <w:sz w:val="20"/>
                <w:szCs w:val="20"/>
                <w:color w:val="auto"/>
              </w:rPr>
            </w:pPr>
            <w:r>
              <w:rPr>
                <w:rFonts w:ascii="Arial" w:cs="Arial" w:eastAsia="Arial" w:hAnsi="Arial"/>
                <w:sz w:val="18"/>
                <w:szCs w:val="18"/>
                <w:color w:val="004FF2"/>
                <w:w w:val="89"/>
              </w:rPr>
              <w:t>Item 15. Exhibits, Financial Statement Schedules</w:t>
            </w:r>
          </w:p>
        </w:tc>
        <w:tc>
          <w:tcPr>
            <w:tcW w:w="764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94</w:t>
              </w:r>
            </w:hyperlink>
          </w:p>
        </w:tc>
      </w:tr>
      <w:tr>
        <w:trPr>
          <w:trHeight w:val="250"/>
        </w:trPr>
        <w:tc>
          <w:tcPr>
            <w:tcW w:w="11180" w:type="dxa"/>
            <w:vAlign w:val="bottom"/>
            <w:gridSpan w:val="30"/>
          </w:tcPr>
          <w:p>
            <w:pPr>
              <w:spacing w:after="0"/>
              <w:rPr>
                <w:sz w:val="20"/>
                <w:szCs w:val="20"/>
                <w:color w:val="auto"/>
              </w:rPr>
            </w:pPr>
            <w:r>
              <w:rPr>
                <w:rFonts w:ascii="Arial" w:cs="Arial" w:eastAsia="Arial" w:hAnsi="Arial"/>
                <w:sz w:val="18"/>
                <w:szCs w:val="18"/>
                <w:color w:val="004FF2"/>
              </w:rPr>
              <w:t>Item 16. Form 10-K Summary</w:t>
            </w:r>
          </w:p>
        </w:tc>
        <w:tc>
          <w:tcPr>
            <w:tcW w:w="180" w:type="dxa"/>
            <w:vAlign w:val="bottom"/>
            <w:gridSpan w:val="2"/>
          </w:tcPr>
          <w:p>
            <w:pPr>
              <w:jc w:val="right"/>
              <w:spacing w:after="0"/>
              <w:rPr>
                <w:rFonts w:ascii="Arial" w:cs="Arial" w:eastAsia="Arial" w:hAnsi="Arial"/>
                <w:sz w:val="18"/>
                <w:szCs w:val="18"/>
                <w:color w:val="0000EE"/>
                <w:w w:val="79"/>
              </w:rPr>
            </w:pPr>
            <w:hyperlink w:anchor="page101">
              <w:r>
                <w:rPr>
                  <w:rFonts w:ascii="Arial" w:cs="Arial" w:eastAsia="Arial" w:hAnsi="Arial"/>
                  <w:sz w:val="18"/>
                  <w:szCs w:val="18"/>
                  <w:color w:val="0000EE"/>
                  <w:w w:val="79"/>
                </w:rPr>
                <w:t>97</w:t>
              </w:r>
            </w:hyperlink>
          </w:p>
        </w:tc>
      </w:tr>
      <w:tr>
        <w:trPr>
          <w:trHeight w:val="250"/>
        </w:trPr>
        <w:tc>
          <w:tcPr>
            <w:tcW w:w="760" w:type="dxa"/>
            <w:vAlign w:val="bottom"/>
            <w:tcBorders>
              <w:top w:val="single" w:sz="8" w:color="004FF2"/>
              <w:bottom w:val="single" w:sz="8" w:color="004FF2"/>
            </w:tcBorders>
          </w:tcPr>
          <w:p>
            <w:pPr>
              <w:spacing w:after="0"/>
              <w:rPr>
                <w:sz w:val="20"/>
                <w:szCs w:val="20"/>
                <w:color w:val="auto"/>
              </w:rPr>
            </w:pPr>
            <w:r>
              <w:rPr>
                <w:rFonts w:ascii="Arial" w:cs="Arial" w:eastAsia="Arial" w:hAnsi="Arial"/>
                <w:sz w:val="18"/>
                <w:szCs w:val="18"/>
                <w:color w:val="004FF2"/>
                <w:w w:val="85"/>
              </w:rPr>
              <w:t>Signatures</w:t>
            </w:r>
          </w:p>
        </w:tc>
        <w:tc>
          <w:tcPr>
            <w:tcW w:w="1420" w:type="dxa"/>
            <w:vAlign w:val="bottom"/>
            <w:tcBorders>
              <w:top w:val="single" w:sz="8" w:color="004FF2"/>
            </w:tcBorders>
            <w:gridSpan w:val="6"/>
          </w:tcPr>
          <w:p>
            <w:pPr>
              <w:spacing w:after="0"/>
              <w:rPr>
                <w:sz w:val="21"/>
                <w:szCs w:val="21"/>
                <w:color w:val="auto"/>
              </w:rPr>
            </w:pPr>
          </w:p>
        </w:tc>
        <w:tc>
          <w:tcPr>
            <w:tcW w:w="9000" w:type="dxa"/>
            <w:vAlign w:val="bottom"/>
            <w:gridSpan w:val="23"/>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98</w:t>
              </w:r>
            </w:hyperlink>
          </w:p>
        </w:tc>
      </w:tr>
    </w:tbl>
    <w:p>
      <w:pPr>
        <w:sectPr>
          <w:pgSz w:w="11900" w:h="16838" w:orient="portrait"/>
          <w:cols w:equalWidth="0" w:num="1">
            <w:col w:w="11360"/>
          </w:cols>
          <w:pgMar w:left="280" w:top="472" w:right="2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Certain statements in this report are forward-looking. Those statements reflect our current views with respect to our business, future events, financial performance, and our industry in general. Statements that include the words such as “expect,” “intend,” "strive," “plan,” “believe,” “project,” “forecast,” “estimate,” “may,” “should,” and “anticipate” may be forward-looking. We base forward-looking statements on history, experience, expectations, and projections. Forward-looking statements address matters that involve risks and uncertainties. We caution you therefore not to place undue reliance on forward-looking statements. We make no guarantees regarding outcomes, and assume no obligations to update the forward-looking statements herein, except pursuant to law. A non-exhaustive list of factors that could cause outcomes to differ materially from our expectations includes:</w:t>
      </w:r>
    </w:p>
    <w:p>
      <w:pPr>
        <w:spacing w:after="0" w:line="70" w:lineRule="exact"/>
        <w:rPr>
          <w:sz w:val="20"/>
          <w:szCs w:val="20"/>
          <w:color w:val="auto"/>
        </w:rPr>
      </w:pPr>
    </w:p>
    <w:p>
      <w:pPr>
        <w:ind w:left="1300" w:hanging="1292"/>
        <w:spacing w:after="0" w:line="277"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of economic conditions on our (i) operating results and financial condition, (ii) ability to comply with the terms and covenants of our debt agreements, and (iii) ability to pay or refinance our existing debt or to obtain additional financing;</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vulnerability to changes in consumer preferences and economic conditions;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vulnerability to natural disasters given the geographic concentration and real estate intensive nature of our business;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open new restaurants in new and existing markets, including difficulty in finding sites and in negotiating acceptable leases;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delayed or canceled future restaurant openings;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restaurant closures, due to financial performance or otherwise;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chicken and other input costs;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publicity, whether or not valid;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 particularly avian flu;</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with our primary distributor;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net losses, including the possibility of future net losses;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level of indebtedness;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underperformance of new menu items, advertising campaigns, and restaurant designs and remodeling activity;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our franchisees, who may incur financial hardships, lose access to credit, close restaurants, or declare bankruptcy;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control over our franchisees;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for franchisee 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protect our name and logo and other proprietary intellectual property;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the abilities, experience, and knowledge of current directors and officers;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matters relating to employment and labor laws;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from litigation such as wage and hour class action lawsuits;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shortages and increased labor costs;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franchisees to renew leases at the end of their terms;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status of our relationships with franchisees;</w:t>
      </w:r>
    </w:p>
    <w:p>
      <w:pPr>
        <w:spacing w:after="0" w:line="117" w:lineRule="exact"/>
        <w:rPr>
          <w:rFonts w:ascii="Arial" w:cs="Arial" w:eastAsia="Arial" w:hAnsi="Arial"/>
          <w:sz w:val="18"/>
          <w:szCs w:val="18"/>
          <w:color w:val="auto"/>
        </w:rPr>
      </w:pPr>
    </w:p>
    <w:p>
      <w:pPr>
        <w:ind w:left="1300" w:right="140" w:hanging="1292"/>
        <w:spacing w:after="0" w:line="277" w:lineRule="auto"/>
        <w:tabs>
          <w:tab w:leader="none" w:pos="652"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from federal, state, and local regulations relating to preparation and sale of food, zoning and building codes, and employee, environmental, taxation and other matters;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from our income tax receivable agreement;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conflicts of interest with our largest stockholders;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72" w:right="319" w:bottom="1440" w:gutter="0" w:footer="0" w:header="0"/>
        </w:sectPr>
      </w:pPr>
    </w:p>
    <w:bookmarkStart w:id="4" w:name="page5"/>
    <w:bookmarkEnd w:id="4"/>
    <w:p>
      <w:pPr>
        <w:ind w:left="652" w:hanging="652"/>
        <w:spacing w:after="0"/>
        <w:tabs>
          <w:tab w:leader="none" w:pos="65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that El Pollo Loco Holdings, Inc. is a holding company with no operations that relies on its operating subsidiaries to provide it with funds;</w:t>
      </w:r>
    </w:p>
    <w:p>
      <w:pPr>
        <w:spacing w:after="0" w:line="140" w:lineRule="exact"/>
        <w:rPr>
          <w:rFonts w:ascii="Arial" w:cs="Arial" w:eastAsia="Arial" w:hAnsi="Arial"/>
          <w:sz w:val="16"/>
          <w:szCs w:val="16"/>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timing of our emerging growth company eligibility under the Jumpstart Our Business Startups Act of 2012 (the “JOBS Act”);</w:t>
      </w:r>
    </w:p>
    <w:p>
      <w:pPr>
        <w:spacing w:after="0" w:line="117" w:lineRule="exact"/>
        <w:rPr>
          <w:rFonts w:ascii="Arial" w:cs="Arial" w:eastAsia="Arial" w:hAnsi="Arial"/>
          <w:sz w:val="18"/>
          <w:szCs w:val="18"/>
          <w:color w:val="auto"/>
        </w:rPr>
      </w:pPr>
    </w:p>
    <w:p>
      <w:pPr>
        <w:ind w:left="1292" w:hanging="1292"/>
        <w:spacing w:after="0" w:line="277"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security breaches of confidential customer information in connection with our electronic process of credit and debit card transactions;</w:t>
      </w:r>
    </w:p>
    <w:p>
      <w:pPr>
        <w:spacing w:after="0" w:line="62"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failure of our information technology system or any breach of our network security;</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standards; and</w:t>
      </w:r>
    </w:p>
    <w:p>
      <w:pPr>
        <w:spacing w:after="0" w:line="117" w:lineRule="exact"/>
        <w:rPr>
          <w:rFonts w:ascii="Arial" w:cs="Arial" w:eastAsia="Arial" w:hAnsi="Arial"/>
          <w:sz w:val="18"/>
          <w:szCs w:val="18"/>
          <w:color w:val="auto"/>
        </w:rPr>
      </w:pPr>
    </w:p>
    <w:p>
      <w:pPr>
        <w:ind w:left="652" w:hanging="652"/>
        <w:spacing w:after="0"/>
        <w:tabs>
          <w:tab w:leader="none" w:pos="652"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described under Risk Factors.</w:t>
      </w:r>
    </w:p>
    <w:p>
      <w:pPr>
        <w:spacing w:after="0" w:line="360"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12"/>
          </w:cols>
          <w:pgMar w:left="248" w:top="476" w:right="10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Unless otherwise specified in this Annual Report on Form 10-K ("Annual Report"), or the context otherwise requires, terms “El Pollo Loco,” “the Company,” “our company,” “we,” “us,” and “our” mean El Pollo Loco Holdings, Inc. (“Holdings”), together with its subsidiaries.</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El Pollo Loco is a differentiated and growing restaurant concept that specializes in fire-grilling citrus-marinated chicken and operates in the limited service restaurant (“LSR”) segment. We strive to offer the quality of food and dining experience typical of fast casual restaurants while providing the speed, convenience, and value typical of traditional quick-service restaurants (“QSRs”), a combination that we call “QSR+.” Our distinctive menu features our signature product—citrus-marinated fire-grilled chicken—and a variety of Mexican-inspired entrees that we create from our chicken. Every day in every restaurant, we marinate and fire-grill our chicken over open flames, and slice whole tomatoes, avocados, serrano peppers, and cilantro to make our salsas, guacamole, and cilantro dressings from scratch. The design of our kitchens reveals our Mexican-inspired cooking process and allows our customers to watch our Grill Masters and team members fire-grill and hand-cut our signature chicken, as well as team members make burritos, salads, tostadas, bowls, stuffed quesadillas, and chicken entrees.</w:t>
      </w:r>
    </w:p>
    <w:p>
      <w:pPr>
        <w:spacing w:after="0" w:line="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5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El Pollo Loco is Spanish for “The Crazy Chicken.” We were organized as a Delaware corporation in 2005. We opened our first location on Alvarado Street in Los Angeles, California, in 1980, and have grown our restaurant system to 484 restaurants, comprised of 213 company-operated and 271 franchised restaurants as of December 26, 2018. Our restaurants are located in California, Arizona, Nevada, Texas, Utah and Louisiana. Our typical restaurant is a free-standing building with drive-thru service that ranges in size from 2,200 to 3,000 square feet with seating for approximately 50-70 people.</w:t>
      </w:r>
    </w:p>
    <w:p>
      <w:pPr>
        <w:spacing w:after="0" w:line="4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Company operates in one operating segment. Financial information about our operations, including our revenues and expenses for fiscal 2018, 2017 and 2016, and our total assets as of the end of fiscal 2018 and 2017, is included in our "Audited Consolidated Financial Statements" and accompanying "Notes to Consolidated Financial Statements" in this Annual Report, see "Item 8. Financial Statements and Supplementary Data."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restaurant industry is divided into two segments: full service and limited service. Full service is comprised of the casual dining, mid-scale, and fine dining sub-segments. Limited service is comprised of the QSR and fast casual sub-segments. QSRs are traditional fast food restaurants with average check sizes of $3.00 to $8.00. Fast casual is a limited or self-service format with average check sizes of $8.00 to $12.00 that offers food prepared to order within a generally more upscale establishment.</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operate within the broader LSR segment, and we strive to offer the food and dining experience of a fast casual restaurant and the speed, value, and convenience of a QSR. We strive to offer menu options that are made with fresh ingredients and provide a healthier alternative to typical fast food, which are also inspired by the culinary and cultural traditions of Mexico and our hometown of Los Angeles.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strengths differentiate us from our competitors and serve as the foundation for our continued growth:</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Differentiated Restaurant Concept with Broad Appeal. </w:t>
      </w:r>
      <w:r>
        <w:rPr>
          <w:rFonts w:ascii="Arial" w:cs="Arial" w:eastAsia="Arial" w:hAnsi="Arial"/>
          <w:sz w:val="18"/>
          <w:szCs w:val="18"/>
          <w:color w:val="auto"/>
        </w:rPr>
        <w:t>We believe that our food, served in contemporary restaurant environments at reasonable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us well to satisfy the needs of our core Hispanic family market and appeal to the broader general market who seek convenient and high-quality meals at reasonable prices. We provide our customers with the opportunity to enjoy citrus-marinated, fire-grilled chicken and Mexican-inspired entrees containing distinctive ingredients such</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2" w:right="239" w:bottom="1440" w:gutter="0" w:footer="0" w:header="0"/>
        </w:sectPr>
      </w:pPr>
    </w:p>
    <w:bookmarkStart w:id="6" w:name="page7"/>
    <w:bookmarkEnd w:id="6"/>
    <w:p>
      <w:pPr>
        <w:ind w:right="20"/>
        <w:spacing w:after="0" w:line="271" w:lineRule="auto"/>
        <w:rPr>
          <w:sz w:val="20"/>
          <w:szCs w:val="20"/>
          <w:color w:val="auto"/>
        </w:rPr>
      </w:pPr>
      <w:r>
        <w:rPr>
          <w:rFonts w:ascii="Arial" w:cs="Arial" w:eastAsia="Arial" w:hAnsi="Arial"/>
          <w:sz w:val="17"/>
          <w:szCs w:val="17"/>
          <w:color w:val="auto"/>
        </w:rPr>
        <w:t>as avocados, mangos, and serrano peppers at price points that appeal to a broad consumer base. We believe that our entree prices are typically lower than the fast casual segment, and a slight premium to the QSR segment. We prepare our entrees to order in approximately four minutes and allow our customers the option to create their favorite flavor profiles using our freshly-prepared salsas before they enjoy their meals in our dining rooms or take their meals to go from the counter or the drive-thru. We also believe that our concept, which integrates the complexity of creating real food in real kitchens with the speed of our service model and the skill of our trained Grill Masters, provides a layer of competitive insulation around our restaurant model. We believe that our positioning appeals to a broad customer base, and that our brand crosses over traditional age, ethnic, and income demographics, giving consumers the best of both the fast casual and QSR segments. We seek to position ourselves as a differentiated restaurant concept, which we believe sources traffic from both dining segments and, as a result, we expect it to drive transaction growth in the future.</w:t>
      </w:r>
    </w:p>
    <w:p>
      <w:pPr>
        <w:spacing w:after="0" w:line="7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Mexican-Inspired, Fresh-Made Fire-Grilled Chicken and Entrees. </w:t>
      </w:r>
      <w:r>
        <w:rPr>
          <w:rFonts w:ascii="Arial" w:cs="Arial" w:eastAsia="Arial" w:hAnsi="Arial"/>
          <w:sz w:val="16"/>
          <w:szCs w:val="16"/>
          <w:color w:val="auto"/>
        </w:rPr>
        <w:t>Our signature product is our chicken, marinated with a proprietary recipe of citrus juice,</w:t>
      </w:r>
      <w:r>
        <w:rPr>
          <w:rFonts w:ascii="Arial" w:cs="Arial" w:eastAsia="Arial" w:hAnsi="Arial"/>
          <w:sz w:val="16"/>
          <w:szCs w:val="16"/>
          <w:i w:val="1"/>
          <w:iCs w:val="1"/>
          <w:color w:val="auto"/>
        </w:rPr>
        <w:t xml:space="preserve"> </w:t>
      </w:r>
      <w:r>
        <w:rPr>
          <w:rFonts w:ascii="Arial" w:cs="Arial" w:eastAsia="Arial" w:hAnsi="Arial"/>
          <w:sz w:val="16"/>
          <w:szCs w:val="16"/>
          <w:color w:val="auto"/>
        </w:rPr>
        <w:t>garlic, and spices, which serves as the foundation of our distinctive menu of flavorful bone-in chicken meals and Mexican-inspired entrees. With menu items such as our signature individual chicken meals, family dinners, Chicken Tostada Salad, Pollo Bowl®, Chicken Avocado Burrito, and Double Chicken Avocado Salad, we believe that we offer our customers a healthier alternative to traditional food on-the-go. Our entrees are prepared using fresh ingredients with recipes inspired by Mexican cuisine. The majority of our menu items are prepared in-restaurant using fresh ingredients, including our bone-in chicken and chicken breast filets, rice, salsas, and cilantro dressing. These items start with our chicken, which is marinated in our restaurants daily. From there, our Grill Masters fire-grill and hand-chop our chicken to order. Our team members create our salsas, and cilantro dressings with fresh tomatoes, avocados, serrano peppers, and cilantro. In addition, our rice is seasoned, and simmered in our restaurants throughout each day.</w:t>
      </w:r>
    </w:p>
    <w:p>
      <w:pPr>
        <w:spacing w:after="0" w:line="5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bone-in chicken meals and Mexican-inspired entrees accounted for 46% and 54% of our company-operated restaurant sales, respectively, in 2018. Our individual and family-sized chicken meals appeal to customers looking to dine at the restaurant or take out during dinnertime, while our more-portable Mexican-inspired entrees draw traffic from customers at lunchtime or for an afternoon snack, enabling us to generate sales almost equally between lunch and dinner. We believe that our family-sized chicken meals provide a healthier and convenient alternative for mothers and families looking to solve the “dinnertime dilemma” of providing their families with high-quality meals without investing significant time or money. In 2018, approximately 28% of our company-operated sales were generated from family-sized meals.</w:t>
      </w:r>
    </w:p>
    <w:p>
      <w:pPr>
        <w:spacing w:after="0" w:line="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 xml:space="preserve">Inviting Experience that Welcomes Our Customers. </w:t>
      </w:r>
      <w:r>
        <w:rPr>
          <w:rFonts w:ascii="Arial" w:cs="Arial" w:eastAsia="Arial" w:hAnsi="Arial"/>
          <w:sz w:val="18"/>
          <w:szCs w:val="18"/>
          <w:color w:val="auto"/>
        </w:rPr>
        <w:t>We believe that our restaurant design creates an inviting restaurant environment. The interiors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feature large, open kitchens that allow customers to watch our Grill Masters prepare our fire-grilled chicken. Our restaurants also feature complimentary self-serve salsa bars showcasing our variety of fresh salsas. The salsa bars invite customers to customize their meals with several salsas prepared in our kitchens every day. Our dining rooms include comfortable booths and chairs, while large windows and soft lighting fill our restaurants with light and warmth.</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Operations Infrastructure that Allows for Real-Time Control, Fast Feedback, and Innovation. </w:t>
      </w:r>
      <w:r>
        <w:rPr>
          <w:rFonts w:ascii="Arial" w:cs="Arial" w:eastAsia="Arial" w:hAnsi="Arial"/>
          <w:sz w:val="18"/>
          <w:szCs w:val="18"/>
          <w:color w:val="auto"/>
        </w:rPr>
        <w:t>We believe that satisfying our customers’ dining needs is the</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for our business, and we have an operations platform that allows us to measure our performance in meeting and exceeding those needs. We utilize an operations dashboard that aggregates real-time, restaurant-level information for many aspects of our business. The dashboard provides corporate and field management, as well as restaurant-level operators, with insight into how we are performing both from the customer’s perspective and also through the eyes of experienced third-party auditors.</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Developing High Average Unit Volumes (“AUVs”) and Strong Unit Economics One Chicken at a Time. </w:t>
      </w:r>
      <w:r>
        <w:rPr>
          <w:rFonts w:ascii="Arial" w:cs="Arial" w:eastAsia="Arial" w:hAnsi="Arial"/>
          <w:sz w:val="18"/>
          <w:szCs w:val="18"/>
          <w:color w:val="auto"/>
        </w:rPr>
        <w:t>We seek to position ourselves as a differentiated</w:t>
      </w:r>
      <w:r>
        <w:rPr>
          <w:rFonts w:ascii="Arial" w:cs="Arial" w:eastAsia="Arial" w:hAnsi="Arial"/>
          <w:sz w:val="18"/>
          <w:szCs w:val="18"/>
          <w:i w:val="1"/>
          <w:iCs w:val="1"/>
          <w:color w:val="auto"/>
        </w:rPr>
        <w:t xml:space="preserve"> </w:t>
      </w:r>
      <w:r>
        <w:rPr>
          <w:rFonts w:ascii="Arial" w:cs="Arial" w:eastAsia="Arial" w:hAnsi="Arial"/>
          <w:sz w:val="18"/>
          <w:szCs w:val="18"/>
          <w:color w:val="auto"/>
        </w:rPr>
        <w:t>QSR+ business, which we believe drives restaurant operating results that are competitive with other leading restaurant concepts in both the fast casual and QSR industry segments. We believe that our restaurant model is designed to generate strong cash flow, consistent restaurant-level financial results, and high returns on invested capital. In 2018, our company-operated restaurants generated average annual sales per restaurant of approximately $1.8 million and restaurant-level contribution margins of 19.0%.</w:t>
      </w:r>
    </w:p>
    <w:p>
      <w:pPr>
        <w:spacing w:after="0" w:line="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Experienced Leadership. </w:t>
      </w:r>
      <w:r>
        <w:rPr>
          <w:rFonts w:ascii="Arial" w:cs="Arial" w:eastAsia="Arial" w:hAnsi="Arial"/>
          <w:sz w:val="18"/>
          <w:szCs w:val="18"/>
          <w:color w:val="auto"/>
        </w:rPr>
        <w:t>Most of our senior management team has extensive operating experience in the restaurant industry. Effective March 12, 2018,</w:t>
      </w:r>
      <w:r>
        <w:rPr>
          <w:rFonts w:ascii="Arial" w:cs="Arial" w:eastAsia="Arial" w:hAnsi="Arial"/>
          <w:sz w:val="18"/>
          <w:szCs w:val="18"/>
          <w:i w:val="1"/>
          <w:iCs w:val="1"/>
          <w:color w:val="auto"/>
        </w:rPr>
        <w:t xml:space="preserve"> </w:t>
      </w:r>
      <w:r>
        <w:rPr>
          <w:rFonts w:ascii="Arial" w:cs="Arial" w:eastAsia="Arial" w:hAnsi="Arial"/>
          <w:sz w:val="18"/>
          <w:szCs w:val="18"/>
          <w:color w:val="auto"/>
        </w:rPr>
        <w:t>Bernard Acoca commenced as our new President and Chief Executive Officer ("CEO"). Stephen J. Sather, our CEO since 2010 retired effective March 12, 2018.</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members of the senior leadership team include Larry Roberts as our Chief Financial Officer, Hector Munoz as our Chief Marketing Officer and Jennifer Jaffe as our Chief People Officer.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believe that we are well-positioned for sales growth because of our strong appeal to our core Hispanic family market, appeal to the broader general market, signature fire-grilled chicken, disciplined business model, and strong unit economics. We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7" w:name="page8"/>
    <w:bookmarkEnd w:id="7"/>
    <w:p>
      <w:pPr>
        <w:ind w:right="60"/>
        <w:spacing w:after="0" w:line="277" w:lineRule="auto"/>
        <w:rPr>
          <w:sz w:val="20"/>
          <w:szCs w:val="20"/>
          <w:color w:val="auto"/>
        </w:rPr>
      </w:pPr>
      <w:r>
        <w:rPr>
          <w:rFonts w:ascii="Arial" w:cs="Arial" w:eastAsia="Arial" w:hAnsi="Arial"/>
          <w:sz w:val="18"/>
          <w:szCs w:val="18"/>
          <w:color w:val="auto"/>
        </w:rPr>
        <w:t>plan to continue to expand our business, drive restaurant sales growth, maintain strong margins, and enhance our competitive positioning by executing on the following strategies:</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u w:val="single" w:color="auto"/>
          <w:color w:val="auto"/>
        </w:rPr>
        <w:t>Expand Our Restaurant Base</w:t>
      </w:r>
      <w:r>
        <w:rPr>
          <w:rFonts w:ascii="Arial" w:cs="Arial" w:eastAsia="Arial" w:hAnsi="Arial"/>
          <w:sz w:val="18"/>
          <w:szCs w:val="18"/>
          <w:i w:val="1"/>
          <w:iCs w:val="1"/>
          <w:color w:val="auto"/>
        </w:rPr>
        <w:t xml:space="preserve">. </w:t>
      </w:r>
      <w:r>
        <w:rPr>
          <w:rFonts w:ascii="Arial" w:cs="Arial" w:eastAsia="Arial" w:hAnsi="Arial"/>
          <w:sz w:val="18"/>
          <w:szCs w:val="18"/>
          <w:color w:val="auto"/>
        </w:rPr>
        <w:t>As discussed below under “Site Selection and Expansion—Restaurant Development,” we plan to continue to expand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 base.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that our restaurant model is designed to generate strong cash flow, attractive restaurant-level financial results and high returns on invested capital. Our investment model targets an average new unit cash investment of approximately $0.8 to $1.7 million, net of tenant allowances, and in a restaurant's third full year of operations, an AUV of approximately $1.8 million and a cash on cash return in excess of 20%, although there is no guarantee these targets will be met. New restaurant performance in outer markets, which include San Francisco/San Jose, Sacramento, Phoenix, Houston and Dallas are currently below these targets.</w:t>
      </w:r>
    </w:p>
    <w:p>
      <w:pPr>
        <w:spacing w:after="0" w:line="8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u w:val="single" w:color="auto"/>
          <w:color w:val="auto"/>
        </w:rPr>
        <w:t>Increase Our Comparable Restaurant Sales.</w:t>
      </w:r>
      <w:r>
        <w:rPr>
          <w:rFonts w:ascii="Arial" w:cs="Arial" w:eastAsia="Arial" w:hAnsi="Arial"/>
          <w:sz w:val="16"/>
          <w:szCs w:val="16"/>
          <w:i w:val="1"/>
          <w:iCs w:val="1"/>
          <w:color w:val="auto"/>
        </w:rPr>
        <w:t xml:space="preserve"> </w:t>
      </w:r>
      <w:r>
        <w:rPr>
          <w:rFonts w:ascii="Arial" w:cs="Arial" w:eastAsia="Arial" w:hAnsi="Arial"/>
          <w:sz w:val="16"/>
          <w:szCs w:val="16"/>
          <w:color w:val="auto"/>
        </w:rPr>
        <w:t>Our system has experienced annual comparable restaurant sales growth for eight consecutive years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December 26, 2018. We aim to build on this momentum by increasing customer frequency, attracting new customers, and improving per-person spend. Furthermore, we believe that we are well positioned to benefit from shifting culinary and demographic trends in the United States.</w:t>
      </w:r>
    </w:p>
    <w:p>
      <w:pPr>
        <w:spacing w:after="0" w:line="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Menu Strategy and Evolution.</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continue to adapt our menu to create family-sized dinner options and lunch entrees that complement our signature fire-grilled chicken, and are inspired by the culinary and cultural traditions of Mexico and our hometown of Los Angeles. We believe that we have opportunities for menu innovation as we look to increase customer frequency and target the dinner segment. In addition, we will continue to tap into the need for healthier offerings by building on the success of our fire-grilled chicken and “better for you” products. Our marketing and operations teams collaborate to ensure that the items developed in our test kitchen can be executed to our high standards in our restaurants with the convenience and value that our customers have come to expect.</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Increase Brand Awareness and Consumer Engagement.</w:t>
      </w:r>
      <w:r>
        <w:rPr>
          <w:rFonts w:ascii="Arial" w:cs="Arial" w:eastAsia="Arial" w:hAnsi="Arial"/>
          <w:sz w:val="18"/>
          <w:szCs w:val="18"/>
          <w:i w:val="1"/>
          <w:iCs w:val="1"/>
          <w:color w:val="auto"/>
        </w:rPr>
        <w:t xml:space="preserve"> </w:t>
      </w:r>
      <w:r>
        <w:rPr>
          <w:rFonts w:ascii="Arial" w:cs="Arial" w:eastAsia="Arial" w:hAnsi="Arial"/>
          <w:sz w:val="18"/>
          <w:szCs w:val="18"/>
          <w:color w:val="auto"/>
        </w:rPr>
        <w:t>We engage customers through our seasonal product calendar, which features new variations of menu</w:t>
      </w:r>
      <w:r>
        <w:rPr>
          <w:rFonts w:ascii="Arial" w:cs="Arial" w:eastAsia="Arial" w:hAnsi="Arial"/>
          <w:sz w:val="18"/>
          <w:szCs w:val="18"/>
          <w:i w:val="1"/>
          <w:iCs w:val="1"/>
          <w:color w:val="auto"/>
        </w:rPr>
        <w:t xml:space="preserve"> </w:t>
      </w:r>
      <w:r>
        <w:rPr>
          <w:rFonts w:ascii="Arial" w:cs="Arial" w:eastAsia="Arial" w:hAnsi="Arial"/>
          <w:sz w:val="18"/>
          <w:szCs w:val="18"/>
          <w:color w:val="auto"/>
        </w:rPr>
        <w:t>items like our Chicken Tostada Salads and Stuffed Quesadillas. Our key points of differentiation are communicated through our advertising campaign, which highlights the brand's authenticity and our Grill Masters' expertise and dedication to high-quality grilled chicken. We tailor our message from television and direct mail, which garners broad exposure, to our Loco Rewards loyalty program and social media platform where we engage in more personalized marketing.</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Loco Rewards loyalty program was launched on June 13, 2017. As of December 26, 2018, there were 1,164,217 members in the Loco Rewards loyalty program. The program offers one point for every dollar customers spend and a $10 reward when they achieve 100 points. Customers earn points primarily by scanning the El Pollo Loco app on Apple iOS or Android at the point of purchase, or by using the app to scan the barcode on their paper receipt anytime within 24 hours of their purchase. We build segmented dynamic campaigns with special offers tailored to each customer segment with the goals of increasing visit frequency and growing overall spend.</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Within our restaurants we continue to engage our customers with point-of-purchase marketing material at various points along their path to purchase to further drive our differentiation.</w:t>
      </w:r>
    </w:p>
    <w:p>
      <w:pPr>
        <w:spacing w:after="0" w:line="6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u w:val="single" w:color="auto"/>
          <w:color w:val="auto"/>
        </w:rPr>
        <w:t>Restaurant Design.</w:t>
      </w:r>
      <w:r>
        <w:rPr>
          <w:rFonts w:ascii="Arial" w:cs="Arial" w:eastAsia="Arial" w:hAnsi="Arial"/>
          <w:sz w:val="16"/>
          <w:szCs w:val="16"/>
          <w:i w:val="1"/>
          <w:iCs w:val="1"/>
          <w:color w:val="auto"/>
        </w:rPr>
        <w:t xml:space="preserve"> </w:t>
      </w:r>
      <w:r>
        <w:rPr>
          <w:rFonts w:ascii="Arial" w:cs="Arial" w:eastAsia="Arial" w:hAnsi="Arial"/>
          <w:sz w:val="16"/>
          <w:szCs w:val="16"/>
          <w:color w:val="auto"/>
        </w:rPr>
        <w:t>In 2016 we launched our newest restaurant design called Vision. The Vision design elevates the brand image with exterior and interior</w:t>
      </w:r>
      <w:r>
        <w:rPr>
          <w:rFonts w:ascii="Arial" w:cs="Arial" w:eastAsia="Arial" w:hAnsi="Arial"/>
          <w:sz w:val="16"/>
          <w:szCs w:val="16"/>
          <w:i w:val="1"/>
          <w:iCs w:val="1"/>
          <w:color w:val="auto"/>
        </w:rPr>
        <w:t xml:space="preserve"> </w:t>
      </w:r>
      <w:r>
        <w:rPr>
          <w:rFonts w:ascii="Arial" w:cs="Arial" w:eastAsia="Arial" w:hAnsi="Arial"/>
          <w:sz w:val="16"/>
          <w:szCs w:val="16"/>
          <w:color w:val="auto"/>
        </w:rPr>
        <w:t>features that embrace the brand’s authentic roots with warm textures, rustic elements and a focus on the signature open kitchen layout established in previous designs. As of December 26, 2018, including new builds and remodels, we had 99 restaurants open with the Vision design in our system.</w:t>
      </w:r>
    </w:p>
    <w:p>
      <w:pPr>
        <w:spacing w:after="0" w:line="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Maintain Strong Margins.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2011, our restaurant contribution margin has ranged from 18.7% in 2011 to a high of 21.9% in 2014. Restaurant contribution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margin was 19.0% in fiscal 2018. While rising labor costs as a result of tighter labor markets and rising minimum wages, along with moderate commodity inflation, continue to challenge unit profitability, we believe we can maintain strong margins through a combination of growing sales, price increases, labor efficiencies and other cost savings.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Selection and Expansion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our restaurant model is designed to generate strong cash flow, attractive restaurant-level financial results, and high returns on invested capital, which we believe provide us with a strong foundation for unit growth over the long-term. In 2018, we opened eight new company-operated restaurants and nine new franchised restaurants.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Sales and profit performance in our outer markets are below our expectations. While we continue to execute operations and marketing initiatives to improve the sales and profit performance in these markets, we are slowing our overall unit growth. As a result, we expect that overall unit development in 2019 will be lower than 2018. During 2018, we closed seven company-</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76" w:right="259" w:bottom="1440" w:gutter="0" w:footer="0" w:header="0"/>
        </w:sectPr>
      </w:pPr>
    </w:p>
    <w:bookmarkStart w:id="8" w:name="page9"/>
    <w:bookmarkEnd w:id="8"/>
    <w:p>
      <w:pPr>
        <w:ind w:right="100"/>
        <w:spacing w:after="0" w:line="264" w:lineRule="auto"/>
        <w:rPr>
          <w:sz w:val="20"/>
          <w:szCs w:val="20"/>
          <w:color w:val="auto"/>
        </w:rPr>
      </w:pPr>
      <w:r>
        <w:rPr>
          <w:rFonts w:ascii="Arial" w:cs="Arial" w:eastAsia="Arial" w:hAnsi="Arial"/>
          <w:sz w:val="18"/>
          <w:szCs w:val="18"/>
          <w:color w:val="auto"/>
        </w:rPr>
        <w:t>operated restaurants in Texas, California and Arizona. For a discussion of the impairment of these restaurants, see below in "Item 1A. Risk Factors—Risks Related to Our Business and Industry—We have incurred, and may continue to incur, significant impairment of certain of our assets, in particular in our new markets."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fiscal 2019, we intend to open three to four new company-operated and three to five new franchised restaurants. There is no guarantee that we will be able to open new company-operated or franchised restaurants, or to increase the overall number of our restaurants. We may be unsuccessful in expanding within existing or into new markets for a variety of reasons as described below in "Item 1A. Risk Factors," including competition for customers, sites, franchisees, employees, licenses, and financing.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Selection Process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consider the location of a restaurant to be a critical variable in its long-term success and as such, we devote significant effort to the investigation and evaluation of potential restaurant locations. Our in-house development team has extensive experience building such brands as Taco Bell, The Habit, Carl's Jr., Baskin Robbins, Wendy’s, Denny's, Johnny Rockets and Dunkin’ Brands. We use a combination of our in-house development team and outside real estate consultants to locate, evaluate, and negotiate new sites using various criteria, including demographic characteristics, daytime population thresholds, and traffic patterns, along with the potential visibility of, and accessibility to, the restaurant. The process for selecting locations incorporates management’s experience and expertise and includes extensive data collection and analysis. Additionally, we use information and intelligence gathered from managers and other restaurant personnel that live in or near the neighborhoods that we are considering.</w:t>
      </w:r>
    </w:p>
    <w:p>
      <w:pPr>
        <w:spacing w:after="0" w:line="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Based on our experience and results, we are currently focused on developing freestanding sites with drive-thrus along with select in-line locations. Our restaurants perform well in a variety of neighborhoods, which gives us greater flexibility and lowers operating risk when selecting new restaurant locations.</w:t>
      </w:r>
    </w:p>
    <w:p>
      <w:pPr>
        <w:spacing w:after="0" w:line="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approve new restaurants only after formal review by our real estate site approval committee, which includes most of our senior management, and we monitor restaurants’ on-going performances to inform future site selection decisions.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Construction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identifying a lease site, we commence our restaurant build-out. Our new restaurants are either ground-up prototypes or retail space conversions. On average, it takes approximately 12 to 18 months from specific site identification to restaurant opening. Our restaurants are constructed in approximately 10 to 15 weeks. In order to maintain consistency of food and customer service, as well as our colorful, bright, and contemporary restaurant environment, we have set processes and timelines to follow for all restaurant openings.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Management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extremely focused on customer service. We aim to provide fast, friendly service on a solid foundation of dedicated, driven team members and managers. Our cashiers are trained on the menu items that we offer and offer customers thoughtful suggestions to enhance the ordering process. Our team members and managers are responsible for our service and dining room environment with a focus on hospitality, team members seek to engage in conversation with our customers to ensure satisfaction. In addition, constant monitoring of the dining room occurs to ensure the fresh salsa bar and beverage station are clean and supplied with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utilize systems that are aimed at measuring our ability to deliver a “best in class” experience for our customers. These systems include customer surveys, mystery shopper scores, and speed-of-service performance trends. The operational results from all of these sources are then presented on an operations dashboard that displays the measures in an easy-to-read online format that corporate and restaurant-level management and franchisees can utilize in order to identify strengths and opportunities and to develop specific plans for continuous performance improvement.</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food safety and quality assurance programs designed to maintain the highest standards for the food and the food preparation procedures that are used by both company-operated and franchised restaurants. We have a quality assurance team and employ third-party auditors that perform our work place and food safety restaurant audits.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Managers and Team Members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Each of our restaurants typically has a general manager, an assistant manager and two to three shift leaders. There are between 20 and 35 team members per restaurant, who prepare our food fresh daily and provide customer service. To lead our restaurant management teams, we have area leaders, each of whom is responsible for 8 to 12 restaurants. Overseeing the area leaders are</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76" w:right="27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8"/>
          <w:szCs w:val="18"/>
          <w:color w:val="auto"/>
        </w:rPr>
        <w:t>three directors of operations who report to a senior director of operations. An additional senior director of operations oversees our area leaders and franchisees in Texas. Franchise operations are supported by three directors of franchise and the restaurant development team is supported by four directors who all currently report to the Vice President, Development and Franchise.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people are the center of the El Pollo Loco customer experience. Creating a culture of constant learning has been essential in equipping our people with the skills to deliver our high standards and commitments to our guests and employees. We strive to find ways to simplify our methodology and invest in elevating our people. In a rapidly evolving landscape, effective training is not only dependent on quality of content, but also on method of delivery. To engage our growing base of millennial employees, we employ a Learning Management System called Pollo Zone, our tablet-based learning tool. This platform is a central hub for all training efforts and features individual learner profiles to support engagement and accountability on our path toward investing in our people and their growth.</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Program</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a franchising strategy to increase new restaurant growth in certain markets, leveraging the ownership of entrepreneurs with specific local market expertise and requiring a relatively minimal capital commitment by us. As of December 26, 2018, there were a total of 271 franchised restaurants. Franchisees range in size from single-restaurant operators to the largest franchisee, which owned 60 restaurants as of December 26, 2018. Our existing franchise base consists of many successful, longstanding, multi-unit restaurant operators. As of December 26, 2018, approximately 75% of franchised restaurants were owned and operated by franchisees that had been with us for over 20 years.</w:t>
      </w:r>
    </w:p>
    <w:p>
      <w:pPr>
        <w:spacing w:after="0" w:line="8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believe that the franchise revenue generated from our franchise base has historically served as an important source of stable and recurring cash flows to us, and we accordingly plan to expand our base of franchised restaurants. In existing markets, we encourage growth from current franchisees. In our expansion markets, we seek highly-qualified and experienced new franchisees for multi-unit development opportunities.</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believe that creating a foundation of initial and on-going support is important for future success, both for our franchisees and for our brand. Therefore, we have structured our corporate staff, programs, and communication systems to ensure that we are delivering high-quality support to our franchisees.</w:t>
      </w:r>
    </w:p>
    <w:p>
      <w:pPr>
        <w:spacing w:after="0" w:line="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franchise training program is a key element in ensuring our franchise owners and their managers are equipped with the knowledge and skills necessary for success. The program introduces new franchise members to El Pollo Loco with hands-on training in the operation and management of our restaurants. This foundational training is conducted by a general training manager who has been certified by our operations group. Training must be successfully completed before a trainee can be assigned to a restaurant as a manager.</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Once introductory training has been completed, we offer a path toward constant learning for all crew members by providing instructional materials that span management training, operations, new product introductions, food safety and a number of other essential restaurant functions. Many of these programs are distributed through Pollo Zone, as a central hub for all training efforts and features individual learner profiles that will provide our franchise owners with real-time access to the progress of learning in their restaurants.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strive to distinguish the El Pollo Loco brand by building a brand equity that we believe not only accentuates our strengths but also deepens the strong emotional connections we have with our customers. In October 2018, we completed codifying our brand architecture in a comprehensive brand book, which will shape our strategic brand decisions and influence how we communicate the El Pollo Loco brand to consumers. We promote our restaurants and products by emphasizing our points of differentiation, from our fresh ingredients and made-from-scratch preparation, to the cooking of our citrus-marinated chicken on open fire grills in our kitchens, as well as the convenience and quality we offer for families.</w:t>
      </w:r>
    </w:p>
    <w:p>
      <w:pPr>
        <w:spacing w:after="0" w:line="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use multiple marketing channels, including television, digital, and print, to broadly drive brand awareness and purchases of our featured products. We advertise on local broadcast and cable television.</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Through our public relations efforts, we engage notable food editors and bloggers on a range of topics to help promote our products. In addition, we engage in one-on-one conversations using a portfolio of social media platforms, including Facebook, Instagram and Twitter. We also use social media as a research and customer service tool, and apply insights gained to future marketing efforts.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6" w:right="239" w:bottom="1440" w:gutter="0" w:footer="0" w:header="0"/>
        </w:sectPr>
      </w:pPr>
    </w:p>
    <w:bookmarkStart w:id="10" w:name="page11"/>
    <w:bookmarkEnd w:id="10"/>
    <w:p>
      <w:pPr>
        <w:ind w:right="300"/>
        <w:spacing w:after="0" w:line="276" w:lineRule="auto"/>
        <w:rPr>
          <w:sz w:val="20"/>
          <w:szCs w:val="20"/>
          <w:color w:val="auto"/>
        </w:rPr>
      </w:pPr>
      <w:r>
        <w:rPr>
          <w:rFonts w:ascii="Arial" w:cs="Arial" w:eastAsia="Arial" w:hAnsi="Arial"/>
          <w:sz w:val="17"/>
          <w:szCs w:val="17"/>
          <w:color w:val="auto"/>
        </w:rPr>
        <w:t>Our Loco Rewards loyalty program uses points, rewards, and offers to build engagement with our customers. Customers access the program on elpolloloco.com and the El Pollo Loco iOS Apple and Android app. We build segmented dynamic campaigns with special offers tailored to each customer segment with the goals of increasing visit frequency and growing overall spend. To keep customers engaged with the program, unannounced offers, called "Surprise and Delights" are awarded based on that customer’s transaction history. We communicate offers, loyalty updates and other Loco Rewards campaigns to customers via in-app messaging, mobile phone push notifications and email.</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online ordering program makes it easy for customers to skip the line and order ahead. Available for every location and accessible from elpolloloco.com or the El Pollo Loco mobile app, any order can be placed and paid for before arriving at the restaurant. During the third quarter of 2018, we added the ability for customers to pay for online orders with their mobile phones using a stored value component built into our app, as well as the capability to e-gift El Pollo Loco to a friend or a family member. For additional convenience, as of December 26, 2018, 200 company and 176 franchise locations offered integrated delivery through a third party service.</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2004 we created El Pollo Loco Charities, a non-profit charity, to support the communities surrounding our restaurants. El Pollo Loco Charities has provided over 15,000 meals per year to underprivileged families, through organizations like Food on Foot, Habitat for Humanity, Children’s Institute, and Court Appointed Special Advocates.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and Distribution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Maintaining a high degree of quality in our restaurants depends in part on our ability to acquire fresh ingredients, and other necessary supplies that meet our specifications, from reliable suppliers. We regularly inspect our vendors to ensure that products purchased conform to our standards and that prices offered are competitive. We have a quality assurance team and third party accredited auditors that perform comprehensive supplier audits on a frequency schedule based on the potential food safety risk for each product. We contract with McLane Company (our “primary distributor”), a major foodservice distributor, for substantially all of our food and supplies, including the poultry that our restaurants receive from suppliers. Our primary distributor delivers supplies to most of our restaurants three times per week. Our restaurants in Texas utilize regional distributors for produce. Our franchisees are required to use our primary distributor or an approved regional distributor, and franchisees must purchase food and supplies from approved suppliers. Poultry is our largest product cost item and represented approximately 40% of our total food and paper costs for 2018. Fluctuations in supply and in price can significantly impact our restaurant service and profit performance. We actively manage cost volatility for poultry by negotiating with multiple suppliers and entering into what we believe are the most favorable contract terms given existing market conditions. In the past, we have entered into contracts ranging from one to two years depending on current and expected market conditions. We currently source poultry from six suppliers, with two accounting for approximately 67% of our planned purchases for fiscal 2019. We have fixed prices for 100% of our poultry supply through the end of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registered El Pollo Loco ® , Pollo Bowl ® , The Crazy Chicken ® , and certain other names used by our restaurants as trademarks or service marks with the U.S. Patent and Trademark Office (the “PTO”), and El Pollo Loco ® in approximately 42 foreign countries. In addition, the El Pollo Loco logo, website name and address, Facebook, Twitter, Instagram and YouTube accounts are our intellectual property. Our policy is to pursue and maintain registration of service marks and trademarks in those countries where business strategy requires us to do so, and to oppose vigorously any infringement or dilution of the service marks or trademarks in those countries. We maintain the recipe for our chicken marinade, as well as certain proprietary standards, specifications, and operating procedures, as trade secrets or as confidential proprietary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operate in the restaurant industry, which is highly competitive and fragmented. The number, size, and strength of competitors varies by region. Our competition includes a variety of locally-owned restaurants and national and regional chains that offer dine-in, carry-out, and delivery services. Our competition from the broadest perspective includes restaurants, pizza parlors, convenience food stores, delicatessens, supermarkets, and club stores. There are no significant direct competitors with respect to menus that feature marinated, fire-grilled chicken. However, we indirectly compete with fast casual restaurants, including Chipotle, Panera, Qdoba, and Rubio’s, among others, and with chicken-specialty QSRs and Mexican QSRs, such as Chick-fil-A, Church’s Chicken, KFC, Popeyes Louisiana Kitchen, Del Taco and Taco Bell, among others.</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believe that competition within the fast casual restaurant segment is based primarily on ambience, price, taste, quality, and freshness of menu items, as well as on the convenience of drive-thru service. We also believe that QSR competition is based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1" w:name="page12"/>
    <w:bookmarkEnd w:id="11"/>
    <w:p>
      <w:pPr>
        <w:ind w:right="180"/>
        <w:spacing w:after="0" w:line="277" w:lineRule="auto"/>
        <w:rPr>
          <w:sz w:val="20"/>
          <w:szCs w:val="20"/>
          <w:color w:val="auto"/>
        </w:rPr>
      </w:pPr>
      <w:r>
        <w:rPr>
          <w:rFonts w:ascii="Arial" w:cs="Arial" w:eastAsia="Arial" w:hAnsi="Arial"/>
          <w:sz w:val="18"/>
          <w:szCs w:val="18"/>
          <w:color w:val="auto"/>
        </w:rPr>
        <w:t>primarily on quality, taste, speed of service, value, brand recognition, restaurant location, and customer service. In addition, we compete with franchisors of other restaurant concepts for prospective franchisees.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operations are also subject to federal, state, and local laws and regulations relating to environmental protection, including regulation of discharges into the air and water, storage and disposal of waste, and clean-up of contaminated soil and groundwater. Under various federal, state, and local laws, an owner or operator of real property may be liable for the cost of removal or remediation of hazardous or toxic substances on, in, or emanating from that property. Such liability may be imposed without regard to whether the owner or operator knew of, or was responsible for, the presence of such hazardous or toxic substances.</w:t>
      </w:r>
    </w:p>
    <w:p>
      <w:pPr>
        <w:spacing w:after="0" w:line="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Certain of our properties may be located on sites that we know or suspect have been used by prior owners or operators as retail gas stations. Such properties previously contained underground storage tanks (“USTs”), and while we are not aware of any sites with USTs remaining, it is possible that some of these properties may currently contain abandoned USTs. We are aware of contamination from a release of hazardous materials by a previous owner at two of our owned properties and one of our leased properties. We do not believe that we have contributed to the contamination at any of these properties. The appropriate state agencies have been notified, and these issues are being handled without disruption to our business. It is possible that petroleum products and other contaminants may have been released at other properties into the soil or groundwater. Under applicable federal and state environmental laws, we, as the current owner or operator of these sites, may be jointly and severally liable for the costs of investigation and remediation for any contamination. Although we lease most of our properties, and, when we own, we obtain certain assurances from the prior owner or often obtain indemnity agreements from third parties, we cannot assure you that we will not be liable for environmental conditions relating to our prior, existing, or future restaurants or restaurant sites. If we were found liable for the cost of remediation of contamination at, or emanating from, any of our properties, our operating expenses would likely increase and our operating results would likely be materially and adversely affected.</w:t>
      </w:r>
    </w:p>
    <w:p>
      <w:pPr>
        <w:spacing w:after="0" w:line="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Since 2000, we have obtained “Phase One” environmental reports for new restaurants. Where warranted, we obtain updated reports, and, if necessary, in rare cases, we obtain “Phase Two” reports. We have not conducted a comprehensive environmental review of all of our properties or operations. No assurance can be given that we have identified all of the potential environmental liabilities at our properties or that such liabilities will not have a material adverse effect on our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Compliance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subject to extensive federal, state, and local government regulations, including those relating to, among other things, public health and safety, zoning and fire codes, and franchising. Failures to obtain or retain food or other licenses and registrations, or exemptions thereto, would adversely affect the operations of restaurants.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w:t>
      </w:r>
    </w:p>
    <w:p>
      <w:pPr>
        <w:spacing w:after="0" w:line="8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development and construction of additional restaurants will be subject to compliance with applicable zoning, land use and environmental regulations. We believe that federal and state environmental regulations have not had a material effect on operations, but more stringent and varied requirements of local government bodies with respect to zoning, land use, and environmental factors could delay construction and increase development costs for new restaurants.</w:t>
      </w:r>
    </w:p>
    <w:p>
      <w:pPr>
        <w:spacing w:after="0" w:line="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also subject to the Fair Labor Standards Act, the Immigration Reform and Control Act of 1986, and various federal, state and local laws governing such matters as minimum wages, overtime, unemployment tax rates, workers’ compensation rates, citizenship requirements, and other working requirements and conditions. A significant portion of our hourly staff is paid at rates consistent with the applicable federal, state, or local minimum wage and, accordingly, increases in the applicable minimum wage will increase our labor costs. We are also subject to the Americans with Disabilities Act, which prohibits discrimination on the basis of disability in public accommodations and employment, and which may require us to design or modify our restaurants to make reasonable accommodations for disabled individuals.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various regulatory and compliance risks that we face, see below under "Item 1A. Risk Factors.”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 of our company-operated and franchised restaurants use computerized point-of-sale and back-office systems, which we believe can scale to support our long-term growth plans. Our point-of-sale system provides a touch-screen interface and is integrated with segmented Europay, Mastercard and Visa tokenized high speed credit and gift card processing hardware. Our</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76"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point-of-sale system is used to collect daily transaction data, which provides daily sales and product mix information that we actively analyze.</w:t>
      </w:r>
    </w:p>
    <w:p>
      <w:pPr>
        <w:spacing w:after="0" w:line="11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Our in-restaurant back-office computer system is designed to assist in the management of our restaurants and to provide labor and food cost management tools. The system also provides corporate headquarters and restaurant operations management quick access to detailed business data, and reduces the time spent by restaurant managers on administrative needs. The system further provides sales, bank deposit, and variance data to our accounting department on a daily basis. For company-operated restaurants, we use this data to generate weekly consolidated reports regarding sales and other key measures, as well as preliminary weekly profit and loss statements for each location, with final reports following the end of each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26, 2018, we had approximately 5,573 employees, of whom approximately 5,410 were hourly restaurant employees comprised of 4,522 crewmembers, 198 general managers, 202 assistant managers, 438 shift leaders, and 50 employees in limited-time roles as acting managers or as managers in training. The remaining 163 employees were corporate and office personnel. None of our employees are part of a collective bargaining agreement, and we believe that our relationships with our employees are satisfactory.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Seasonal factors, including weather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 restaurant revenue and comparable restaurant sales may fluctuate.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October 29, 2018, we entered into an employment agreement with Hector Munoz which sets forth the terms and conditions under which he will serve as the Company’s Chief Marketing Officer. The term of the agreement commenced on December 1, 2018 and will expire on the eighteen-month anniversary thereof, provided that the term will automatically extend for an additional one-year period on each expiration date thereof (with non-renewal thereof by us treated the same as termination without cause).</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On January 24, 2019, the parties reached an agreement in principle to settle all claims and allegations brought on behalf of putative class members in Superior Court of the State of California, County of Orange under the caption </w:t>
      </w:r>
      <w:r>
        <w:rPr>
          <w:rFonts w:ascii="Arial" w:cs="Arial" w:eastAsia="Arial" w:hAnsi="Arial"/>
          <w:sz w:val="17"/>
          <w:szCs w:val="17"/>
          <w:u w:val="single" w:color="auto"/>
          <w:color w:val="auto"/>
        </w:rPr>
        <w:t>Elliott Olvera, et al. v. El Pollo Loco, Inc., et al.</w:t>
      </w:r>
      <w:r>
        <w:rPr>
          <w:rFonts w:ascii="Arial" w:cs="Arial" w:eastAsia="Arial" w:hAnsi="Arial"/>
          <w:sz w:val="17"/>
          <w:szCs w:val="17"/>
          <w:color w:val="auto"/>
        </w:rPr>
        <w:t xml:space="preserve"> (Case No. 30-2014-00707367-CU-OE-CXC), as well as all wage and hour claims brought in the class actions captioned </w:t>
      </w:r>
      <w:r>
        <w:rPr>
          <w:rFonts w:ascii="Arial" w:cs="Arial" w:eastAsia="Arial" w:hAnsi="Arial"/>
          <w:sz w:val="17"/>
          <w:szCs w:val="17"/>
          <w:u w:val="single" w:color="auto"/>
          <w:color w:val="auto"/>
        </w:rPr>
        <w:t>Martha Perez v. El Pollo Loco, Inc.</w:t>
      </w:r>
      <w:r>
        <w:rPr>
          <w:rFonts w:ascii="Arial" w:cs="Arial" w:eastAsia="Arial" w:hAnsi="Arial"/>
          <w:sz w:val="17"/>
          <w:szCs w:val="17"/>
          <w:color w:val="auto"/>
        </w:rPr>
        <w:t xml:space="preserve"> (Los Angeles Superior Court Case No. BC624001), </w:t>
      </w:r>
      <w:r>
        <w:rPr>
          <w:rFonts w:ascii="Arial" w:cs="Arial" w:eastAsia="Arial" w:hAnsi="Arial"/>
          <w:sz w:val="17"/>
          <w:szCs w:val="17"/>
          <w:u w:val="single" w:color="auto"/>
          <w:color w:val="auto"/>
        </w:rPr>
        <w:t>Maria Vega, et al. v. El Pollo Loco, Inc.</w:t>
      </w:r>
      <w:r>
        <w:rPr>
          <w:rFonts w:ascii="Arial" w:cs="Arial" w:eastAsia="Arial" w:hAnsi="Arial"/>
          <w:sz w:val="17"/>
          <w:szCs w:val="17"/>
          <w:color w:val="auto"/>
        </w:rPr>
        <w:t xml:space="preserve"> (Los Angeles Superior Court Case No. BC649719), and </w:t>
      </w:r>
      <w:r>
        <w:rPr>
          <w:rFonts w:ascii="Arial" w:cs="Arial" w:eastAsia="Arial" w:hAnsi="Arial"/>
          <w:sz w:val="17"/>
          <w:szCs w:val="17"/>
          <w:u w:val="single" w:color="auto"/>
          <w:color w:val="auto"/>
        </w:rPr>
        <w:t>Gonzalez v. El Pollo Loco, Inc.</w:t>
      </w:r>
      <w:r>
        <w:rPr>
          <w:rFonts w:ascii="Arial" w:cs="Arial" w:eastAsia="Arial" w:hAnsi="Arial"/>
          <w:sz w:val="17"/>
          <w:szCs w:val="17"/>
          <w:color w:val="auto"/>
        </w:rPr>
        <w:t xml:space="preserve"> (Los Angeles Superior Court Case No. BC712867). See additional information presented in "Note 13. Commitments and Contingencies—Legal Matters" in the accompanying "Notes to Consolidated Financial Statements" in this Annual Report.</w:t>
      </w:r>
    </w:p>
    <w:p>
      <w:pPr>
        <w:spacing w:after="0" w:line="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On January 23, 2019, the parties filed a Notice of Settlement and Joint Request for Order to Stay Proceedings, stating the parties have reached an agreement in principle to settle the claims and allegations brought on behalf of putative class members in United States District Court, Central District of California under the caption </w:t>
      </w:r>
      <w:r>
        <w:rPr>
          <w:rFonts w:ascii="Arial" w:cs="Arial" w:eastAsia="Arial" w:hAnsi="Arial"/>
          <w:sz w:val="16"/>
          <w:szCs w:val="16"/>
          <w:u w:val="single" w:color="auto"/>
          <w:color w:val="auto"/>
        </w:rPr>
        <w:t>Turocy v. El Pollo Loco Holdings, Inc. et al.</w:t>
      </w:r>
      <w:r>
        <w:rPr>
          <w:rFonts w:ascii="Arial" w:cs="Arial" w:eastAsia="Arial" w:hAnsi="Arial"/>
          <w:sz w:val="16"/>
          <w:szCs w:val="16"/>
          <w:color w:val="auto"/>
        </w:rPr>
        <w:t>, (Case No. 8:15-cv-01343-DOC-KES). See additional information presented in "Note 13. Commitments and Contingencies—Legal Matters" in the accompanying "Notes to Consolidated Financial Statements" in this Annual Report.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make available free of charge on our Internet website our Annual Reports, quarterly reports on Form 10-Q, current reports on Form 8-K, and amendments to those reports filed or furnished pursuant to Section 13(a) or 15(d) of the Securities Exchange Act of 1934, as amended (the “Exchange Act”) (15 U.S.C. 78m(a) or 78o(d)), as soon as reasonably practicable after we electronically file such material with, or furnish it to, the Securities and Exchange Commission (“SEC”). Our Internet address is www.elpolloloco.com. The contents of our Internet website are not part of this annual report, and are not incorporated by reference. Our Internet address is provided as an inactive textual reference only.</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public may read and copy any materials that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as well as other information contained in this report, including our financial statements and the notes related to those statements. The occurrence of any of the following risks could materially and adversely affect our business, prospects, financial condition, results of operations,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prolonged economic downturn could materially affect us in the future.</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restaurant industry is dependent upon consumer discretionary spending. A prolonged economic downturn or an economic recession could impact the public’s ability and desire to spend discretionary dollars as a result of job losses, home foreclosures, significantly-reduced home values, investment losses, bankruptcies, and reduced access to credit, which could result in lower levels of customer transactions and lower average check sizes in our restaurants. If the economy experiences another significant decline, our business, results of operations, and ability to comply with the terms of our secured revolving credit facility could be materially and adversely affected, and we and our franchisees might decelerate the number and timing of new restaurant openings. Deterioration in customer transactions or a reduction in average check size would negatively impact our revenues and our profitability and could result in further reductions in staff levels, additional impairment charges, and potential restaurant closures.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vulnerable to changes in consumer preferences and economic conditions that could harm our business, financial condition, results of operations, and cash flow.</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Food service businesses depend on consumer discretionary spending and are often affected by changes in consumer tastes, national, regional, and local economic conditions, and demographic trends. Factors such as traffic patterns, weather, fuel prices, local demographics, and the type, number, and locations of competing restaurants may adversely affect the performances of individual locations. In addition, economic downturns, inflation, or increased food or energy costs could harm the restaurant industry in general and our locations in particular. Adverse changes in any of these factors could reduce consumer transactions or impose practical limits on pricing that could harm our business, financial condition, results of operations, and cash flow. There can be no assurance that consumers will continue to regard chicken-based or Mexican-inspired food favorably or that we will be able to develop new products that appeal to consumer preferences. Our business, financial condition, and results of operations depend in part on our ability to anticipate, identify, and respond to changing consumer preferences and economic conditions.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and social factors, including regarding trade, immigration or customer preferences, could negatively impact our business.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success is dependent upon continued customer acceptance of our Mexican-inspired food. Increases in tariffs, restrictions on trade, or other deterioration in American political or economic relations with Mexico, or a decrease in American consumers’ interest in Mexican-inspired food, could harm our brand and profitability. Additionally, changes in trade, labor, or immigration policy could raise our input prices, or reduce the supply of immigrants who are in many cases our customers or employees, diminishing our sales and increasing our labor costs.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geographically concentrated in the greater Los Angeles area, and we could be negatively affected by conditions specific to that region.</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company-operated and franchised restaurants in the greater Los Angeles area generated, in the aggregate, approximately 69.2% of our revenue in fiscal 2018 and approximately 72.9% in fiscal 2017. Adverse changes in demographic, unemployment, economic, or regulatory conditions in the greater Los Angeles area or in the State of California, including, but not limited to, enforcement policies for and changes in immigration law, have had and may continue to have material adverse effects on our business. We believe that an increase in unemployment would have a negative impact on transactions in our restaurants. As a result of our concentration in the greater Los Angeles area, we have been disproportionately affected by the above adverse economic conditions as compared to other national chain restaurants.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vulnerable to natural disasters given its geographic concentration and real estate intensive nature.</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Since our business is geographically concentrated in the greater Los Angeles area, we could be negatively affected by weather conditions specific to that region, including fires, earthquakes, or other natural disasters. Additionally, outside of Los Angeles, many of our restaurants are clustered around major cities in Northern California, Texas, and elsewhere, and prolonged or severe inclement weather could affect our sales at restaurants in locations that experience such conditions. Localized disasters, especially exacerbated by climate change, including wildfires, hurricanes, and flooding, could impair our assets and operations in those areas. For example, in the third quarter of 2017, the Houston metropolitan area was impacted by Hurricane Harvey and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8" w:right="2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resultant flooding. This caused for us, among other effects, temporary store closures and food spoilage. We may also suffer unexpected losses resulting from natural disasters or other catastrophic events affecting our areas of operation, such as earthquakes, fires, droughts, local strikes, terrorist attacks, increases in energy prices, explosions, or other natural or man-made disasters. The incidence and severity of catastrophes are inherently unpredictable, and our losses from catastrophes could be substantial.</w:t>
      </w:r>
    </w:p>
    <w:p>
      <w:pPr>
        <w:spacing w:after="0" w:line="133"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One of the key means to achieving our growth strategy is and will be through opening new restaurants and operating those restaurants on a profitable basis. We opened eight new company-operated restaurants in fiscal 2018 and plan to open three to four in fiscal 2019. Our franchisees opened nine new restaurants in fiscal 2018 and plan to open three to five in fiscal 2019. The ability to open new restaurants is dependent upon a number of factors, many of which are beyond our control, including our and our franchisees’ abilities to:</w:t>
      </w:r>
    </w:p>
    <w:p>
      <w:pPr>
        <w:spacing w:after="0" w:line="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available and suitable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compete for restaurant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reach acceptable agreements regarding the lease or purchase of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or have available the financing required to acquire and operate a restaurant, including construction and opening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respond to unforeseen engineering or environmental problems with leased premises;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avoid the impact of inclement weather and natural and man-made disasters;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train, and retain the skilled management and other employees necessary to meet staffing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in a timely manner and for an acceptable cost, required licenses, permits, and regulatory approvals;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respond effectively to any changes in local, state, and federal law and regulations that adversely affect our and our franchisees’ costs or abilities to open new restaurants;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 construction and equipment cost increases for new restaurants.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3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experienced personnel, (ii) unfamiliarity with local real estate markets and demographics, (iii) consumer unfamiliarity with our brand, and (iv) 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73"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have incurred, and may continue to incur, significant impairment of certain of our assets, in particular in our new markets.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fiscal 2018, we determined that the carrying value of assets at certain restaurants may not be recoverable. As a result, we recorded a $5.1 million impairment expense primarily related to four restaurants, in Arizona, California and Texas, including a restaurant in Texas that opened in early 2018. During fiscal 2017, we determined that the carrying value of the assets of 21 restaurants, in Arizona, California and Texas, may not be recoverable. Additionally, we made a strategic decision to close two additional restaurants in Texas. As a result, we recorded a $32.6 million impairment expense. The impairment expense for fiscal 2017 included an impairment expense of $27.7 million, representing the entire remaining value of capitalized assets of all of our company-operated restaurants in Texas, net of previously recorded depreciation. Factors which led to the impairment of our Texas restaurants included operating results, which indicated that the restaurants would not achieve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 Given the difficulty in projecting results for newer restaurants in newer markets, we are also monitoring the recoverability of the carrying value of the assets of several other restaurants on an ongoing basis, including those in the Arizona and Northern California markets. For those restaurants, if expected performance improvements are not realized, an impairment charge may be recognized in future periods, and such charge could be material. Asset impairments outside of Texas, or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food and supply costs, especially for chicken, could adversely affect our business, financial condition, and results of operations.</w:t>
      </w:r>
    </w:p>
    <w:p>
      <w:pPr>
        <w:spacing w:after="0" w:line="1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profitability depends in part on our ability to anticipate and react to changes in food and supply costs. We are susceptible to increases in food costs as a result of factors beyond our control, such as general economic conditions, seasonal economic fluctuations, weather conditions, global demand, food safety concerns, infectious diseases, fluctuations in the U.S. dollar, product recalls, and government regulations, including tariffs and other import restrictions on foreign produce and other goods. At times the costs of many foods for humans and animals, including corn, wheat, corn flour and other flour, rice, and cooking oil, have increased markedly, resulting in upward pricing pressures on almost all of our raw ingredients, including chicken and other meats, and increasing our food costs. Environmental and weather-related issues, such as freezes, drought and climate change, may also lead to increases, temporary or permanent, or spikes in the prices of some ingredients, such as produce and meat. Issues affecting the availability of produce, poultry, or other proteins such as shrimp, including blight, disease, and overfishing, have in the past and may in the future also raise their prices. Any increase in the prices of the ingredients most critical to our menu, such as chicken, corn, cheese, avocados, beans, rice, and tomatoes, could adversely compress our margins, or cause us to raise our prices, reducing customer demand. Alternatively, in the event of cost increases with respect to one or more of our raw ingredients, we might choose to temporarily suspend serving menu items, such as guacamole or one or more of our salsas, rather than pay the increased cost. Any such changes to our menu prices or available menu could negatively impact our restaurant transactions, business, and comparable restaurant sales during the shortage and thereafter.</w:t>
      </w:r>
    </w:p>
    <w:p>
      <w:pPr>
        <w:spacing w:after="0" w:line="6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principal food product is chicken. In fiscal 2018, 2017, and 2016, the cost of chicken included in our product cost was approximately 11.0%, 11.3%, and 12.4%, respectively, of our revenue from company-operated restaurants. Material increases in the cost of chicken could materially and adversely affect our business, operating results, and financial condition. Changes in the cost of chicken can result from a number of factors, including seasonality, increases in the cost of grain, disease, and other factors that affect domestic and international supply of and demand for chicken products. A major driver of the price of corn, which is the primary feed source for chicken, has been the increasing demand for corn by the ethanol industry as an alternative fuel source, as most ethanol plants in the United States primarily use corn to make ethanol. This increased demand on the nation’s corn crop has had and may continue to have an unfavorable impact on chicken prices. Additionally, environmental and animal rights regulations or voluntary programs could increase the cost or supply of chicken and other foods. We often ask our suppliers to use fixed price contracts or other financial risk management strategies to reduce potential price fluctuations in the cost of chicken and other commodities. We have implemented menu price increases in the past to significantly offset increased chicken prices, due to competitive pressures and compressed profit margins. We may not be able to offset all or any portion of increased food and supply costs through higher menu prices in the future. If we implement further menu price increases in the future to protect our margins, average check size and restaurant transactions could be materially and adversely affected, at both company-operated and franchised restaurants.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could reduce sales at some or all of our restaurants.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from time to time, faced with negative publicity at one or more of our restaurants relating to (i) food quality; (ii) the safety, sanitation, and welfare of chicken, which is our principal food product; (iii) restaurant facilities; (iv) customer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6" w:name="page17"/>
    <w:bookmarkEnd w:id="16"/>
    <w:p>
      <w:pPr>
        <w:ind w:right="100"/>
        <w:spacing w:after="0" w:line="270" w:lineRule="auto"/>
        <w:rPr>
          <w:sz w:val="20"/>
          <w:szCs w:val="20"/>
          <w:color w:val="auto"/>
        </w:rPr>
      </w:pPr>
      <w:r>
        <w:rPr>
          <w:rFonts w:ascii="Arial" w:cs="Arial" w:eastAsia="Arial" w:hAnsi="Arial"/>
          <w:sz w:val="17"/>
          <w:szCs w:val="17"/>
          <w:color w:val="auto"/>
        </w:rPr>
        <w:t>complaints or litigation alleging illness or injury; (v) health inspection scores; (vi) integrity of our or our suppliers’ food processing and other policies, practices, and procedures; (vii) employee relationships; or (viii) other matters. Negative publicity can adversely affect us, regardless of whether an allegation is valid or whether we are held to be responsible. In addition, the negative impact of adverse publicity relating to one restaurant may extend far beyond the restaurant involved to affect some or all of our other restaurants, including our franchised restaurants. For example, we, or other chicken purveyors or restaurant companies generally, could come under criticism from animal rights and welfare activists for our business practices or those of our suppliers. Such criticisms could impair our brand, our restaurant sales, our hiring, our expansion plans, and the performance of our franchisees. If we changed our practices because of concerns about animal welfare, or in response to such criticisms, our costs might increase, or we might have to change our suppliers or our menu. The risk of negative publicity is particularly great with respect to our franchised restaurants, because we are limited in the manner in which we can regulate them, especially on a real-time basis. A similar risk exists with respect to food service businesses unrelated to us, if customers mistakenly associate those unrelated businesses with our operations.</w:t>
      </w:r>
    </w:p>
    <w:p>
      <w:pPr>
        <w:spacing w:after="0" w:line="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Employee claims against us or our franchisees based on, among other things, wage and hour violations, discrimination, harassment, or wrongful termination may also create not only legal and financial liability but negative publicity that could adversely affect us and divert our financial and management resources that could otherwise be used to benefit the future performance of our operations. These types of employee claims could also be asserted against us, on a co-employer theory, by employees of our franchisees. A significant increase in the number of these claims, or an increase in the number of successful claims, could materially and adversely affect our business, financial condition, results of operations, and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Food-borne illness and other food safety and quality concerns may negatively impact our business and profitability.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Incidents or reports of food- or water-borne illness or other food safety issues, food contamination or tampering, employee hygiene or cleanliness failures, or improper employee conduct at our restaurants could lead to product liability or other claims. Such incidents or reports could negatively affect our brand and reputation as well as our business, revenues, and profits. Similar incidents or reports occurring at quick-service restaurants unrelated to us could likewise create negative publicity, which could negatively impact consumer behavior towards us.</w:t>
      </w:r>
    </w:p>
    <w:p>
      <w:pPr>
        <w:spacing w:after="0" w:line="7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cannot guarantee that our internal controls and training will be fully effective in preventing all food-borne illnesses. Furthermore, our reliance on third-party food processors makes it difficult to monitor food safety compliance, and may increase the risk that a food-borne illness would affect multiple locations rather than a single restaurant. Some food-borne illness incidents could be caused by third-party food suppliers and transporters outside of our control. New illnesses resistant to our current precautions may develop in the future, or diseases with long incubation periods could arise that could cause claims or allegations on a retroactive basis. One or more instances of food-borne illness in one of our company-operated or franchised restaurants could negatively affect sales at all of our restaurants if highly publicized. This risk would exist even if it were later determined that an illness had been wrongly attributed to one of our restaurants. A number of other restaurant chains have experienced incidents related to food-borne illnesses that have had material adverse impacts on their operations, and we cannot guarantee that we could avoid a similar impact upon the occurrence of a similar incident at one of our restaurants. Additionally, even if food-borne illnesses were not identified at El Pollo Loco restaurants, our restaurant sales could be adversely affected if instances of food-borne illnesses at other restaurant chains were highly publicized. In addition, our restaurant sales could be adversely affected by publicity regarding other high-profile illnesses such as avian flu that customers may associate with our food products.</w:t>
      </w:r>
    </w:p>
    <w:p>
      <w:pPr>
        <w:spacing w:after="0" w:line="1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only one company to distribute substantially all of our products to company-operated and franchised restaurants, and on a limited number of companies to supply chicken. Failure to receive timely deliveries of food or other supplies could result in a loss of revenue and materially and adversely impact our operations.</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and our franchisees’ ability to maintain consistent quality menu items and prices significantly depends upon our ability to acquire fresh food products, including the highest-quality chicken and related items, from reliable sources, in accordance with our specifications and on a timely basis. Shortages or interruptions in the supply of fresh food products, caused by unanticipated demand, problems in production or distribution, contamination of food products, an outbreak of poultry disease, inclement weather, or other conditions, could materially and adversely affect the availability, quality, and cost of ingredients, which would adversely affect our business, financial condition, results of operations, and cash flows. We have contracts with a limited number of suppliers for the chicken and other food and supplies for our restaurants. In addition, one company distributes substantially all of the products that we receive from suppliers to company-operated and franchised restaurants. If that distributor or any supplier fails to perform as anticipated or seeks to terminate agreements with us, or if there is any disruption in any of our supply or distribution relationships for any reason, our business, financial condition, results of operations, and cash flows could be materially and adversely affected. If we or our franchisees temporarily close a restaurant or remove popular items from a restaurant’s menu as a result of such a disruption, that restaurant may experience a significant reduction in revenue if our customers change their dining habits as a result.</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have a history of net losses, and may incur losses in the future.</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Although we have exhibited positive net income in 2014 to 2017, before fiscal 2014, we incurred net losses in each of the preceding seven fiscal years. We also incurred a net loss in 2018 due to two legal settlements. We may incur net losses in the future, and we cannot guarantee that we will sustain profitability.</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failure to comply with our debt covenants, and the volatile credit and capital markets, could have material adverse effects on our financial condition.</w:t>
      </w:r>
    </w:p>
    <w:p>
      <w:pPr>
        <w:spacing w:after="0" w:line="1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ability to manage our debt is dependent upon our level of positive cash flow from company-operated and franchised restaurants, net of costs. An economic downturn could negatively impact our cash flow. Credit and capital markets can be volatile, making it difficult for us to refinance our existing debt or to obtain additional debt or equity financings in the future. Such constraints could increase our costs of borrowing and could restrict our access to other potential sources of future liquidity. Our failure to comply with the debt covenants in our secured revolving credit facility or to have sufficient liquidity to make interest and other payments required by our debt could result in a default on our debt and acceleration of our borrowings, which would have a material adverse effect on our business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level of indebtedness could materially and adversely affect our business, financial condition, and results of operations.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have substantial debt service obligations. At December 26, 2018, our total debt was $74.2 million (including capital lease obligations), and we had $67.5 million of credit available under our secured revolving credit facility, which was reduced by $8.5 million from outstanding letters of credit.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level of indebtedness could have significant effects on our business, such as:</w:t>
      </w:r>
    </w:p>
    <w:p>
      <w:pPr>
        <w:spacing w:after="0" w:line="117" w:lineRule="exact"/>
        <w:rPr>
          <w:sz w:val="20"/>
          <w:szCs w:val="20"/>
          <w:color w:val="auto"/>
        </w:rPr>
      </w:pPr>
    </w:p>
    <w:p>
      <w:pPr>
        <w:ind w:left="600" w:right="160" w:hanging="565"/>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working capital, capital expenditures, acquisitions, debt service requirements, execution of our growth strategy, and other purposes;</w:t>
      </w:r>
    </w:p>
    <w:p>
      <w:pPr>
        <w:spacing w:after="0" w:line="62" w:lineRule="exact"/>
        <w:rPr>
          <w:rFonts w:ascii="Arial" w:cs="Arial" w:eastAsia="Arial" w:hAnsi="Arial"/>
          <w:sz w:val="18"/>
          <w:szCs w:val="18"/>
          <w:color w:val="auto"/>
        </w:rPr>
      </w:pPr>
    </w:p>
    <w:p>
      <w:pPr>
        <w:ind w:left="600" w:right="340" w:hanging="565"/>
        <w:spacing w:after="0" w:line="308"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requiring us to dedicate a portion of our cash flow from operations to pay interest on our debt, which could reduce availability of our cash flow to fund working capital, capital expenditures, acquisitions, execution of our growth strategy, and other general corporate purposes;</w:t>
      </w:r>
    </w:p>
    <w:p>
      <w:pPr>
        <w:spacing w:after="0" w:line="38" w:lineRule="exact"/>
        <w:rPr>
          <w:rFonts w:ascii="Arial" w:cs="Arial" w:eastAsia="Arial" w:hAnsi="Arial"/>
          <w:sz w:val="17"/>
          <w:szCs w:val="17"/>
          <w:color w:val="auto"/>
        </w:rPr>
      </w:pPr>
    </w:p>
    <w:p>
      <w:pPr>
        <w:ind w:left="600" w:right="160" w:hanging="565"/>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government regulatory, and competitive conditions in our business by limiting our ability to plan for and react to changing conditions;</w:t>
      </w:r>
    </w:p>
    <w:p>
      <w:pPr>
        <w:spacing w:after="0" w:line="62" w:lineRule="exact"/>
        <w:rPr>
          <w:rFonts w:ascii="Arial" w:cs="Arial" w:eastAsia="Arial" w:hAnsi="Arial"/>
          <w:sz w:val="18"/>
          <w:szCs w:val="18"/>
          <w:color w:val="auto"/>
        </w:rPr>
      </w:pPr>
    </w:p>
    <w:p>
      <w:pPr>
        <w:ind w:left="600" w:hanging="565"/>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with less debt; and</w:t>
      </w:r>
    </w:p>
    <w:p>
      <w:pPr>
        <w:spacing w:after="0" w:line="117" w:lineRule="exact"/>
        <w:rPr>
          <w:rFonts w:ascii="Arial" w:cs="Arial" w:eastAsia="Arial" w:hAnsi="Arial"/>
          <w:sz w:val="18"/>
          <w:szCs w:val="18"/>
          <w:color w:val="auto"/>
        </w:rPr>
      </w:pPr>
    </w:p>
    <w:p>
      <w:pPr>
        <w:ind w:left="600" w:right="80" w:hanging="565"/>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6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we may not be able to generate sufficient cash flow from our operations to repay our indebtedness when it becomes due and to meet our other cash needs. If we are not able to pay our debts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have to sell our assets, that sale may negatively affect our ability to generate revenue.</w:t>
      </w:r>
    </w:p>
    <w:p>
      <w:pPr>
        <w:spacing w:after="0" w:line="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secured revolving credit facility contains a number of covenants that, among other things, restrict, subject to certain exceptions, our ability to (i) incur additional indebtedness, (ii) issue preferred stock, (iii) create liens on assets, (iv) engage in mergers or consolidations, (v) sell assets, (vi) make investments, loans, or advances, (vii) make certain acquisitions, (viii) engage in certain transactions with affiliates, (ix) authorize or pay dividends, and (x) change our lines of business or fiscal year. In addition, our secured revolving credit facility requires us (i) to maintain, on a consolidated basis, a minimum consolidated fixed charge coverage ratio and (ii) not to exceed a maximum lease adjusted consolidated leverage ratio. Our ability to borrow under our secured revolving credit facility depends on our compliance with these tests. Events beyond our control, including changes in general economic and business conditions, may affect our ability to meet these tests. We cannot guarantee that we will meet these tests in the future, or that our lenders will waive any failure to meet these tests.</w:t>
      </w:r>
    </w:p>
    <w:p>
      <w:pPr>
        <w:spacing w:after="0" w:line="1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not be able to compete successfully with other quick-service and fast casual restaurants. Intense competition in the restaurant industry could make it more difficult to expand our business, and could also have a negative impact on our operating results, if customers favor our competitors or if we are forced to change our pricing and other marketing strategies.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food service industry, and particularly its quick-service and fast casual segments, is intensely competitive. In addition, the greater Los Angeles area, the primary market in which we compete, consists of what we believe to be the most competitive Mexican-inspired quick-service and fast casual market in the United States. We expect competition in this market and in each of our other markets to continue to be intense, because consumer trends are favoring limited service restaurants that offer healthier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8" w:name="page19"/>
    <w:bookmarkEnd w:id="18"/>
    <w:p>
      <w:pPr>
        <w:ind w:right="140"/>
        <w:spacing w:after="0" w:line="288" w:lineRule="auto"/>
        <w:rPr>
          <w:sz w:val="20"/>
          <w:szCs w:val="20"/>
          <w:color w:val="auto"/>
        </w:rPr>
      </w:pPr>
      <w:r>
        <w:rPr>
          <w:rFonts w:ascii="Arial" w:cs="Arial" w:eastAsia="Arial" w:hAnsi="Arial"/>
          <w:sz w:val="16"/>
          <w:szCs w:val="16"/>
          <w:color w:val="auto"/>
        </w:rPr>
        <w:t>menu items made with better-quality products, and many limited service restaurants are responding to these trends. Competition in our industry is primarily based on price, convenience, quality of service, brand recognition, restaurant location, and type and quality of food. If our company-operated and franchised restaurants cannot compete successfully with other quick-service and fast casual restaurants in new and existing markets, we could lose customers and our revenue could decline. Our market position is based on balancing price and quality, and drift in our competitive position, popular perception of our position, or popular interest in our position, could harm our sales, brand, and support among customers. Our company-operated and franchised restaurants compete with national and regional quick-service and fast casual restaurant chains for customers, restaurant locations, and qualified management and other staff. Compared with us, some of our competitors have substantially greater financial and other resources, have been in business longer, have greater brand recognition, or are better-established in the markets where our restaurants are located or are planned to be located. These competitive factors are particularly applicable in markets in which we have expanded relatively rapidly and relatively recently, such as Texas. Any of these competitive factors may materially and adversely affect our business, financial condition, and results of operations.</w:t>
      </w:r>
    </w:p>
    <w:p>
      <w:pPr>
        <w:spacing w:after="0" w:line="1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marketing programs may not be successful, and our new menu items, advertising campaigns, and restaurant designs and remodels may not generate increased sales or profits.</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incur costs and expend other resources in our marketing efforts on new menu items, advertising campaigns, and restaurant designs and remodels, to raise brand awareness and to attract and retain customers. Our initiatives may not be successful, resulting in expenses incurred without the benefit of higher revenues. Additionally, some of our competitors have greater financial resources than we do, enabling them to spend significantly more on marketing, advertising, and other initiatives. Should our competitors increase spending on marketing, advertising, and other initiatives, or our marketing funds decrease for any reason, or should our advertising, promotions, new menu items, and restaurant designs and remodels be less effective than those of our competitors, there could be a material adverse effect on our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challenging economic environment may affect our franchisees, with adverse consequences to us.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rely in part on our franchisees and the manner in which they operate their locations to develop and promote our business. As of December 26, 2018, our top 10 franchisees operated 66% of our franchised restaurants and two franchisees operated 34% of our franchised restaurants. Due to the continuing challenging economic environment, it is possible that some franchisees could file for bankruptcy or become delinquent in their payments to us, which could have significant adverse impacts on our business, due to loss or delay in payments of (i) royalties, (ii) information technology (“IT”) support service fees,</w:t>
      </w:r>
    </w:p>
    <w:p>
      <w:pPr>
        <w:spacing w:after="0" w:line="2" w:lineRule="exact"/>
        <w:rPr>
          <w:sz w:val="20"/>
          <w:szCs w:val="20"/>
          <w:color w:val="auto"/>
        </w:rPr>
      </w:pPr>
    </w:p>
    <w:p>
      <w:pPr>
        <w:ind w:right="100" w:firstLine="8"/>
        <w:spacing w:after="0" w:line="255"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contributions to our advertising funds, and (iv) other fees. Bankruptcies by our franchisees could (i) prevent us from terminating their franchise agreements, so that we could offer their territories to other franchisees, (ii) negatively impact our market share and operating results, as we might have fewer well-performing restaurants, and (iii) adversely impact our ability to attract new franchisees.</w:t>
      </w:r>
    </w:p>
    <w:p>
      <w:pPr>
        <w:spacing w:after="0" w:line="8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December 26, 2018 we had executed development agreements that represent commitments to open 44 franchised restaurants at various dates through 2022. Although we have developed criteria to evaluate and screen prospective developers and franchisees, we cannot be certain that the developers and franchisees that we select will have the business acumen or financial resources necessary to open and operate successful franchises in their franchise areas, and state franchise laws may limit our ability to terminate or modify these franchise arrangements. Moreover, franchisees may fail to operate their restaurants in fashions consistent with our standards and requirements, or to hire and train qualified managers and other restaurant personnel. Failures of developers and franchisees to open and operate franchises successfully could materially and adversely affect our reputation, brand, business, financial condition, results of operations, cash flows, and ability to attract prospective franchisees.</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Franchisees may not have access to the financial or management resources that they need to open the restaurants contemplated by their agreements with us, or be able to find suitable sites on which to develop those restaurants. Franchisees may not be able to negotiate acceptable lease or purchase terms for restaurant sites, obtain necessary permits and government approvals, or meet construction schedules. Any of these problems could slow our growth and reduce our franchise revenue. Additionally, our franchisees typically depend on financing from banks and other financial institutions, which may not always be available to them, in order to construct and open new restaurants. For these reasons, franchisees operating under development agreements may not be able to meet the new restaurant opening dates required under those agreements. Also, we sublease certain restaurants to some existing California franchisees. If any such franchisees cannot meet their financial obligations under their subleases, or otherwise fail to honor or default under the terms of their subleases, we will be financially obligated under a master lease and could be materially and adversely affected. In the past, franchisees have entered bankruptcy or receivership, which can lead to sale or closure of franchises, cause underperformance or underinvestment in capital expenditures, or lead to nonpayment of us or other creditors, and these circumstances could recur in the future.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76"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relations with existing or potential franchisees deteriorate, restaurant performance and our development pipeline could suffer.</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growth depends on maintaining amicable relations with our franchisees. Franchisees, as independent business operators, may from time to time disagree with us and our strategies regarding the business or our interpretation of our respective rights and obligations under the franchise agreement. Disagreement may lead to disputes with our franchisees, and we expect such disputes to occur from time to time as we continue to offer franchises. Disputes between us and our franchisees, whether in court or otherwise, could relate to either party’s violation of its contractual obligations. Unfavorable judgments or settlements relating to franchisee disputes could result in monetary or injunctive relief against us, including the voiding of non-compete, territorial exclusivity, or other development-related provisions upon which we rely. For example, in a recent suit where a franchisee challenged the enforceability of the territorial exclusivity clause in its franchise agreement with us, a jury found in favor of the franchisee. Although we intend to vigorously appeal the judgement, if this or similar clauses were held unenforceable, we and other franchisors could be materially negatively impacted. To the extent that we have such disputes, the attention, time, and financial resources of our management and our franchisees will be diverted from our restaurants, which could have a material adverse effect on our business, financial condition, results of operations, and cash flows. Even our success in franchisee disputes could damage our franchisees' finances or operations, or our relationships with them.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self-insurance programs may expose us to significant and unexpected costs and losses.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currently maintain employee health insurance coverage on a self-insured basis. We do maintain stop loss coverage which sets a limit on our liability for both individual and aggregate claim costs.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currently record a liability for our estimated cost of claims incurred and unpaid as of each balance sheet date. Our estimated liability is recorded on an undiscounted basis and includes a number of significant assumptions and factors, including historical trends, expected costs per claim, actuarial assumptions, and current economic conditions. Our history of claims activity for all lines of coverage is closely monitored, and liabilities are adjusted as warranted based on changing circumstances. It is possible, however, that our actual liabilities may exceed our estimates of loss. We may also experience an unexpectedly large number of claims that result in costs or liabilities in excess of our projections, and therefore we may be required to record additional expenses. For these and other reasons, our self-insurance reserves could prove to be inadequate, resulting in liabilities in excess of our available insurance and self-insurance. If a successful claim is made against us and is not covered by our insurance or exceeds our policy limits, our business may be negatively and materially impacted.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technology system failures or breaches of our network security could interrupt our operations and adversely affect our business.</w:t>
      </w:r>
    </w:p>
    <w:p>
      <w:pPr>
        <w:spacing w:after="0" w:line="14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rely on our computer systems and network infrastructure across our operations, including point-of-sale processing at our restaurants. Our operations depend upon our ability to protect our computer equipment and systems against damage from physical theft, fire, power loss, telecommunications failure, and other catastrophic events, as well as from internal and external security breaches, viruses, and other disruptive problems. Any damage or failure of our computer systems or network infrastructure that causes an interruption in our operations could have a material adverse effect on our business and subject us to litigation or to actions by regulatory authorities. Moreover, these systems, infrastructures, and operations rely upon third-party software and vendors, and we may therefore have a limited ability to guard against, learn about, or remedy problems that could harm us, including bugs and glitches, system outages, and hacks that exploit security vulnerabilities to steal or ransom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customers’ payment method data, we could be exposed to data loss, litigation, liability, and reputational damage</w:t>
      </w:r>
      <w:r>
        <w:rPr>
          <w:rFonts w:ascii="Arial" w:cs="Arial" w:eastAsia="Arial" w:hAnsi="Arial"/>
          <w:sz w:val="16"/>
          <w:szCs w:val="16"/>
          <w:color w:val="auto"/>
        </w:rPr>
        <w:t>.</w:t>
      </w:r>
    </w:p>
    <w:p>
      <w:pPr>
        <w:spacing w:after="0" w:line="14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accept electronic payment cards from our customers in our restaurants. Customers also have the ability to pay for online orders with their mobile phones using a stored value component built into our app. For the fiscal year ended December 26, 2018, approximately 55% of our sales were attributable to credit/debit card transactions, and credit/debit card usage could continue to increase. A number of restaurant operators and retailers have experienced actual or potential security breaches in which credit/debit card information may have been stolen. While we have taken reasonable steps to prevent the occurrence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20" w:name="page21"/>
    <w:bookmarkEnd w:id="20"/>
    <w:p>
      <w:pPr>
        <w:ind w:right="80"/>
        <w:spacing w:after="0" w:line="276" w:lineRule="auto"/>
        <w:rPr>
          <w:sz w:val="20"/>
          <w:szCs w:val="20"/>
          <w:color w:val="auto"/>
        </w:rPr>
      </w:pPr>
      <w:r>
        <w:rPr>
          <w:rFonts w:ascii="Arial" w:cs="Arial" w:eastAsia="Arial" w:hAnsi="Arial"/>
          <w:sz w:val="17"/>
          <w:szCs w:val="17"/>
          <w:color w:val="auto"/>
        </w:rPr>
        <w:t>security breaches in this respect, we may in the future become subject to claims for purportedly fraudulent transactions arising out of the actual or alleged theft of credit/debit card information, and we may also be subject to lawsuits or other proceedings in the future relating to these types of incidents. Proceedings related to theft of credit/debit card information may be brought by payment card providers, banks, and credit unions that issue cards, cardholders (either individually or as part of a class action lawsuit), and federal and state regulators. Any such proceedings could distract our management team members from running our business and cause us to incur significant unplanned losses and expenses.</w:t>
      </w:r>
    </w:p>
    <w:p>
      <w:pPr>
        <w:spacing w:after="0" w:line="6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also sell and accept for payment, El Pollo Loco gift cards, and our loyalty rewards program provides points that can be redeemed for purchases. Like credit and debit cards, gift cards and rewards points are vulnerable to theft, whether physical or electronic. We believe that our gift cards are primarily vulnerable to physical theft, as we have implemented gift card policies such as requiring a physical card to be presented when redeeming value from a gift card; however, there could be instances of non-compliance with these policies. We believe that, due to their electronic nature, rewards points and payment information stored within our app are primarily vulnerable to hacking. Customers affected by any loss of data or funds could litigate against us, and security breaches or even unsuccessful attempts at hacking could harm our reputation, and guarding against or responding to hacks could require significant time and resources.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also receive and maintain certain personal information about our customers and team members. The use of this information by us is regulated at the federal and state levels. If our security and information systems are compromised or our team members fail to comply with these laws and regulations and this information is obtained by unauthorized persons or used inappropriately, it could adversely affect our reputation, as well as the results of operations, and could result in litigation against us or the imposition of penalties. In addition, our ability to accept credit/debit cards as payment in our restaurants and online depends on us maintaining our compliance status with standards set by the PCI Security Standards Council. These standards, set by a consortium of the major credit card companies, require certain levels of system security and procedures to protect our customers’ credit/debit card information as well as other personal information. Privacy and information security laws and regulations change over time, including the California Consumer Privacy Act (“CCPA”) which is due to take effect January 1, 2020. Compliance with the CCPA and other legal and regulatory changes may result in cost increases due to necessary system and process changes. Further, despite our diligent efforts, we may not be successful in complying with such regulations due to both internal and external factors. Noncompliance could result in fines and/or proceedings against us by governmental agencies or others. There could also be uncertainty surrounding compliance with privacy laws in other jurisdictions such as state-specific laws which may conflict with existing legislation or future laws and regulations.</w:t>
      </w:r>
    </w:p>
    <w:p>
      <w:pPr>
        <w:spacing w:after="0" w:line="12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failure to enforce and maintain our trademarks and protect our other intellectual property could materially and adversely affect our business, including our ability to establish and maintain brand awareness.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registered El Pollo Loco ®, Pollo Bowl ®, The Crazy Chicken ®, and certain other names used by our restaurants as trademarks or service marks with the PTO and El Pollo Loco® in approximately 42 foreign countries. In addition, the El Pollo Loco logo, website name and address, and Facebook, Twitter, Instagram and YouTube accounts are our intellectual property. The success of our business strategy depends on our continued ability to use our existing trademarks and service marks in order to increase brand awareness and further develop our branded products. If our efforts to protect our intellectual property are inadequate, or if any third party misappropriates or infringes upon our intellectual property, whether in print, on the Internet, or through other media, our brands and branded products could fail to maintain or achieve market acceptance and the value of our brands could be harmed, materially and adversely affecting our business. There can be no assurance that all of the steps that we have taken to protect our intellectual property in the United States and in foreign countries will be adequate. In addition, the laws of some foreign countries do not protect intellectual property rights to the same extent as do the laws of the United States.</w:t>
      </w:r>
    </w:p>
    <w:p>
      <w:pPr>
        <w:spacing w:after="0" w:line="7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maintain the recipe for our chicken marinade, as well as certain proprietary standards, specifications, and operating procedures, as trade secrets or confidential proprietary information. We may not be able to prevent the unauthorized disclosure or use of our trade secrets or proprietary information, despite the existence of confidentiality agreements and other measures. While we try to ensure that the quality of our brands and branded products is maintained by all of our franchisees, we cannot be certain that these franchisees will not take actions that adversely affect the value of our intellectual property or reputation. If any of our trade secrets or proprietary information were to be disclosed to or independently developed by a competitor, our business, financial condition, and results of operations could be materially and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our board of directors, executive officers, and key employees.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rely upon the accumulated knowledge, skills, and experience of the members of our board of directors, our executive officers, and our key employees. If they were to leave us or become incapacitated, we might suffer in our planning and execution of business strategy and operations, impacting our brand and financial results. We also do not maintain any key employee life insurance policies for any of our employees.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relating to employment and labor law may adversely affect our business.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6" w:right="239" w:bottom="1440" w:gutter="0" w:footer="0" w:header="0"/>
        </w:sectPr>
      </w:pPr>
    </w:p>
    <w:bookmarkStart w:id="21" w:name="page22"/>
    <w:bookmarkEnd w:id="21"/>
    <w:p>
      <w:pPr>
        <w:ind w:right="140"/>
        <w:spacing w:after="0" w:line="255" w:lineRule="auto"/>
        <w:rPr>
          <w:sz w:val="20"/>
          <w:szCs w:val="20"/>
          <w:color w:val="auto"/>
        </w:rPr>
      </w:pPr>
      <w:r>
        <w:rPr>
          <w:rFonts w:ascii="Arial" w:cs="Arial" w:eastAsia="Arial" w:hAnsi="Arial"/>
          <w:sz w:val="18"/>
          <w:szCs w:val="18"/>
          <w:color w:val="auto"/>
        </w:rPr>
        <w:t>Various federal, state and local labor laws govern our relationships with our employees and affect operating costs. These laws include employee classifications as exempt or non-exempt, minimum wage requirements, unemployment tax rates, workers’ compensation rates, citizenship requirements, and other wage and benefit requirements for employees classified as non-exempt. Significant additional government regulations and new laws mandating increases in minimum wages or benefits such as health insurance could materially affect our business, financial condition, operating results, and cash flow. Furthermore, the unionization of our employees and of the employees of our franchisees could materially affect our business, financial condition, operating results, and cash flow.</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also subject in the ordinary course of business to employee claims against us based, among other things, on discrimination, harassment, wrongful termination, or violation of wage and labor laws. Such claims could also be asserted against us by employees of our franchisees. These claims may divert our financial and management resources that would otherwise be used to benefit our operations. The on-going expense of any resulting lawsuits, and any substantial settlement payment or damage award against us, could adversely affect our business, brand image, employee recruitment, financial condition, operating results, or cash flows.</w:t>
      </w:r>
    </w:p>
    <w:p>
      <w:pPr>
        <w:spacing w:after="0" w:line="13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Restaurant companies have been the targets of class action lawsuits and other proceedings alleging, among other things, violations of federal and state workplace and employment laws. Proceedings of this nature are costly, divert management attention, and, if successful, can result in payment of substantial damages or settlement costs.</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business is subject to the risk of litigation by employees, consumers, suppliers, stockholders, and others through private actions, class actions, administrative proceedings, regulatory actions, and other litigation. The outcome of litigations, particularly class and regulatory actions, is difficult to assess or quantify. In recent years, restaurant companies, including us, have been subject to lawsuits, including class action lawsuits, alleging violations of federal and state laws regarding workplace and employment conditions, discrimination, and similar matters. A number of these lawsuits have resulted in payments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In the past, we have been a party to wage and hour class action lawsuits and are currently a party to such lawsuits on behalf of purported classes. See additional information presented in "Note 13. Commitments and Contingencies—Legal Matters" in the accompanying "Notes to Consolidated Financial Statements" in this Annual Report.</w:t>
      </w:r>
    </w:p>
    <w:p>
      <w:pPr>
        <w:spacing w:after="0" w:line="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Occasionally, our customers file complaints or lawsuits against us alleging that we are responsible for some illnesses or injuries that they suffered at or after a visit to one of our restaurants, including actions seeking damages resulting from food-borne illnesses or accidents in our restaurants. We are also subject to a variety of other claims from third parties arising in the ordinary course of our business, including contract claims. The restaurant industry has also been subject to a growing number of claims that the menus and actions of restaurant chains have led to the obesity of certain of their customers. We may also be subject to lawsuits from our employees, the U.S. Equal Employment Opportunity Commission, or others, alleging violations of federal or state laws regarding workplace and employment conditions, discrimination, and similar matters.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Regardless of whether any claims against us are valid and whether we are liable, claims may be expensive to defend against and divert time and money away from operations. In addition, claims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adversely affect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or our franchisees face labor shortages or increased labor costs, our results of operations and growth could be adversely affected.</w:t>
      </w:r>
    </w:p>
    <w:p>
      <w:pPr>
        <w:spacing w:after="0" w:line="1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Labor is a primary component in the cost of operating our company-operated and franchised restaurants. If we or our franchisees face labor shortages or increased labor costs, because of increased competition for employees, a decrease in the labor supply due to changes in immigration policy including barriers to immigrants entering, working in, or remaining in the United States, higher employee-turnover rates, unionization of restaurant workers, or increases in federal, state, or local minimum wages or in other employee benefits costs (including costs associated with health insurance coverage or workers’ compensation insurance), our and our franchisees’ operating expenses could increase, and our growth could be adversely affected.</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substantial number of hourly employees who are paid wage rates at or based on the applicable federal, state, or local minimum wage, and increases in the minimum wage will increase our labor costs and the labor costs of our franchisees. The California minimum wage rose to $10.50 per hour on January 1, 2017, $11.00 per hour on January 1, 2018 and $12.00 per hour on January 1, 2019 and is scheduled to rise to (i) $13.00 per hour on January 1, 2020, (ii) $14.00 per hour on January 1, 2021, and (iii) $15.00 per hour on January 1, 2022, subject, in each case, to the governor’s ability to pause any scheduled increase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22" w:name="page23"/>
    <w:bookmarkEnd w:id="22"/>
    <w:p>
      <w:pPr>
        <w:ind w:right="300"/>
        <w:spacing w:after="0" w:line="264" w:lineRule="auto"/>
        <w:rPr>
          <w:sz w:val="20"/>
          <w:szCs w:val="20"/>
          <w:color w:val="auto"/>
        </w:rPr>
      </w:pPr>
      <w:r>
        <w:rPr>
          <w:rFonts w:ascii="Arial" w:cs="Arial" w:eastAsia="Arial" w:hAnsi="Arial"/>
          <w:sz w:val="18"/>
          <w:szCs w:val="18"/>
          <w:color w:val="auto"/>
        </w:rPr>
        <w:t>(“off-ramp” provisions) for one year if either economy or budget conditions are met. Initial determinations are to be made by the governor by August 1 of each year prior to a January increase. The governor makes the final determination by September 1. Thereafter, the state minimum wage is to be indexed annually for inflation.</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Local minimum wages may exceed or ramp up faster than state levels. In particular, the minimum wage in the City of Los Angeles and the unincorporated areas of the County of Los Angeles is scheduled to rise to $15.00 by July 1, 2020 in accordance with a June 2015 ordinance: (i) from July 1, 2017, $12.00, (ii) from July 1, 2018, $13.25, (iii) from July 1, 2019, $14.25, (iv) from July 1, 2020, $15.00, (v) from July 1, 2022, indexed to inflation. On September 29, 2015, the Board of Supervisors of the County of Los Angeles adopted an ordinance amending the Los Angeles County Code and establishing a countywide minimum wage covering unincorporated areas of the county following the same schedule.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Other municipalities in the County of Los Angeles and elsewhere have followed and may continue to follow. For example: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January 19, 2016, the City Council of the City of Long Beach approved a plan to raise the minimum wage on the following schedule: (i) from January 1, 2017, $10.50, (ii) from January 1, 2018, $12.00, and (iii) from January 1, 2019, $13.00. Thereafter, pursuant to further study, the minimum wage for the City of Long Beach could rise to $14.00 in 2020 and $15.00 in 2021.</w:t>
      </w:r>
    </w:p>
    <w:p>
      <w:pPr>
        <w:spacing w:after="0" w:line="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2018, approximately 69% of our revenue, excluding franchise advertising revenue, came from company-operated and franchised restaurants in the greater Los Angeles area, including 10% from the City of Los Angeles, 37% from other incorporated cities in the County of Los Angeles, and 1% from unincorporated areas of the County of Los Angeles. Those restaurants that are not directly covered by these ordinances may be covered by future ordinances, may face competitive or political pressures to match these wage levels, or may suffer from any regional economic distress caused by these ordinances.</w:t>
      </w:r>
    </w:p>
    <w:p>
      <w:pPr>
        <w:spacing w:after="0" w:line="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Federally-mandated, state-mandated, or locally-mandated minimum wages may be further raised in the future. We may be unable to increase our menu prices in order to pass future increased labor costs on to our customers, in which case our margins would be negatively affected. Also, reduced margins of franchisees could make it more difficult to sell franchises. And if menu prices were increased by us and our franchisees to cover increased labor costs, the higher prices could adversely affect sales and thereby reduce our margins and the royalties that we receive from franchisees.</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our success depends in part upon our and our franchisees’ ability to attract, motivate, and retain a sufficient number of well-qualified restaurant operators, management personnel, and other employees. Qualified individuals needed to fill these positions can be in short supply in some geographic areas. In addition, limited service restaurants have traditionally experienced relatively high employee turnover rates. Although we have not yet experienced any significant problems in recruiting or retaining employees, our and our franchisees’ inability to recruit and retain qualified individuals could delay planned openings of new restaurants or result in higher employee turnover in existing restaurants, which could increase our and our franchisees’ labor costs and have a material adverse effect on our business, financial condition, results of operations, and cash flows. If we or our franchisees are unable to recruit and retain sufficiently qualified individuals, our business and our growth could be adversely affected. Competition for qualified employees could require us or our franchisees to pay higher wages, which could also result in higher labor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locked into long-term and non-cancelable leases, and may be unable to renew leases at the ends of their terms.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Many of our restaurant leases are non-cancelable and typically have initial terms of up to 20 years and up to three renewal terms of five years that we may exercise at our option. Even if we close a restaurant, we may remain committed to perform our obligations under the applicable lease, which could include, among other things, payment of the base rent for the balance of the lease term. In addition, in connection with leases for restaurants that we will continue to operate, we may, at the end of the lease term and any renewal period for a restaurant, be unable to renew the lease without substantial additional cost, if at all. As a result, we may close or relocate the restaurant, which could subject us to construction and other costs and risks. Additionally, the revenue and profit, if any, generated at a relocated restaurant might not equal the revenue and profit generated at its prior location.</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and our franchisees are subject to extensive government regulations that could result in claims leading to increased costs and restrict our ability to operate or sell franchises.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and our franchisees are subject to extensive government regulations at the federal, state, and local levels, including, but not limited to, regulations relating to preparation and sale of food, zoning and building codes, franchising, land use, and employee, health, sanitation, and safety matters. We and our franchisees are required to obtain and maintain a wide variety of government licenses, permits, and approvals. Difficulty or failure in obtaining these in the future could result in delaying or canceling the opening of new restaurants. Local authorities may suspend or deny renewal of our government licenses if they determine that our operations do not meet their standards for initial grant or renewal. This risk will increase if there is a major change in the licensing requirements affecting our types of restaurants.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76" w:right="259" w:bottom="1440" w:gutter="0" w:footer="0" w:header="0"/>
        </w:sectPr>
      </w:pPr>
    </w:p>
    <w:bookmarkStart w:id="23" w:name="page24"/>
    <w:bookmarkEnd w:id="23"/>
    <w:p>
      <w:pPr>
        <w:spacing w:after="0" w:line="290" w:lineRule="auto"/>
        <w:rPr>
          <w:sz w:val="20"/>
          <w:szCs w:val="20"/>
          <w:color w:val="auto"/>
        </w:rPr>
      </w:pPr>
      <w:r>
        <w:rPr>
          <w:rFonts w:ascii="Arial" w:cs="Arial" w:eastAsia="Arial" w:hAnsi="Arial"/>
          <w:sz w:val="16"/>
          <w:szCs w:val="16"/>
          <w:color w:val="auto"/>
        </w:rPr>
        <w:t>The Patient Protection and Affordable Care Act of 2010 (the “PPACA”) requires employers such as us to provide adequate and affordable health insurance for all qualifying employees or to pay a monthly per-employee fee or penalty for non-compliance. In past years, we experienced a marginal enrollment increase in our health plans with newly eligible employees as a result of the PPACA. In early 2017, the PPACA was undermined through executive and Congressional action and in March 2017, the U.S. House of Representatives introduced legislation known as the American Health Care Act (the "AHCA"). The House of Representatives recently voted to pass the AHCA and the Senate is currently expected to consider an alternative version of the AHCA. It is expected that Congress will continue to consider this or similar legislation to amend or repeal significant provisions of the PPACA, but it remains uncertain when or if the provisions of such legislation will become law, or the extent to which any changes may impact our business. Any future cost increases may be material and could lead to future modifications to our business practices that may be disruptive to our operations and impact our ability to attract and retain personnel.</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also subject to regulation by the Federal Trade Commission and subject to state laws that govern the offer, sale, renewal, and termination of franchises and our relationships with our franchisees. Failure to comply with these laws and regulations in any jurisdiction or to obtain required approvals could result in a ban on or temporary suspension of franchise sales, fines, or the requirement that we make a rescission offer to our franchisees, any of which could affect our ability to open new restaurants in the future and thus could materially and adversely affect our business and operating results. Any such failure could also subject us to liability to our franchisees.</w:t>
      </w:r>
    </w:p>
    <w:p>
      <w:pPr>
        <w:spacing w:after="0" w:line="8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increasingly subject to environmental regulations, which may increase our cost of doing business and affect the manner in which we operate. Environmental regulations could increase the level of our taxation and future regulations could impose restrictions or increase the costs associated with food, food packaging, and other supplies, transportation costs, and utility costs. Complying with environmental regulations may cause our results of operations to suffer. We cannot predict what environmental regulations or legislation will be enacted in the future, how existing or future environmental laws will be administered or applied, or the level of costs that we may incur to comply with, or satisfy claims relating to, such laws and regulations.</w:t>
      </w:r>
    </w:p>
    <w:p>
      <w:pPr>
        <w:spacing w:after="0" w:line="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Changes in health, safety, construction, labor, environmental, or other laws or regulations, including changes to or repeal of the PPACA, could impose costs upon us, including transition costs. Such transition costs could include uncertainties about how the new laws or regulations might be interpreted, enforced, or litigated by either regulators or private parties. Such changes could also have economic implications for our customers. For example, changes to health insurance law could diminish our customers’ disposable incomes and thus reduce their frequency of eating or ordering out, even from QSR or fast casual restaurants, including us.</w:t>
      </w:r>
    </w:p>
    <w:p>
      <w:pPr>
        <w:spacing w:after="0" w:line="13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Legislation and regulations requiring the display and provision of nutritional information for our menu offerings, new information or attitudes regarding diet and health, or adverse opinions about the health effects of consuming our menu offerings, could affect consumer preferences and negatively impact our results of operations.</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PPACA establishes a uniform, federal requirement for certain restaurants to post certain nutritional information on their menus. Specifically, the PPACA amended the Federal Food, Drug, and Cosmetic Act to require that chain restaurants with 20 or more locations, operating under the same name and offering substantially the same menus,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U.S.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 Currently, it is uncertain how proposed legislative changes will impact the PPACA or the extent to which any changes may impact our business.</w:t>
      </w:r>
    </w:p>
    <w:p>
      <w:pPr>
        <w:spacing w:after="0" w:line="7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Furthermore, a number of states, counties, and cities have enacted menu labeling laws requiring multi-unit restaurant operators to disclose certain nutritional information to customers, or have enacted legislation restricting the use of certain types of ingredients in restaurants. California, our largest market, is one of these, although its menu labeling law has been superseded by the PPACA.</w:t>
      </w:r>
    </w:p>
    <w:p>
      <w:pPr>
        <w:spacing w:after="0" w:line="7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While we believe that our food is generally healthier than that of our peers, customers may disagree or change their dining habits to avoid QSR-like restaurants altogether.</w:t>
      </w:r>
    </w:p>
    <w:p>
      <w:pPr>
        <w:spacing w:after="0" w:line="6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Compliance with current and future laws and regulations regarding the ingredients and nutritional content of our menu items may be costly and time-consuming. Additionally, if consumer health regulations or consumer eating habits change significantly,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4" w:name="page25"/>
    <w:bookmarkEnd w:id="24"/>
    <w:p>
      <w:pPr>
        <w:ind w:right="20"/>
        <w:spacing w:after="0" w:line="293" w:lineRule="auto"/>
        <w:rPr>
          <w:sz w:val="20"/>
          <w:szCs w:val="20"/>
          <w:color w:val="auto"/>
        </w:rPr>
      </w:pPr>
      <w:r>
        <w:rPr>
          <w:rFonts w:ascii="Arial" w:cs="Arial" w:eastAsia="Arial" w:hAnsi="Arial"/>
          <w:sz w:val="16"/>
          <w:szCs w:val="16"/>
          <w:color w:val="auto"/>
        </w:rPr>
        <w:t>we may be required to modify or discontinue certain menu items, and we may experience higher costs associated with the implementation of those changes. Additionally, some government authorities are increasing regulations regarding trans-fats and sodium, which may require us to limit or eliminate trans-fats and sodium in our menu offerings, or switch to higher-cost ingredients, or which may hinder our ability to operate in certain markets. Some jurisdictions have banned certain cooking ingredients, such as trans-fats, which a small number of our ingredients contain in trace amounts, or have discussed banning certain products, such as large sodas. Removal of these products and ingredients from our menus could affect product tastes, customer satisfaction levels, and sales volumes, whereas if we were to fail to comply with these laws or regulations, our business could experience a material adverse effect.</w:t>
      </w:r>
    </w:p>
    <w:p>
      <w:pPr>
        <w:spacing w:after="0" w:line="5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cannot make any assurances regarding our ability to effectively respond to changes in consumer health perceptions, to successfully implement nutritional content disclosure requirements, or to adapt our menu offerings to trends in eating habits. The imposition of additional menu labeling laws could have an adverse effect on our results of operations and financial position, as well as on the restaurant industry in general.</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become subject to liabilities arising from environmental laws that could likely increase our operating expenses and materially and adversely affect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federal, state, and local laws, regulations, and ordinances that:</w:t>
      </w:r>
    </w:p>
    <w:p>
      <w:pPr>
        <w:spacing w:after="0" w:line="117" w:lineRule="exact"/>
        <w:rPr>
          <w:sz w:val="20"/>
          <w:szCs w:val="20"/>
          <w:color w:val="auto"/>
        </w:rPr>
      </w:pPr>
    </w:p>
    <w:p>
      <w:pPr>
        <w:ind w:left="600" w:right="160" w:hanging="59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 activities or operations that may have adverse environmental effects, such as discharges into the air and water, as well as waste handling and disposal practices for solid and hazardous wastes; and</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impose liability for the costs of cleaning up, and the damage resulting from, sites of past spills, disposals, or other releases of hazardous materials.</w:t>
      </w:r>
    </w:p>
    <w:p>
      <w:pPr>
        <w:spacing w:after="0" w:line="14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particular, under applicable environmental laws, we may be responsible for remediation of environmental conditions and subject to associated liabilities, including liabilities for clean-up costs, personal injury, or property damage, relating to our restaurants and the land on which our restaurants are located, regardless of whether we lease or own the restaurants or land in question and regardless of whether such environmental conditions were created by us or by a prior owner or tenant. If we are found liable for the costs of remediation of contamination at any of our properties, our operating expenses would likely increase and our results of operations would be materially and adversely affected. See above under "Item 1. “Business—Environmental Matters.”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pay our pre-IPO owners for certain tax benefits, which amounts are expected to be material.</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entered into an income tax receivable agreement (the “TRA”) with the stockholders of the Company immediately prior to the initial public offering ("IPO"), which provides for payment by us to our pre-IPO stockholders of 85% of the amount of cash savings, if any, in federal, state, local, and foreign income tax that we and our subsidiaries actually realize (or are deemed to realize in the case of an early termination by us or a change of control) as a result of the utilization of our net operating losses and other tax attributes attributable to periods prior to July 2014 together with interest accrued at a rate of LIBOR plus 200 basis points from the date the applicable tax return is due (without extension) until paid.</w:t>
      </w:r>
    </w:p>
    <w:p>
      <w:pPr>
        <w:spacing w:after="0" w:line="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payments under the TRA may be material. As of December 26, 2018, we had an accrued payable related to this agreement of approximately $13.9 million. In fiscal 2018, we paid $7.3 million to our pre-IPO stockholders under the TRA.</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TRA payment obligations are obligations of Holdings and not of its subsidiaries. The actual amounts and utilization of net operating losses and other tax attributes, as well as the amounts and timing of any payments under the TRA, will vary depending upon a number of factors, including the amount, character, and timing of Holdings’ and its subsidiaries’ taxable income in the future.</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counterparties under the TRA will not reimburse us for any benefits that are subsequently disallowed, although any future payments would be adjusted to the extent possible to reflect the result of such disallowance. As a result, in such circumstances, we could make payments under the TRA greater than our actual cash tax savings.</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we undergo a change of control as defined in the TRA, the TRA will terminate, and we will be required to make a payment equal to the present value of expected future payments under the TRA, which payment would be based on certain assumptions, including assumptions related to our future taxable income. Additionally, if we or a direct or indirect subsidiary transfer any asset to a corporation with which we do not file a consolidated tax return, we will be treated as having sold that asset for its fair market value in a taxable transaction for purposes of determining the cash savings in income tax under the TRA. Any such payment resulting from a change of control or asset transfer could be substantial and could exceed our actual cash tax savings.</w:t>
      </w:r>
    </w:p>
    <w:p>
      <w:pPr>
        <w:spacing w:after="0" w:line="5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recent court judgment includes an injunction which could have an adverse impact on our business, financial conditions and results of operations in 2019 and beyond.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6" w:right="259" w:bottom="1440" w:gutter="0" w:footer="0" w:header="0"/>
        </w:sectPr>
      </w:pPr>
    </w:p>
    <w:bookmarkStart w:id="25" w:name="page26"/>
    <w:bookmarkEnd w:id="25"/>
    <w:p>
      <w:pPr>
        <w:spacing w:after="0" w:line="269" w:lineRule="auto"/>
        <w:rPr>
          <w:sz w:val="20"/>
          <w:szCs w:val="20"/>
          <w:color w:val="auto"/>
        </w:rPr>
      </w:pPr>
      <w:r>
        <w:rPr>
          <w:rFonts w:ascii="Arial" w:cs="Arial" w:eastAsia="Arial" w:hAnsi="Arial"/>
          <w:sz w:val="17"/>
          <w:szCs w:val="17"/>
          <w:color w:val="auto"/>
        </w:rPr>
        <w:t>Our growth strategy depends in part on opening new restaurants in existing and new markets and expanding our franchise system. A key part of this expansion is our ability to enter into franchise agreements for restaurants to be located in certain desirable geographic areas. In a recent lawsuit in the Los Angeles Superior Court, an existing franchisee challenged our right to open new restaurants within a certain distance from that franchisee’s existing restaurant. A jury found in favor of the franchisee and, among other things, the trial court issued an injunction requiring us to revise our franchise agreement and franchise disclosure document in a manner that limits our rights to open new restaurants within certain proximities of existing franchised restaurants. See additional information presented in "Note 13. Commitments and Contingencies—Legal Matters" in the accompanying "Notes to Consolidated Financial Statements" in this Annual Report. We are appealing that decision, and our motion to stay the injunctive relief was denied by the trial and appellate courts. We therefore are now required to use an amended franchise agreement and franchise disclosure document that includes the terms specified in the injunction, including constraints on the locations at which we can open new restaurants. Although most of the locations protected from development by the injunction are not in markets in which we had intended to open restaurants under our current growth strategy, nevertheless, and especially in existing markets with many franchised restaurants, the injunctive relief may adversely impact our growth, which may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Trimaran Pollo Partners, L.L.C. (“LLC”), owns approximately 42.9% of our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our assets, decisions affecting our capital structure, amendments to our certificate of incorporation or our by-laws, and our winding up and dissolution. So long as LLC maintains at least 40% ownership, (i) any member of the board of directors may be removed at any time without cause by affirmative vote of a majority of our common stock, and (ii) stockholders representing 40% or greater ownership may cause special stockholder meetings to be called. Currently, three of our nine directors, including our chairman, are affiliated with Trimaran or Freeman Spogli.</w:t>
      </w:r>
    </w:p>
    <w:p>
      <w:pPr>
        <w:spacing w:after="0" w:line="5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This concentration of ownership may delay, deter, or prevent acts that would be favored by our other stockholders. While our board has determined that director John Roth, a general partner of Freeman Spogli and its CEO, satisfies the criteria for an independent director under NASDAQ Global Select market (the “NASDAQ") rules, the interests of Trimaran and Freeman Spogli may not always coincide with our interests or the interests of our other stockholders. This concentration of ownership may also have the effect of delaying, deterring, or preventing a change in control of us. Also, Trimaran and Freeman Spogli may seek to cause us to take courses of action that, in their judgments, could enhance their investments in us, but that might involve risks to our other stockholders or adversely affect us or our other stockholders. As a result, the market price of our common stock could decline, or stockholders might not receive a premium over the then-current market price of our common stock upon a change in control. In addition, this concentration of ownership may adversely affect the trading price of our common stock, because investors may perceive disadvantages in owning shares of a company with significant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Trimaran and Freeman Spogli may conflict with ours or our stockholders’ in the future.</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Trimaran and Freeman Spogli engage in a range of investing activities, including investments in restaurants and other consumer-related companies in particular. While our board has determined that director John Roth, a general partner of Freeman Spogli and its CEO, satisfies the criteria for an independent director under NASDAQ rules, in the ordinary course of their business activities, Trimaran and Freeman Spogli may engage in activities where their interests conflict with our interests or those of our stockholders. Our amended and restated certificate of incorporation provides that none of LLC or any of its officers, directors, employees, agents, shareholders, members, partners, principals, affiliates and managers (including, inter alia, Trimaran and Freeman Spogli) has a duty to refrain from engaging, directly or indirectly, in the same business activities or similar business activities or lines of business in which we operate. For example, in the third quarter of 2017, Cafe Rio, a high-growth, fast-casual Mexican restaurant company, announced that Freeman Spogli had acquired a majority interest in it. Trimaran and Freeman Spogli also may pursue acquisition opportunities that may be complementary to our business, and, as a result, those acquisition opportunities may not be available to us. In addition, Trimaran and Freeman Spogli may have an interest in pursuing acquisitions, divestitures, and other transactions that, in their judgment, could enhance their investment in us, even though those transactions might involve risks to you, such as debt-financed acquisitions.</w:t>
      </w:r>
    </w:p>
    <w:p>
      <w:pPr>
        <w:spacing w:after="0" w:line="1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a holding company with no operations, and we rely on our operating subsidiaries to provide us with the funds necessary to meet our financial obligations and to pay dividends.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6" w:right="239" w:bottom="1440" w:gutter="0" w:footer="0" w:header="0"/>
        </w:sectPr>
      </w:pPr>
    </w:p>
    <w:bookmarkStart w:id="26" w:name="page27"/>
    <w:bookmarkEnd w:id="26"/>
    <w:p>
      <w:pPr>
        <w:spacing w:after="0" w:line="255" w:lineRule="auto"/>
        <w:rPr>
          <w:sz w:val="20"/>
          <w:szCs w:val="20"/>
          <w:color w:val="auto"/>
        </w:rPr>
      </w:pPr>
      <w:r>
        <w:rPr>
          <w:rFonts w:ascii="Arial" w:cs="Arial" w:eastAsia="Arial" w:hAnsi="Arial"/>
          <w:sz w:val="18"/>
          <w:szCs w:val="18"/>
          <w:color w:val="auto"/>
        </w:rPr>
        <w:t>We are a holding company with no material direct operations. Our principal assets are the equity interests that we indirectly hold in our operating subsidiary, El Pollo Loco, Inc. (“EPL”), which owns our operating assets. As a result, we are dependent on loans, dividends, and other payments from EPL, our operating company and indirect wholly owned subsidiary, and from EPL Intermediate, Inc. (“Intermediate”), our direct wholly owned subsidiary, to generate the funds necessary to meet our financial obligations and to pay dividends on our common stock. Our subsidiaries are legally distinct from us and may be prohibited or restricted from paying dividends or otherwise making funds available to us under certain conditions. Although we do not expect to pay dividends on our common stock for the foreseeable future, if we are unable to obtain funds from our subsidiaries, we may be unable to, or our board may exercise its discretion not to, pay dividends.</w:t>
      </w:r>
    </w:p>
    <w:p>
      <w:pPr>
        <w:spacing w:after="0" w:line="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our secured revolving credit facility, Holdings may not make certain payments such as cash dividends, except that it may, inter alia, (i) pay up to $1.0 million per year to repurchase or redeem qualified equity interests of Holdings held by our past or present officers, directors, or employees (or their estates) upon death, disability, or termination of employment, (ii) pay under its TRA, and, (iii) so long as no default or event of default has occurred and is continuing,</w:t>
      </w:r>
    </w:p>
    <w:p>
      <w:pPr>
        <w:ind w:right="60" w:firstLine="8"/>
        <w:spacing w:after="0" w:line="290"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our secured revolving credit facility.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w:t>
      </w:r>
    </w:p>
    <w:p>
      <w:pPr>
        <w:spacing w:after="0" w:line="11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do not expect to declare or pay any cash or other dividends in the foreseeable future on our common stock, because we intend to use cash flow generated by operations to grow our business. Our secured revolving credit facility restricts our ability to pay cash dividends on our common stock. We may also enter into other credit agreements or other borrowing arrangements in the future that restrict or limit our ability to pay cash dividends on our common stock.</w:t>
      </w:r>
    </w:p>
    <w:p>
      <w:pPr>
        <w:spacing w:after="0" w:line="93"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6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and of the Sarbanes-Oxley Act of 2002, as amended (the “Sarbanes-Oxley Act”), to the listing requirements of the NASDAQ, and to other applicable securities statutes and regulations. These statutes and regulations have increased, and will continue to increase, our legal, accounting, and financial compliance costs, and have made, and will continue to make, some activities more time-consuming and costly, particularly after we cease to be an “emerging growth company,” as defined in the JOBS Act. For example, these statutes and regulations could make it more difficult and costly for us to obtain director and officer liability insurance, and we may be required to accept reduced policy limits and coverage or to incur substantial costs to maintain the same or similar coverage. These statutes and regulations could also make it more difficult for us to attract and retain qualified individuals to serve on our board of directors, on board committees, or as executive officers. Our management and other personnel devote a substantial amount of time to compliance initiatives. As a result, management’s attention may be diverted from other business concerns, which could harm our business and operating results. Although we have hired additional employees to comply with these requirements, we may need to hire more employees in the future, which will increase our costs and expenses.</w:t>
      </w:r>
    </w:p>
    <w:p>
      <w:pPr>
        <w:spacing w:after="0" w:line="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management team and other personnel devote a substantial amount of time to new compliance initiatives, and we may not successfully or efficiently manage our transition to being a public company. To comply with the requirements of being a public company, including the Sarbanes–Oxley Act, we may need to undertake various actions, such as implementing new internal controls and procedures, and hiring accounting or internal audit staff, which would require us to incur additional expenses, and could harm our results of operations.</w:t>
      </w:r>
    </w:p>
    <w:p>
      <w:pPr>
        <w:spacing w:after="0" w:line="133"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common stock less attractive as a result. The result may be a less-active trading market for our common stock and increased stock price volatility.</w:t>
      </w:r>
    </w:p>
    <w:p>
      <w:pPr>
        <w:spacing w:after="0" w:line="1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can remain an “emerging growth company” for up to five years from our IPO,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13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were not previously required to assess the effectiveness of our internal control over financial reporting; we have and may continue to identify deficiencies as we do so.</w:t>
      </w:r>
    </w:p>
    <w:p>
      <w:pPr>
        <w:spacing w:after="0" w:line="6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Section 404(a) of the Sarbanes-Oxley Act requires annual management assessments of the effectiveness of internal control over financial reporting, starting with our second annual report. Prior to our second annual report, we were not subject to this requirement. Accordingly, as we continue to mature as a public company and follow the necessary procedures and practices related to internal control over financial reporting, we may identify deficiencies.</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particular, as disclosed under "Item 9A. Controls and Procedures,” in the Form 10-K for 2016, in the process of evaluating the effectiveness of our internal control over financial reporting, we identified material weaknesses in our internal control over financial reporting as of December 28, 2016. These and future deficiencies or weaknesses, whether or not identified or remediated, or failure to achieve and maintain an effective internal control environment generally, could have a material adverse effect on our business, our finances and financial reporting, and our stock price.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have been and may be volatile, which could result in rapid and substantial losses for our stockholders.</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market price of our common stock has fluctuated and may continue to fluctuate, or may decline significantly in the future. Shares of our common stock were sold in our IPO in July 2014 at a price of $15.00 per share, and our common stock has subsequently traded as high as $41.70 and as low as $9.05. Some of the factors that could negatively affect our share price or result in fluctuations in the price or trading volume of our common stock include:</w:t>
      </w:r>
    </w:p>
    <w:p>
      <w:pPr>
        <w:spacing w:after="0" w:line="39"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quarterly or annual operating results;</w:t>
      </w:r>
    </w:p>
    <w:p>
      <w:pPr>
        <w:spacing w:after="0" w:line="117" w:lineRule="exact"/>
        <w:rPr>
          <w:rFonts w:ascii="Arial" w:cs="Arial" w:eastAsia="Arial" w:hAnsi="Arial"/>
          <w:sz w:val="18"/>
          <w:szCs w:val="18"/>
          <w:color w:val="auto"/>
        </w:rPr>
      </w:pPr>
    </w:p>
    <w:p>
      <w:pPr>
        <w:ind w:left="600" w:right="80" w:hanging="59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financial and operating results and those expected by investors and analysts;</w:t>
      </w:r>
    </w:p>
    <w:p>
      <w:pPr>
        <w:spacing w:after="0" w:line="62"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common stock;</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increased indebtedness that we may incur in the future;</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17"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17" w:lineRule="exact"/>
        <w:rPr>
          <w:rFonts w:ascii="Arial" w:cs="Arial" w:eastAsia="Arial" w:hAnsi="Arial"/>
          <w:sz w:val="18"/>
          <w:szCs w:val="18"/>
          <w:color w:val="auto"/>
        </w:rPr>
      </w:pPr>
    </w:p>
    <w:p>
      <w:pPr>
        <w:ind w:left="600" w:right="720" w:hanging="59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76" w:right="319" w:bottom="1440" w:gutter="0" w:footer="0" w:header="0"/>
        </w:sectPr>
      </w:pPr>
    </w:p>
    <w:bookmarkStart w:id="28" w:name="page29"/>
    <w:bookmarkEnd w:id="28"/>
    <w:p>
      <w:pPr>
        <w:ind w:left="600" w:hanging="59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These broad market and industry factors may decrease the market price of our common stock, regardless of our actual operating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that company. We are currently defending against such litigation. See additional information presented in "Note 13. Commitments and Contingencies—Legal Matters" in the accompanying "Notes to Consolidated Financial Statements" in this Annual Report. Such litigation could result in substantial costs and a diversion of our management’s attention and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by offering other equity securities, or debt, including senior or subordinated notes, debt securities convertible into equity, or shares of preferred stock. Opening new company-operated restaurants in existing and new markets could require substantial additional capital in excess of cash from operations. We would expect to finance the capital required for new company-operated restaurants through a combination of additional issuances of equity, corporate indebtedness, and cash from operations.</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Issuing additional shares of our common stock or other equity securities or securities convertible into equity may dilute the economic and voting rights of our existing stockholders, reduce the market price of our common stock, or both. In a liquidation, holders of any such debt securities or preferred stock, and lenders with respect to other borrowings, could receive distributions of our available assets prior to the holders of our common stock. Debt securities convertible into equity could be subject to adjustments in their conversion ratios under certain circumstances, increasing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that may adversely affect the amount, timing, or nature of our future offerings. Thus, holders of our common stock bear the risk that our future offerings may reduce the market price of our common stock and dilute their stockholdings in us.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could be negatively affected by sales of substantial amounts of our common stock in the public markets.</w:t>
      </w:r>
    </w:p>
    <w:p>
      <w:pPr>
        <w:spacing w:after="0" w:line="14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market price of our common stock could decline as a result of sales of a large number of shares of our common stock in the market or the perception that such sales could occur. No lock-up agreements presently are in effect. LLC presently owns approximately 42.9% of our outstanding common stock and could sell stock publicly either if the stock were registered or if the exemption requirements of Rule 144 were satisfied.</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our stockholders agreement, LLC and, in certain instances, Freeman Spogli, may require us to file registration statements under the Securities Act at our expense, covering resales of our common stock held by them or LLC or piggyback on a registration statement in certain circumstances. Any such sales, or the prospect of any such sales, could materially impact the market price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issuance of additional common stock in connection with our incentive plan, acquisitions, or otherwise will dilute all other stockholdings.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February 28, 2019, we had an aggregate of 156,948,363 shares of common stock authorized, unissued, and not reserved for incentive plan issuance. We may issue all of these shares of common stock without any action or approval by our stockholders, subject to certain exceptions. Any common stock issued in connection with our incentive plan, the exercise of outstanding stock options, or otherwise would dilute the percentage ownership held by all other stockholders.</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Delaware law, our organizational documents, and our existing and future debt agreements may impede or discourage a takeover, depriving our investors of the opportunity to receive a premium for their shares.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difficult for, or prevent, a third party from acquiring control of us without the approval of our board of directors. Among other things, these provisions:</w:t>
      </w:r>
    </w:p>
    <w:p>
      <w:pPr>
        <w:spacing w:after="0" w:line="79" w:lineRule="exact"/>
        <w:rPr>
          <w:sz w:val="20"/>
          <w:szCs w:val="20"/>
          <w:color w:val="auto"/>
        </w:rPr>
      </w:pPr>
    </w:p>
    <w:p>
      <w:pPr>
        <w:ind w:left="600" w:hanging="565"/>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three-year terms;</w:t>
      </w:r>
    </w:p>
    <w:p>
      <w:pPr>
        <w:spacing w:after="0" w:line="117" w:lineRule="exact"/>
        <w:rPr>
          <w:rFonts w:ascii="Arial" w:cs="Arial" w:eastAsia="Arial" w:hAnsi="Arial"/>
          <w:sz w:val="18"/>
          <w:szCs w:val="18"/>
          <w:color w:val="auto"/>
        </w:rPr>
      </w:pPr>
    </w:p>
    <w:p>
      <w:pPr>
        <w:ind w:left="600" w:hanging="565"/>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allow a minority of stockholders to elect director candidates;</w:t>
      </w:r>
    </w:p>
    <w:p>
      <w:pPr>
        <w:spacing w:after="0" w:line="117" w:lineRule="exact"/>
        <w:rPr>
          <w:rFonts w:ascii="Arial" w:cs="Arial" w:eastAsia="Arial" w:hAnsi="Arial"/>
          <w:sz w:val="18"/>
          <w:szCs w:val="18"/>
          <w:color w:val="auto"/>
        </w:rPr>
      </w:pPr>
    </w:p>
    <w:p>
      <w:pPr>
        <w:ind w:left="600" w:hanging="565"/>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delegate the sole power to a majority of the board of directors to fix the number of directors;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76" w:right="259" w:bottom="1440" w:gutter="0" w:footer="0" w:header="0"/>
        </w:sectPr>
      </w:pPr>
    </w:p>
    <w:bookmarkStart w:id="29" w:name="page30"/>
    <w:bookmarkEnd w:id="29"/>
    <w:p>
      <w:pPr>
        <w:ind w:left="600" w:right="40" w:hanging="565"/>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the power to our board of directors to fill any vacancy on our board of directors, whether such vacancy occurs as a result of an increase in the number of directors or otherwise;</w:t>
      </w:r>
    </w:p>
    <w:p>
      <w:pPr>
        <w:spacing w:after="0" w:line="62" w:lineRule="exact"/>
        <w:rPr>
          <w:rFonts w:ascii="Arial" w:cs="Arial" w:eastAsia="Arial" w:hAnsi="Arial"/>
          <w:sz w:val="18"/>
          <w:szCs w:val="18"/>
          <w:color w:val="auto"/>
        </w:rPr>
      </w:pPr>
    </w:p>
    <w:p>
      <w:pPr>
        <w:ind w:left="600" w:hanging="565"/>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without any need for action by stockholders;</w:t>
      </w:r>
    </w:p>
    <w:p>
      <w:pPr>
        <w:spacing w:after="0" w:line="117" w:lineRule="exact"/>
        <w:rPr>
          <w:rFonts w:ascii="Arial" w:cs="Arial" w:eastAsia="Arial" w:hAnsi="Arial"/>
          <w:sz w:val="18"/>
          <w:szCs w:val="18"/>
          <w:color w:val="auto"/>
        </w:rPr>
      </w:pPr>
    </w:p>
    <w:p>
      <w:pPr>
        <w:ind w:left="600" w:hanging="565"/>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eliminate the ability of stockholders to call special meetings of stockholders;</w:t>
      </w:r>
    </w:p>
    <w:p>
      <w:pPr>
        <w:spacing w:after="0" w:line="117" w:lineRule="exact"/>
        <w:rPr>
          <w:rFonts w:ascii="Arial" w:cs="Arial" w:eastAsia="Arial" w:hAnsi="Arial"/>
          <w:sz w:val="18"/>
          <w:szCs w:val="18"/>
          <w:color w:val="auto"/>
        </w:rPr>
      </w:pPr>
    </w:p>
    <w:p>
      <w:pPr>
        <w:ind w:left="600" w:right="740" w:hanging="565"/>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on by stockholders at stockholder meetings; and</w:t>
      </w:r>
    </w:p>
    <w:p>
      <w:pPr>
        <w:spacing w:after="0" w:line="62" w:lineRule="exact"/>
        <w:rPr>
          <w:rFonts w:ascii="Arial" w:cs="Arial" w:eastAsia="Arial" w:hAnsi="Arial"/>
          <w:sz w:val="18"/>
          <w:szCs w:val="18"/>
          <w:color w:val="auto"/>
        </w:rPr>
      </w:pPr>
    </w:p>
    <w:p>
      <w:pPr>
        <w:ind w:left="600" w:right="60" w:hanging="565"/>
        <w:spacing w:after="0" w:line="312"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provide that, on or after the date that LLC ceases to beneficially own at least 40% of the total votes eligible to be cast in the election of directors, a 75% supermajority vote will be required to amend or repeal provisions relating to, among other things, the classification of the board of directors, the filling of vacancies on the board of directors, and the advance notice requirements for stockholder proposals and director nominations.</w:t>
      </w:r>
    </w:p>
    <w:p>
      <w:pPr>
        <w:spacing w:after="0" w:line="3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addition, our secured revolving credit facility imposes, and we anticipate that documents governing our future indebtedness may impose, limitations on our ability to enter into change of control transactions. Under our secured revolving credit facility, the occurrence of a change of control transaction can constitute an event of default permitting acceleration of the debt, thereby impeding our ability to enter into change of control transactions.</w:t>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foregoing factors, as well as significant common stock ownership by Trimaran and Freeman Spogli, could impede a merger, takeover, or other business combination, or discourage a potential investor from making a tender offer for our common stock, which, under certain circumstances, could reduce the market value of our common stock.</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26, 2018, our restaurant system consisted of 484 restaurants, comprised of 213 company-operated restaurants and 271 franchised restaurants, located in California, Arizona, Nevada, Texas, Louisiana and Utah. In addition, we currently license our brand to one restaurant in the Philippines. We have not included this licensed restaurant as part of our unit count as presented in this annual report. The table below sets forth the locations (by state) for all restaurants in operation.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15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Franchised</w:t>
            </w:r>
          </w:p>
        </w:tc>
        <w:tc>
          <w:tcPr>
            <w:tcW w:w="14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740" w:type="dxa"/>
            <w:vAlign w:val="bottom"/>
            <w:gridSpan w:val="3"/>
            <w:vMerge w:val="continue"/>
          </w:tcPr>
          <w:p>
            <w:pPr>
              <w:spacing w:after="0"/>
              <w:rPr>
                <w:sz w:val="13"/>
                <w:szCs w:val="13"/>
                <w:color w:val="auto"/>
              </w:rPr>
            </w:pPr>
          </w:p>
        </w:tc>
        <w:tc>
          <w:tcPr>
            <w:tcW w:w="1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Operated</w:t>
            </w:r>
          </w:p>
        </w:tc>
        <w:tc>
          <w:tcPr>
            <w:tcW w:w="1580" w:type="dxa"/>
            <w:vAlign w:val="bottom"/>
            <w:gridSpan w:val="2"/>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FF0FC"/>
            </w:tcBorders>
          </w:tcPr>
          <w:p>
            <w:pPr>
              <w:spacing w:after="0" w:line="20" w:lineRule="exact"/>
              <w:rPr>
                <w:sz w:val="1"/>
                <w:szCs w:val="1"/>
                <w:color w:val="auto"/>
              </w:rPr>
            </w:pPr>
          </w:p>
        </w:tc>
        <w:tc>
          <w:tcPr>
            <w:tcW w:w="300" w:type="dxa"/>
            <w:vAlign w:val="bottom"/>
            <w:tcBorders>
              <w:top w:val="single" w:sz="8" w:color="auto"/>
              <w:bottom w:val="single" w:sz="8" w:color="CFF0FC"/>
            </w:tcBorders>
          </w:tcPr>
          <w:p>
            <w:pPr>
              <w:spacing w:after="0" w:line="20" w:lineRule="exact"/>
              <w:rPr>
                <w:sz w:val="1"/>
                <w:szCs w:val="1"/>
                <w:color w:val="auto"/>
              </w:rPr>
            </w:pPr>
          </w:p>
        </w:tc>
        <w:tc>
          <w:tcPr>
            <w:tcW w:w="6400" w:type="dxa"/>
            <w:vAlign w:val="bottom"/>
            <w:tcBorders>
              <w:bottom w:val="single" w:sz="8" w:color="CFF0FC"/>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California</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Nevada</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Arizona</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Texas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8"/>
                <w:szCs w:val="18"/>
                <w:color w:val="auto"/>
              </w:rPr>
              <w:t>Utah</w:t>
            </w:r>
          </w:p>
        </w:tc>
        <w:tc>
          <w:tcPr>
            <w:tcW w:w="15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Louisiana</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restaurants are either free-standing facilities, typically with drive-thru capability, or in-line. A typical restaurant generally ranges from 2,200 to 3,000 square feet, with seating for approximately 50-70 people. For a majority of our company-operated restaurants, we lease land on which our restaurants are built. Our leases generally have terms of 20 years, with two or three renewal terms of five years.</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Restaurant leases provide for a specified annual rent, and some leases call for additional or contingent rent based on revenue above specified levels. Generally, our leases are “net” leases that require us to pay a pro rata share of taxes, insurance, and maintenance costs. We own 15 properties, currently operating 12 and licensing 3 to franchisees. In addition, we operate 201 company-operated restaurants on leased real estate, an owned operating unit with additional parking on leased real estate, and have another 15 leased sites that are subleased or assigned to franchisees who operate El Pollo Loco restaurants. We also have six closed units and two units subleased for uses other than El Pollo Loco.</w:t>
      </w:r>
    </w:p>
    <w:p>
      <w:pPr>
        <w:spacing w:after="0" w:line="6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lease our headquarters, consisting of approximately 29,880 square feet in Costa Mesa, California, for a term expiring in 2023, plus one three-year extension option. Our headquarters is located at 3535 Harbor Boulevard, Suite 100, Costa Mesa, California 92626, and our telephone number is (714) 599-5000. We believe that our current office space is suitable and adequate for its intended purposes and our near-term expansion plans.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30" w:name="page31"/>
    <w:bookmarkEnd w:id="30"/>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proceedings, see "Note 13. Commitments and Contingencies—Legal Matters" in the accompanying "Notes to Consolidated Financial Statements" in this Annual Report.</w:t>
      </w:r>
    </w:p>
    <w:p>
      <w:pPr>
        <w:spacing w:after="0" w:line="200" w:lineRule="exact"/>
        <w:rPr>
          <w:sz w:val="20"/>
          <w:szCs w:val="20"/>
          <w:color w:val="auto"/>
        </w:rPr>
      </w:pPr>
    </w:p>
    <w:p>
      <w:pPr>
        <w:spacing w:after="0" w:line="3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688" w:right="4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has been listed on the NASDAQ under the symbol “LOCO” since July 25, 2014.</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following table sets forth, for the periods indicated, the high and low intraday sale prices for our common stock on the NASDAQ, as reported by the NASDAQ. Such quotations represent interdealer prices without retail markup, markdown, or commission, and may not necessarily represent actual transactions.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Low</w:t>
            </w: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High</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First Quarter (December 29, 2016-March 29, 2017)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13.55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 (March 30, 2017-June 28, 2017)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Third Quarter (June 29, 2017-September 27, 2017)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14.35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 (September 28, 2017-December 27, 2017)</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Fiscal 2018:</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 (December 28, 2017-March 28, 2018)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Second Quarter (March 29, 2018-June 27, 2018)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11.75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 (June 28, 2018-September 26, 2018)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Fourth Quarter (September 27, 2018-December 26, 2018)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16.95</w:t>
            </w:r>
          </w:p>
        </w:tc>
      </w:tr>
      <w:tr>
        <w:trPr>
          <w:trHeight w:val="351"/>
        </w:trPr>
        <w:tc>
          <w:tcPr>
            <w:tcW w:w="7900" w:type="dxa"/>
            <w:vAlign w:val="bottom"/>
          </w:tcPr>
          <w:p>
            <w:pPr>
              <w:spacing w:after="0"/>
              <w:rPr>
                <w:sz w:val="20"/>
                <w:szCs w:val="20"/>
                <w:color w:val="auto"/>
              </w:rPr>
            </w:pPr>
            <w:r>
              <w:rPr>
                <w:rFonts w:ascii="Arial" w:cs="Arial" w:eastAsia="Arial" w:hAnsi="Arial"/>
                <w:sz w:val="18"/>
                <w:szCs w:val="18"/>
                <w:color w:val="auto"/>
                <w:w w:val="95"/>
              </w:rPr>
              <w:t>As of February 28, 2019, the closing price per share of our common stock on the NASDAQ was $15.13.</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9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As of February 28, 2019, there were approximately 50 holders of record of our common stock. The number of holders of record is based upon the actual number of holders registered at such date and does not include holders of shares in “street name” or persons, partnerships, associates, corporations, or other entities in security position listings maintained by depositories. As of the same date, there were approximately 25,000 registered and beneficial accounts.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did not pay dividends in 2018 and 2017 and do not expect to pay dividends in the foreseeable future because we intend to use cash flow generated by operations to grow our business. Any future determination otherwise will be at the discretion of our board of directors and depend upon our financial condition, results of operations, capital requirements, and other factors. In addition, the 2018 Revolver (defined below) restricts our ability to pay dividends. See "Item 7. “Management’s Discussion and Analysis of Financial Condition and Results of Operations—Liquidity and Capital Resources—Debt and Other Obligations—</w:t>
      </w:r>
      <w:r>
        <w:rPr>
          <w:rFonts w:ascii="Arial" w:cs="Arial" w:eastAsia="Arial" w:hAnsi="Arial"/>
          <w:sz w:val="17"/>
          <w:szCs w:val="17"/>
          <w:i w:val="1"/>
          <w:iCs w:val="1"/>
          <w:color w:val="auto"/>
        </w:rPr>
        <w:t>Current Credit Agreement</w:t>
      </w:r>
      <w:r>
        <w:rPr>
          <w:rFonts w:ascii="Arial" w:cs="Arial" w:eastAsia="Arial" w:hAnsi="Arial"/>
          <w:sz w:val="17"/>
          <w:szCs w:val="17"/>
          <w:color w:val="auto"/>
        </w:rPr>
        <w:t>," “Item 1A. Risk Factors—Risks Related to Ownership of Our Common Stock,” and "Note 1. Description of Business" in the accompanying "Notes to Consolidated Financial Statements" in this Annual Report.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The following table summarizes the Company's purchases of common stock under a Stock Repurchase Program (as defined below) and withholdings of common stock to satisfy tax withholding obligations in connection with the vesting of restricted stock issued to employees related to awards under our compensation plans in the quarterly period ended December 26, 2018 (in thousands, except number of shares and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8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4"/>
              </w:rPr>
              <w:t>Shares That May Be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2"/>
                <w:szCs w:val="12"/>
                <w:color w:val="auto"/>
              </w:rPr>
            </w:pPr>
          </w:p>
        </w:tc>
        <w:tc>
          <w:tcPr>
            <w:tcW w:w="1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September 27, 2018 to October 24, 2018</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October 25, 2018 to November 21,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November 22, 2018 to December 26, 2018</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66,746</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14.78</w:t>
            </w:r>
          </w:p>
        </w:tc>
        <w:tc>
          <w:tcPr>
            <w:tcW w:w="12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66,409</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19,019</w:t>
            </w:r>
          </w:p>
        </w:tc>
        <w:tc>
          <w:tcPr>
            <w:tcW w:w="0" w:type="dxa"/>
            <w:vAlign w:val="bottom"/>
          </w:tcPr>
          <w:p>
            <w:pPr>
              <w:spacing w:after="0"/>
              <w:rPr>
                <w:sz w:val="1"/>
                <w:szCs w:val="1"/>
                <w:color w:val="auto"/>
              </w:rPr>
            </w:pPr>
          </w:p>
        </w:tc>
      </w:tr>
      <w:tr>
        <w:trPr>
          <w:trHeight w:val="270"/>
        </w:trPr>
        <w:tc>
          <w:tcPr>
            <w:tcW w:w="4120" w:type="dxa"/>
            <w:vAlign w:val="bottom"/>
          </w:tcPr>
          <w:p>
            <w:pPr>
              <w:ind w:left="1860"/>
              <w:spacing w:after="0"/>
              <w:rPr>
                <w:sz w:val="20"/>
                <w:szCs w:val="20"/>
                <w:color w:val="auto"/>
              </w:rPr>
            </w:pPr>
            <w:r>
              <w:rPr>
                <w:rFonts w:ascii="Arial" w:cs="Arial" w:eastAsia="Arial" w:hAnsi="Arial"/>
                <w:sz w:val="14"/>
                <w:szCs w:val="14"/>
                <w:color w:val="auto"/>
              </w:rPr>
              <w:t>Total</w:t>
            </w: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66,746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66,409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August 2, 2018, the Company announced the Board of Directors had authorized a stock repurchase program (the "Stock Repurchase Program"). The Company entered into a stock repurchase plan pursuant to Rule 10b5-1 of the Exchange Act on August 28, 2018 (the "Stock Repurchase Plan"), which allows the repurchase of up to $20.0 million of the Company's common stock. The Stock Repurchase Plan commenced purchases on November 6, 2018, and, if not terminated sooner by other provisions of the Stock Repurchase Plan, will terminate on June 26, 2019. The Stock Repurchase Plan may also be suspended or terminated at any time upon prior notice.</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Stock Repurchase Program, the Company may repurchase its common stock from time to time, in amounts and at prices that the Company deems appropriate, subject to market conditions and other considerations. The Company's repurchases may be executed using open market purchases and/or through privately negotiated transactions.</w:t>
      </w:r>
    </w:p>
    <w:p>
      <w:pPr>
        <w:spacing w:after="0" w:line="73"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During the quarterly period ended December 26, 2018, the Company withheld 337 shares of common stock surrendered to the Company to satisfy tax withholding obligations in connection with the vesting of restricted stock issued to employees related to awards under our compensation plans for total consideration of less than $0.1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following graph and table illustrate the total return from July 25, 2014, through December 26, 2018, for (i) our common stock, (ii) the NASDAQ Composite Total Return Index and (iii) the Standard and Poor’s Supercomposite Restaurants Index, assuming the investment of $100 at the beginning of the period (at the closing price on our first day of trading of $24.03), reinvestment of dividends, and no transaction costs.</w:t>
      </w:r>
    </w:p>
    <w:p>
      <w:pPr>
        <w:spacing w:after="0" w:line="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graph and table are furnished and not filed with the SEC, and are not incorporated by reference into any other filing. They are not a forecast of future performance.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88" w:right="2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1152525</wp:posOffset>
            </wp:positionH>
            <wp:positionV relativeFrom="page">
              <wp:posOffset>311785</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Date</w:t>
            </w:r>
          </w:p>
        </w:tc>
        <w:tc>
          <w:tcPr>
            <w:tcW w:w="3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LOCO</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NASDAQ</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S&amp;P Supercomposite</w:t>
            </w:r>
          </w:p>
        </w:tc>
        <w:tc>
          <w:tcPr>
            <w:tcW w:w="0" w:type="dxa"/>
            <w:vAlign w:val="bottom"/>
          </w:tcPr>
          <w:p>
            <w:pPr>
              <w:spacing w:after="0"/>
              <w:rPr>
                <w:sz w:val="1"/>
                <w:szCs w:val="1"/>
                <w:color w:val="auto"/>
              </w:rPr>
            </w:pPr>
          </w:p>
        </w:tc>
      </w:tr>
      <w:tr>
        <w:trPr>
          <w:trHeight w:val="158"/>
        </w:trPr>
        <w:tc>
          <w:tcPr>
            <w:tcW w:w="3560" w:type="dxa"/>
            <w:vAlign w:val="bottom"/>
            <w:gridSpan w:val="3"/>
            <w:vMerge w:val="continue"/>
          </w:tcPr>
          <w:p>
            <w:pPr>
              <w:spacing w:after="0"/>
              <w:rPr>
                <w:sz w:val="13"/>
                <w:szCs w:val="13"/>
                <w:color w:val="auto"/>
              </w:rPr>
            </w:pPr>
          </w:p>
        </w:tc>
        <w:tc>
          <w:tcPr>
            <w:tcW w:w="3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1"/>
              </w:rPr>
              <w:t>Composite</w:t>
            </w:r>
          </w:p>
        </w:tc>
        <w:tc>
          <w:tcPr>
            <w:tcW w:w="160" w:type="dxa"/>
            <w:vAlign w:val="bottom"/>
          </w:tcPr>
          <w:p>
            <w:pPr>
              <w:spacing w:after="0"/>
              <w:rPr>
                <w:sz w:val="13"/>
                <w:szCs w:val="13"/>
                <w:color w:val="auto"/>
              </w:rPr>
            </w:pPr>
          </w:p>
        </w:tc>
        <w:tc>
          <w:tcPr>
            <w:tcW w:w="132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w w:val="92"/>
              </w:rPr>
              <w:t>Restaurants Index</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July 25, 2014</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September 24, 2014</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148.65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April 1, 2015</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110.61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112.22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July 1, 2015</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September 30, 2015</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30, 2015</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March 30, 2016</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29, 2016</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128.46</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September 28, 2016</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122.74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127.33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28, 2016</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March 29, 2017</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136.91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28, 2017</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September 27, 2017</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150.61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27, 2017</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165.58</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March 28, 2018</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June 27, 2018</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September 26, 2018</w:t>
            </w:r>
          </w:p>
        </w:tc>
        <w:tc>
          <w:tcPr>
            <w:tcW w:w="3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188.45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175.09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26, 2018</w:t>
            </w:r>
          </w:p>
        </w:tc>
        <w:tc>
          <w:tcPr>
            <w:tcW w:w="3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178.25</w:t>
            </w:r>
          </w:p>
        </w:tc>
        <w:tc>
          <w:tcPr>
            <w:tcW w:w="0" w:type="dxa"/>
            <w:vAlign w:val="bottom"/>
          </w:tcPr>
          <w:p>
            <w:pPr>
              <w:spacing w:after="0"/>
              <w:rPr>
                <w:sz w:val="1"/>
                <w:szCs w:val="1"/>
                <w:color w:val="auto"/>
              </w:rPr>
            </w:pPr>
          </w:p>
        </w:tc>
      </w:tr>
      <w:tr>
        <w:trPr>
          <w:trHeight w:val="567"/>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180" w:type="dxa"/>
            <w:vAlign w:val="bottom"/>
          </w:tcPr>
          <w:p>
            <w:pPr>
              <w:jc w:val="right"/>
              <w:ind w:right="85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34" w:name="page35"/>
    <w:bookmarkEnd w:id="34"/>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tables contain selected historical consolidated financial data as of and for the last five fiscal years, derived from our audited consolidated financial statements. Not all periods shown are discussed in this Annual Report. You should read these tables in conjunction with "Item 7. Management’s Discussion and Analysis of Financial Condition and Results of Operations,” and our "Audited Consolidated Financial Statements" and accompanying "Notes to Consolidated Financial Statements" in this Annual Report (dollar and share amounts in thousands, except per share data).</w:t>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688"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388,835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322,516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25,771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25,086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24,655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22,345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21,222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435,828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401,701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380,123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355,057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344,861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Food and paper costs</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111,142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109,898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107,218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105,917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102,611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112,417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80,646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Occupancy and other operating expenses</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91,385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78,263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68,538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lost profits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314,944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302,113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282,450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260,125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251,795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50,261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29,519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Legal settlements</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36,258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17,825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11,538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Expenses related to fire loss</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property,</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and expenses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9,650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445,289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394,877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345,522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306,233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298,235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restaurants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48,824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49,284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18,062</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9,718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related to selling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41,382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provision (benefit)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12,783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(63,008)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42,463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Per Share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4660" w:type="dxa"/>
            <w:vAlign w:val="bottom"/>
          </w:tcPr>
          <w:p>
            <w:pPr>
              <w:ind w:left="40"/>
              <w:spacing w:after="0"/>
              <w:rPr>
                <w:sz w:val="20"/>
                <w:szCs w:val="20"/>
                <w:color w:val="auto"/>
              </w:rPr>
            </w:pPr>
            <w:r>
              <w:rPr>
                <w:rFonts w:ascii="Arial" w:cs="Arial" w:eastAsia="Arial" w:hAnsi="Arial"/>
                <w:sz w:val="18"/>
                <w:szCs w:val="18"/>
                <w:color w:val="auto"/>
                <w:w w:val="92"/>
              </w:rPr>
              <w:t>Weighted average shares used in computing net (loss) income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4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38,574,553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38,453,347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38,357,805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37,949,316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32,285,484</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w w:val="99"/>
              </w:rPr>
              <w:t>38,574,553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39,086,676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39,026,950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w w:val="97"/>
              </w:rPr>
              <w:t>39,039,558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34,346,241</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60" w:right="220" w:hanging="652"/>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December 28, 2017 we adopted Accounting Standards Update (“ASU") No. 2014-09, “Revenue from Contracts with Customers (Topic 606)" ("ASU 2014-09"). Results for reporting periods beginning on or after December 28, 2017 are presented under Accounting Standards Codification ("ASC") Topic 606 ("ASC 606"). Prior period amounts were not revised and continue to be reported in accordance with ASC Topic 605 ("ASC 605"), the accounting standard then in effect.</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697" w:right="2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Cash Flows Data:</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45,442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53,671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49,299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57,971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26,085</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(19,221)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(32,534)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(10,200)</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Consolidated Balance Sheet Data—(at period end):</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6,969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6,101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11,499</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 xml:space="preserve">Net property </w:t>
            </w:r>
            <w:r>
              <w:rPr>
                <w:rFonts w:ascii="Arial" w:cs="Arial" w:eastAsia="Arial" w:hAnsi="Arial"/>
                <w:sz w:val="16"/>
                <w:szCs w:val="16"/>
                <w:color w:val="auto"/>
              </w:rPr>
              <w:t>(1)</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104,145</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102,794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118,470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102,421</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82,090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450,226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442,711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471,305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461,028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455,306</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16"/>
                <w:szCs w:val="16"/>
                <w:color w:val="auto"/>
              </w:rPr>
              <w:t>(2)</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74,184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93,316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104,461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123,638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165,846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265,236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274,950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265,182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244,633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210,400</w:t>
            </w:r>
          </w:p>
        </w:tc>
      </w:tr>
    </w:tbl>
    <w:p>
      <w:pPr>
        <w:spacing w:after="0" w:line="12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property consists of property owned, net of accumulated depreciation and amortization.</w:t>
      </w:r>
    </w:p>
    <w:p>
      <w:pPr>
        <w:spacing w:after="0" w:line="117"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debt consists of borrowings under the 2018 Revolver and the 2014 Revolver (each, as defined below in "Item 7. Management’s Discussion and Analysis of Financial Condition and Results of Operations—Liquidity and Capital Resources—Debt and Other Obligations”), and our capital lease obligations.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"Item 6. Selected Financial Data,” and our "Audited Consolidated Financial Statements" and accompanying "Notes to Consolidated Financial Statements" included elsewhere in this Annual Report. In addition to historical information, this discussion contains forward-looking statements that involve risks, uncertainties, and assumptions that could cause actual results to differ materially from management’s expectations. See “Forward-Looking Statements” and "Item 1A. Risk Factors” included elsewhere in this Annual Report. We assume no obligation to update any of these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use a 52- or 53-week fiscal year ending on the last Wednesday of each calendar year. Fiscal 2018, 2017, and 2016 ended on December 26, 2018, December 27, 2017 and December 28, 2016,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2018, 2017, and 2016 were 52-week fiscal years. 53-week years may cause revenues, expenses, and other results of operations to be higher due to the additional week of operations. Fiscal years are identified in this report according to the calendar years in which they ended. For example, references to fiscal 2018 refer to the fiscal year ended December 26,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El Pollo Loco is a differentiated and growing restaurant concept that specializes in fire-grilling citrus-marinated chicken and operates in the limited service restaurant (“LSR”) segment. We strive to offer the quality of food and dining experience typical of fast casual restaurants while providing the speed, convenience, and value typical of traditional quick-service restaurants (“QSRs”), a combination that we call “QSR+.” Our distinctive menu features our signature product—citrus-marinated fire-grilled chicken—and a variety of Mexican-inspired entrees that we create from our chicken. We offer our customers healthier alternatives to traditional food on the go, served by our team members in a contemporary restaurant environment. We serve individual and family-sized chicken meals, a variety of Mexican-inspired entrees, and sides, and, throughout the year, on a limited-time basis, additional proteins like shrimp.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78" w:right="239" w:bottom="1440" w:gutter="0" w:footer="0" w:header="0"/>
        </w:sectPr>
      </w:pPr>
    </w:p>
    <w:bookmarkStart w:id="37" w:name="page38"/>
    <w:bookmarkEnd w:id="37"/>
    <w:p>
      <w:pPr>
        <w:ind w:right="460"/>
        <w:spacing w:after="0" w:line="277" w:lineRule="auto"/>
        <w:rPr>
          <w:sz w:val="20"/>
          <w:szCs w:val="20"/>
          <w:color w:val="auto"/>
        </w:rPr>
      </w:pPr>
      <w:r>
        <w:rPr>
          <w:rFonts w:ascii="Arial" w:cs="Arial" w:eastAsia="Arial" w:hAnsi="Arial"/>
          <w:sz w:val="18"/>
          <w:szCs w:val="18"/>
          <w:color w:val="auto"/>
        </w:rPr>
        <w:t>experience. Our distinctive menu with healthier alternatives appeals to consumers across a wide variety of socio-economic backgrounds and drives our balanced day-part mix.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167"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3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of December 26, 2018, we had 484 locations in six states. In fiscal 2018, we opened eight new company-operated restaurants and our franchisees opened nine new restaurants across Arizona, California, Utah, Louisiana and Texas. In fiscal 2017, we opened 16 new company-operated and seven new franchised restaurants across Arizona, California, Utah and Texas. In 2019, we intend to open three to four new company-operated and three to five new franchised restaurants. To increase comparable restaurant sales, we plan to increase customer frequency, attract new customers, and improve per-person spend.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fiscal 2018, 2017, and 2016, comparable restaurant sales system-wide increased 1.2%, 1.5%, and 0.9%, respectively. Comparable restaurant sales growth reflects the change in year-over-year sales for the comparable restaurant base. A restaurant enters our comparable restaurant base the first full week after its 15-month anniversary. System-wide comparable restaurant sales include restaurant sales at all comparable company-operated restaurants and at all comparable franchised restaurants, as reported by franchisees. Comparable restaurant sales at company-operated restaurants increased 0.4% in fiscal 2018, 1.0% in fiscal 2017, and 0.6% in fiscal 2016. In fiscal 2018, the increase in company-operated comparable restaurant sales was primarily the result of an increase in average check size of 1.4%, partially offset by a decrease in transactions of 1.0%. In fiscal 2017, the increase in company-operated comparable restaurant sales was primarily the result of an increase in average check size of 1.9% offset by a decrease in transactions of 0.9%. In fiscal 2016, the increase in company-operated comparable restaurant sales was driven by an increase in average check size of 0.3% and an increase in transactions of 0.3%. In fiscal 2018, 2017, and 2016, comparable restaurant sales at franchised restaurants increased 1.8%, 1.8%, and 1.1%,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New restaurant development is expected to be a key driver of our long-term growth strategy. In fiscal 2018, we opened eight company-operated restaurants, and our franchisees opened nine new restaurants. From time to time, we and our franchisees close restaurants. In fiscal 2018, the Company closed seven restaurants and our franchisees closed three restaurant. Our restaurant counts at the beginning and end of each of the last three years were as follows:</w:t>
      </w: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76" w:right="319" w:bottom="1440" w:gutter="0" w:footer="0" w:header="0"/>
        </w:sectPr>
      </w:pPr>
    </w:p>
    <w:bookmarkStart w:id="38" w:name="page39"/>
    <w:bookmarkEnd w:id="38"/>
    <w:p>
      <w:pPr>
        <w:ind w:left="876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gridSpan w:val="2"/>
          </w:tcPr>
          <w:p>
            <w:pPr>
              <w:ind w:left="7360"/>
              <w:spacing w:after="0"/>
              <w:rPr>
                <w:sz w:val="20"/>
                <w:szCs w:val="20"/>
                <w:color w:val="auto"/>
              </w:rPr>
            </w:pPr>
            <w:r>
              <w:rPr>
                <w:rFonts w:ascii="Arial" w:cs="Arial" w:eastAsia="Arial" w:hAnsi="Arial"/>
                <w:sz w:val="14"/>
                <w:szCs w:val="14"/>
                <w:b w:val="1"/>
                <w:bCs w:val="1"/>
                <w:color w:val="auto"/>
              </w:rPr>
              <w:t>2018</w:t>
            </w: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Restaurant sale to franchisee</w:t>
            </w:r>
          </w:p>
        </w:tc>
        <w:tc>
          <w:tcPr>
            <w:tcW w:w="162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247</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Restaurant sale to franchisee</w:t>
            </w:r>
          </w:p>
        </w:tc>
        <w:tc>
          <w:tcPr>
            <w:tcW w:w="1620" w:type="dxa"/>
            <w:vAlign w:val="bottom"/>
            <w:gridSpan w:val="3"/>
          </w:tcPr>
          <w:p>
            <w:pPr>
              <w:jc w:val="right"/>
              <w:ind w:right="1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10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restaurant activity:</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433</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Closures</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Restaurants at end of period</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7"/>
        </w:trPr>
        <w:tc>
          <w:tcPr>
            <w:tcW w:w="6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and our franchisees commenced our remodeling program in 2011 and, as of December 26, 2018, together we have remodeled 134 company-operated and 225 franchised restaurants, or 359 system-wide, over 85% of our restaurant system due to be remodeled. This includes 28 company-operated and 32 franchised restaurants that have been remodeled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December 26, 2018, including new builds and remodels, we had 99 restaurants open with the Vision design in our system. Remodeling is a use of cash and has implications for our net property and depreciation line items on our consolidated balance sheets and statements of operations, among others. The cost of our restaurant remodels varies depending on the scope of work required, but on average the investment is $0.3 to $0.4 million per restaurant. We believe that our remodeling program will result in higher restaurant revenue and a strengthened brand.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Loco Rewards</w:t>
      </w:r>
    </w:p>
    <w:p>
      <w:pPr>
        <w:spacing w:after="0" w:line="11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In addition, customers can earn additional points and free entrées for a variety of engagement activities. As points are available for redemption past the quarter earned, a portion of the revenue associated with the earned points will be deferred until redemption. As of December 26, 2018, the amount of revenue deferred related to the earned points, net of redemptions, is $1.0 million. The Company had 1,164,217 loyalty program members as of December 26,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Our revenue is derived from two primary sources: company-operated restaurant revenue and franchise related revenue. Beginning in fiscal 2018 with the adoption of ASU 2014-09, franchise related revenue includes franchise advertising fee revenue representing advertising contributions received from franchisees and franchise revenue, which is comprised primarily of franchise royalties and, to a lesser extent, franchise fees and sublease rental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3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Legal settlements include expenses such as judgments or settlements related to legal matters, legal claims and class action lawsuits.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Franchise expenses prior to fiscal 2018 were primarily comprised of rent expenses incurred on properties leased by us and then sublet to franchisees, and expenses incurred in support of franchisee information technology systems. Beginning in fiscal 2018 with the adoption of ASU 2014-09, franchise expenses also include all expenses of the advertising fund representing the franchised restaurants portion of advertising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the net present value of unpaid rent remaining on the life of a lease offset by assumed sublease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net, consists primarily of interest on our outstanding revolving debt. Debt issuance costs are amortized on a straight-line basis over the life of the related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Provision (benefit) for income taxes consists of federal and state tax expense (recoveries) on our income (loss), and changes to our deferred tax asset and deferred tax liability.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2018 Compared to Fiscal Year 2017</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operating results for the fiscal years ended December 26, 2018, and December 27, 2017, in absolute terms and expressed as a percentage of total revenue, with the exception of cost of operations and company restaurant expenses, which are expressed as a percentage of company-operated restaurant revenue, are compared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Fiscal Year</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3"/>
            <w:vMerge w:val="restart"/>
          </w:tcPr>
          <w:p>
            <w:pPr>
              <w:jc w:val="right"/>
              <w:ind w:right="331"/>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1"/>
              </w:rPr>
              <w:t>(52-Weeks)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(52-Weeks)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388,835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376,615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25,771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25,086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435,828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401,701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34,127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Food and paper costs </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111,142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109,898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Labor and related expenses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112,417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Occupancy and other operating expenses </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91,385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85,631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5,754</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Company restaurant expenses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314,944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50,261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38,523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11,738</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24,429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21,094</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33,645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(23,995)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445,289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394,877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50,412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4,809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180" w:hanging="652"/>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fiscal 2018, company-operated restaurant revenue increased $12.2 million, or 3.2%, due to $16.3 million of additional sales from new restaurants. In addition, company-operated revenue was favorably impacted by an increase in company-operated comparable restaurant sales of $1.6 million, or 0.4%. The growth in company-operated comparable restaurant sales was due primarily to an increase in average check size of 1.4%, partially offset by a decline in transactions of 1.0%, compared to the prior year. The increase in company-operated restaurant revenue was partially offset by $5.3 million of net impact of lost sales from closed restaurants in fiscal 2018 and 2017, and a $0.4 million decrease in other revenue.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fiscal 2018, franchise revenue increased $0.7 million, or 2.7%. This increase was due primarily to an increase in franchised comparable restaurant sales of 1.8%, and higher sales revenue resulting from additional franchise units. This was partially offset by a decline in franchise agreement and development agreement fees and lower levels of rent received from franchised restaurants related to their use of our owned or leased properties.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Advertising Fee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Beginning in fiscal 2018, we implemented Accounting Standard Update 2014-09, which requires us to present franchise advertising contributions received from franchisees as franchise advertising fee revenue and record all expenses of the advertising fund within franchise expenses, resulting in an increase in revenues and expenses on our consolidated statements of operations. As such, franchise revenue increased $21.2 million, from the comparable period in the prior year, as this was the first year of implementation. Refer to the Consolidated Financial Statements, Note 15, Revenue from Contracts with Customers, for further details.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Food and paper costs increased $1.2 million in fiscal 2018, due to a $0.6 million increase in food costs and a $0.6 million increase in paper costs. This increase was due primarily to higher restaurant revenue. Food and paper costs as a percentage of company-operated restaurant revenue were 28.6% in fiscal 2018, compared to 29.2% in fiscal 2017. This percentage decrease was due primarily to higher restaurant revenues due to increases in pricing.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Payroll and benefit expenses increased $5.8 million in fiscal 2018. This increase was due primarily to additional labor needs arising from the opening of 8 new restaurants in fiscal 2018 and 16 new restaurants in fiscal 2017 (partially offset by reduced labor for restaurant closures in fiscal 2018 and 2017), minimum wage increases in California and Los Angeles, and higher group insurance costs due to increased claims activity. Payroll and benefit expenses as a percentage of company-operated restaurant revenue were 28.9% in fiscal 2018, compared to 28.3% in fiscal 2017. This increase was primarily due to the wage increases noted above, partially offset by higher restaurant revenue from increases in pricing.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Occupancy and other operating expenses increased $5.8 million in fiscal 2018. This increase for the year-to-date period was due to a $1.8 million increase in occupancy costs, due primarily to additional rent and property tax, a $1.3 million increase in other controllable costs, resulting primarily from an increase in operating supply costs and trash collection costs, a $1.0 million increase in advertising costs and a $0.8 million increase in other operating expenses, resulting primarily from an increase in credit card fees and customer order delivery fees. The increases in fiscal 2018 were partially due to new restaurant openings during or after the first quarter of 2017. Occupancy and other operating expenses as a percentage of company-operated restaurant revenue was 23.5% in fiscal 2018, compared to 22.7% in fiscal 2017. This increase is primarily due to the higher costs noted above.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General and administrative expenses increased $11.7 million in fiscal 2018. The increase was due primarily to (i) a $8.7 million increase in legal expense primarily related to the securities class action as discussed in "Note 13. Commitments and Contingencies—Legal Matters" in the accompanying "Notes to Consolidated Financial Statements" in this Annual Report, (ii) a $1.4 million increase in payroll expense due primarily to an increase in our accrual for our annual bonus program and an increase in severance costs related to executive terminations, (iii) a $0.9 million increase in stock compensation related expenses, primarily related to the stock modification discussed in "Note 11. Stock-Based Compensation" in the accompanying "Notes to Consolidated Financial Statements" in this Annual Report and (iv) a $0.5 million increase in other professional fees, primarily related to general internal audit control development and effectiveness testing as well as additional tax services during 2018. These increases were partially offset by a $1.1 million decrease in new restaurant opening costs. General and administrative expenses as a percentage of total revenue was 11.5% in fiscal 2018, compared to 9.6% in fiscal 2017. This increase is primarily due to the higher costs noted above.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692" w:right="279" w:bottom="1440" w:gutter="0" w:footer="0" w:header="0"/>
        </w:sectPr>
      </w:pPr>
    </w:p>
    <w:bookmarkStart w:id="42" w:name="page43"/>
    <w:bookmarkEnd w:id="42"/>
    <w:p>
      <w:pPr>
        <w:ind w:right="80"/>
        <w:spacing w:after="0" w:line="255" w:lineRule="auto"/>
        <w:rPr>
          <w:sz w:val="20"/>
          <w:szCs w:val="20"/>
          <w:color w:val="auto"/>
        </w:rPr>
      </w:pPr>
      <w:r>
        <w:rPr>
          <w:rFonts w:ascii="Arial" w:cs="Arial" w:eastAsia="Arial" w:hAnsi="Arial"/>
          <w:sz w:val="18"/>
          <w:szCs w:val="18"/>
          <w:color w:val="auto"/>
        </w:rPr>
        <w:t>Legal settlements increased $36.3 million in fiscal 2018. The increase was due to (i) an accrual of an expected settlement amount in fiscal 2018 related to an agreement in principle to settle all claims and allegations for the securities class action as discussed in "Note 13. Commitments and Contingencies—Legal Matters" in the accompanying "Notes to Consolidated Financial Statements" in this Annual Report and (ii) an accrual of an expected settlement amount in fiscal 2018 related to an agreement in principle to settle all claims and allegations, as well as all wage and hour claims for multiple class action suits as discussed in "Note 13. Commitments and Contingencies—Legal Matters" in the accompanying "Notes to Consolidated Financial Statements" in this Annual Report.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Expenses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Beginning in fiscal 2018, we implemented ASU 2014-09, which requires us to present franchise advertising contributions received from franchisees as franchise advertising fee revenue and record all expenses of the advertising fund within franchise expenses, resulting in an increase in revenues and expenses on our consolidated statements of income. As such, franchise expenses increased by $21.2 million, from the comparable period in the prior year, representing the presentation of advertising fund expenses within franchise expenses as this was the first year of implementation. This increase in advertising fund expenses was partially offset by a decrease in rent expenses incurred on properties leased by us. Refer to the Consolidated Financial Statements, Note 15, Revenue from Contracts with Customers, for further details.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and Closed-Store Reserves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fiscal 2018, we determined that the carrying value of assets at certain restaurants may not be recoverable. As a result, we recorded a $5.1 million impairment expense primarily related to four restaurants, in Arizona, California and Texas, including a restaurant in Texas that opened in early 2018. During fiscal 2017, we determined that the carrying value of the assets of 21 restaurants, in Arizona, California and Texas, may not be recoverable. As a result, we recorded a $32.6 million impairment expense. The impairment expense for fiscal 2017 included an impairment expense of $27.7 million, representing the entire remaining value of capitalized assets of all of our company-operated restaurants in Texas, net of previously recorded depreciation. Factors which led to the impairment of our Texas restaurants included operating results, which indicated that the restaurants did not achieve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w:t>
      </w:r>
    </w:p>
    <w:p>
      <w:pPr>
        <w:spacing w:after="0" w:line="5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fiscal 2018, we closed seven restaurants in Arizona, California and Texas. These closures resulted in closed-store reserve expenses of $4.5 million during fiscal 2018. During fiscal 2017, we closed four restaurants in Texas, one of which was fully impaired during the fourth quarter of 2016, one of which was fully impaired during the third quarter of 2016 and the other two were fully impaired in fiscal 2017. Additionally, we closed one restaurant in Arizona, which was fully impaired in the third quarter of 2016. These closures resulted in closed-store reserve expenses of $1.1 million during fiscal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the recoverability of the carrying value of the assets of several other restaurants.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fiscal 2018, interest expense, net increased by $0.2 million primarily due to an increase in the interest rate on our revolving debt during 2018.</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Receivable Agreement</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fiscal 2018 we recognized income tax receivable agreement income of $0.8 million as a result of changes to future forecasted results and the timing of the deductibility of certain temporary differences including the current year legal settlement accruals. In 2017 we incurred income tax receivable agreement income of $5.6 million, resulting from the amortization of interest expense related to our total expected TRA payments, changes to future forecasted results, the reduction of the expected TRA liability as a result of the impact of the Tax Act on the corporate tax rate on future years, and expected realization of various pre-IPO tax credits. In fiscal 2018 and 2017, we paid $7.3 million and $11.1 million, respectively, to our pre-IPO stockholders under the TRA.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76" w:right="299" w:bottom="1440" w:gutter="0" w:footer="0" w:header="0"/>
        </w:sectPr>
      </w:pPr>
    </w:p>
    <w:bookmarkStart w:id="43" w:name="page44"/>
    <w:bookmarkEnd w:id="43"/>
    <w:p>
      <w:pPr>
        <w:ind w:right="220"/>
        <w:spacing w:after="0" w:line="264" w:lineRule="auto"/>
        <w:rPr>
          <w:sz w:val="20"/>
          <w:szCs w:val="20"/>
          <w:color w:val="auto"/>
        </w:rPr>
      </w:pPr>
      <w:r>
        <w:rPr>
          <w:rFonts w:ascii="Arial" w:cs="Arial" w:eastAsia="Arial" w:hAnsi="Arial"/>
          <w:sz w:val="18"/>
          <w:szCs w:val="18"/>
          <w:color w:val="auto"/>
        </w:rPr>
        <w:t>In fiscal 2018, we recorded an income tax benefit of $3.2 million, compared to income tax expense of $0.5 million in fiscal 2017, reflecting an estimated effective tax rate of 26.3% and 5.5%, respectively. The lower effective tax rate in 2017 resulted primarily from the Tax Act enacted on December 22, 2017. The Tax Act had the following effects on our income tax expense for the year ended December 27, 2017:</w:t>
      </w:r>
    </w:p>
    <w:p>
      <w:pPr>
        <w:spacing w:after="0" w:line="46" w:lineRule="exact"/>
        <w:rPr>
          <w:sz w:val="20"/>
          <w:szCs w:val="20"/>
          <w:color w:val="auto"/>
        </w:rPr>
      </w:pPr>
    </w:p>
    <w:p>
      <w:pPr>
        <w:ind w:left="660" w:right="240" w:hanging="328"/>
        <w:spacing w:after="0" w:line="279"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Under Financial Accounting Standards Board ASC Topic 740, Income Taxes (“ASC 740”), we are required to revalue any deferred tax assets or liabilities in the period of enactment of change in tax rates. The Tax Act lowers the corporate income tax rate from 35% to 21%. We estimated the impact of the revaluation of our deferred tax assets and liabilities, which resulted in a decrease to our net deferred income tax liability by $1.4 million and is reflected as a decrease in our income tax expense in our results for fiscal 2017.</w:t>
      </w:r>
    </w:p>
    <w:p>
      <w:pPr>
        <w:spacing w:after="0" w:line="3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reduced corporate tax rate also resulted in a TRA benefit to the provision for income tax expense for fiscal 2017 in the amount of $2.0 million.</w:t>
      </w:r>
    </w:p>
    <w:p>
      <w:pPr>
        <w:spacing w:after="0" w:line="113"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Tax Act is generally effective for tax years beginning after December 31, 2017. As such, the reduction in the corporate income tax rate from 35% to 21% is effective for the fiscal year ended December 26, 2018.</w:t>
      </w:r>
    </w:p>
    <w:p>
      <w:pPr>
        <w:spacing w:after="0" w:line="6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addition, there was a $1.0 million valuation allowance against our deferred tax assets recorded in each of fiscal 2018 and fiscal 2017. The valuation allowance against our deferred tax assets resulted from certain tax credits that may not be realizable prior to the time the credits expire.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2017 Compared to Fiscal Year 2016</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operating results for the fiscal years ended December 27, 2017, and December 28, 2016, in absolute terms and expressed as a percentage of total revenue, with the exception of cost of operations and company restaurant expenses, which are expressed as a percentage of company-operated restaurant revenue, are compared below:</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76" w:right="2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Fiscal Year</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3"/>
            <w:vMerge w:val="restart"/>
          </w:tcPr>
          <w:p>
            <w:pPr>
              <w:jc w:val="right"/>
              <w:ind w:right="331"/>
              <w:spacing w:after="0"/>
              <w:rPr>
                <w:sz w:val="20"/>
                <w:szCs w:val="20"/>
                <w:color w:val="auto"/>
              </w:rPr>
            </w:pPr>
            <w:r>
              <w:rPr>
                <w:rFonts w:ascii="Arial" w:cs="Arial" w:eastAsia="Arial" w:hAnsi="Arial"/>
                <w:sz w:val="14"/>
                <w:szCs w:val="14"/>
                <w:b w:val="1"/>
                <w:bCs w:val="1"/>
                <w:color w:val="auto"/>
              </w:rPr>
              <w:t>Increase / (Decrease)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1"/>
              </w:rPr>
              <w:t>(52-Weeks)</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(52-Weeks)</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376,615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355,468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24,655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380,123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Food and paper costs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Labor and related expenses </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106,584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97,471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9,113</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Occupancy and other operating expenses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85,631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Gain on recovery of insurance proceeds, lost profits </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Company restaurant expenses </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38,523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34,661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18,128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16,053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Expenses related to fire loss</w:t>
            </w:r>
          </w:p>
        </w:tc>
        <w:tc>
          <w:tcPr>
            <w:tcW w:w="200" w:type="dxa"/>
            <w:vAlign w:val="bottom"/>
          </w:tcPr>
          <w:p>
            <w:pPr>
              <w:spacing w:after="0"/>
              <w:rPr>
                <w:sz w:val="21"/>
                <w:szCs w:val="21"/>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recovery of insurance proceeds, property,</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394,877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345,522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49,355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restaurants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34,629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12,783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(12,286)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180" w:hanging="652"/>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fiscal 2017, company-operated restaurant revenue increased $21.1 million, or 5.9%, due to $20.9 million of additional sales from new restaurants. In addition, company-operated restaurant revenue was favorably impacted by an increase in company-operated comparable restaurant sales of $3.4 million, or 1.0%. The growth in company-operated comparable restaurant sales was due primarily to an increase in average check size of 1.9%, partially offset by a decline in transactions of 0.9%, compared to the prior year. The increase in company-operated restaurant revenue was partially offset by $2.7 million of net impact of lost sales from closed restaurants in fiscal 2017 and 2016, and $0.5 million of other revenue.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3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fiscal 2017, franchise revenue increased $0.4 million, or 1.7%. This increase was due primarily to an increase in franchised comparable restaurant sales of 1.8%, and $1.0 million in higher sales revenue, resulting from additional franchise units. This was partially offset by a decline in franchise agreement and development agreement fees and lower fees received from franchised restaurants related to their use of our point-of-sales system.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and Paper Costs</w:t>
      </w:r>
    </w:p>
    <w:p>
      <w:pPr>
        <w:spacing w:after="0" w:line="11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Food and paper costs increased $2.7 million in fiscal 2017, due to a $1.6 million increase in food costs and a $1.1 million increase in paper costs. This increase was due primarily to higher restaurant revenue, and increased food waste, partially offset by lower commodity costs related to chicken. Food and paper costs as a percentage of company-operated restaurant revenue were 29.2% in fiscal 2017, compared to 30.2% in fiscal 2016. This decrease in percentage was due primarily to the lower commodity costs, noted above, and increases in prices.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and Related Expenses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Payroll and benefit expenses increased $9.1 million in fiscal 2017. This increase was due primarily to additional labor needs arising from the opening of 16 new restaurants in fiscal 2017 and 18 new restaurants in fiscal 2016, minimum wage increases in California, and higher workers' compensation expense due to increased claims activity. This was partially offset by lower group insurance costs due to lower claims activity. Payroll and benefit expenses as a percentage of company-operated restaurant revenue were 28.3% in fiscal 2017, compared to 27.4% in fiscal 2016. This increase was primarily due to the minimum wage increases and incremental labor required for the new restaurant openings, noted above, partially offset by higher restaurant revenue.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 and Other Operating Expenses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Occupancy and other operating expenses increased $7.4 million in fiscal 2017. This increase for the year-to-date period was due to a $3.7 million increase in occupancy costs, due primarily to additional rent and property tax, a $1.3 million increase in utilities costs, a $0.7 million increase in advertising costs, and a $1.7 million increase in other operating expenses, resulting primarily from an increase in credit card fees, restaurant security expenses and repair and maintenance costs. The increases in fiscal 2017 resulted primarily from the new restaurants opened during or after the first quarter of 2016. Occupancy and other operating expenses as a percentage of company-operated restaurant revenue was 22.7% in fiscal 2017, compared to 22.0% in fiscal 2016. This increase resulted primarily from rent expense, relative to revenue volume generated, and other incremental costs related to opening new restaurants in 2016 and fiscal year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General and administrative expenses increased $3.9 million in fiscal 2017. The increase was due primarily to (i) a $2.6 million increase in legal expense related primarily to the securities class action as discussed under Item 3, "Legal Proceedings" and franchise related litigation, (ii) a $2.0 million increase in payroll expense due primarily to an increase in our accrual for our annual bonus program and an increase in the number of corporate employees and (iii) a $0.5 million increase in other general and administrative costs, primarily related to an increase in recruiting costs. These increases were partially offset by a $0.6 million decrease in new restaurant opening costs and a $0.6 million decrease in travel related costs. General and administrative expenses as a percentage of total revenue were 9.6% in fiscal 2017, compared to 9.1% in fiscal 2016. This increase is primarily due to the higher costs noted above.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Recovery of Insurance Proceeds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operations as a reduction of company restaurant expenses, for fiscal 2016. The Company received from the insurance company cash of $1.4 million, net of the insurance deductible, during fiscal 2016.</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Asset Impairment and Closed-Store Reserves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2017, we determined that the carrying value of the assets of 21 restaurants, in Arizona, California and Texas, may not be recoverable. Additionally, we made a strategic decision to close two additional restaurants in Texas. As a result, we recorded a $32.6 million impairment expense. The impairment expense for fiscal 2017 includes an impairment expense of $27.7 million, representing the entire remaining value of capitalized assets of all of our company-operated restaurants in Texas, net of previously recorded depreciation. Factors which led to the impairment of our Texas restaurants include recent results, which indicate that the restaurants have not achieved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 During fiscal 2017, we closed four restaurants in Texas, one of which was fully impaired during the fourth quarter of 2016, one of which was fully impaired during the third quarter of 2016 and the other two were fully impaired in fiscal 2017. Additionally, we closed one restaurant in Arizona, which was fully impaired in the third quarter of 2016. These closures resulted in closed-store reserve expenses of $1.1 million during fiscal 2017.</w:t>
      </w:r>
    </w:p>
    <w:p>
      <w:pPr>
        <w:spacing w:after="0" w:line="75"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During fiscal 2016, the Company determined that the carrying value of the assets of nine restaurants, in Arizona, California and Texas, may not be recoverable. As a result, the Company recorded $8.3 million of expense related to the impairment of the assets of the nine restaurants.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the recoverability of the carrying value of the assets of several other restaurants.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Disposition of Restaurants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statements of operations. This restaurant is now included in our franchised restaurant totals.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interest expense, net was comparable with the same period of the prior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Receivable Agreement</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fiscal 2017 we recognized income tax receivable agreement income of $5.6 million and in 2016 we incurred income tax receivable agreement expense of $0.4 million, resulting from the amortization of interest expense related to our total expected TRA payments, changes in estimates for actual tax returns filed, the reduction of the expected TRA liability as a result of the impact of the Tax Act on the corporate tax rate on future years, and expected realization of various pre-IPO tax credits. In fiscal 2017 and 2016, we paid $11.1 million and $3.2 million, respectively, to our pre-IPO stockholders under the TRA.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fiscal 2017, we recorded an income tax expense of $0.5 million, compared to income tax expense of $12.8 million in fiscal 2016, reflecting an estimated effective tax rate of 5.5% and 41.1%, respectively. The lower effective tax rate resulted primarily from the Tax Act enacted on December 22, 2017. The Tax Act had the following effects on our income tax expense for the year ended December 27, 2017:</w:t>
      </w:r>
    </w:p>
    <w:p>
      <w:pPr>
        <w:spacing w:after="0" w:line="46" w:lineRule="exact"/>
        <w:rPr>
          <w:sz w:val="20"/>
          <w:szCs w:val="20"/>
          <w:color w:val="auto"/>
        </w:rPr>
      </w:pPr>
    </w:p>
    <w:p>
      <w:pPr>
        <w:ind w:left="660" w:right="4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ASC 740, we are required to revalue any deferred tax assets or liabilities in the period of enactment by the change in tax rates. The Tax Act lowers the corporate income tax rate from 35% to 21%. We estimated the impact of the revaluation of our deferred tax assets and liabilities, resulting in a decrease to our net deferred income tax liability by $1.4 million which is reflected as a decrease in our income tax expense in our results for fiscal 2017.</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reduced corporate tax rate, also resulted in a TRA benefit to the provision for income tax expense for fiscal 2017 in the amount of $2.0 million.</w:t>
      </w:r>
    </w:p>
    <w:p>
      <w:pPr>
        <w:spacing w:after="0" w:line="113"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Tax Act is generally effective for tax years beginning after December 31, 2017. As such, the reduction in the corporate income tax rate from 35% to 21% is effective for the fiscal year ended December 26, 2018.</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there was a $3.3 million valuation allowance against our deferred tax assets recorded in fiscal 2016, compared to an additional valuation allowance of $1.0 million recorded in fiscal 2017. The valuation allowance against our deferred tax assets resulted from certain tax credits that may not be realizable prior to the time the credits expire.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To evaluate the performance of our business, we utilize a variety of financial and performance measures. These key measures include company-operated restaurant revenue, system-wide sales, comparable restaurant sales, company-operated average unit volumes ("AUV"), restaurant contribution, restaurant contribution margin, new restaurant openings, EBITDA, and Adjusted EBITDA. In fiscal 2018, our restaurants generated company-operated restaurant revenue of $388.8 million and system-wide sales of $868.4 million, and system comparable sales increased 1.2%, consisting of company-operated restaurant comparable sales growth of 0.4% and franchised comparable sales growth of 1.8%. The company-operated comparable sales increase consisted of a 1.4% check growth, partially offset by a 1.0% transaction decrease. In fiscal 2018, for company-operated restaurants, our annual AUV was $1.8 million, restaurant contribution margin was 19.0%, and Adjusted EBITDA was $62.9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transactions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System-Wide Sales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operations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system-wide sales to company-operated restaurant revenue and total revenue: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376,615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355,468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24,655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435,828</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401,701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380,123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 from franchised restaurants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479,574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465,149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439,973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868,409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841,764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795,441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December 26, 2018, December 27, 2017 and December 28, 2016, there were 449, 424, and 409 comparable restaurants, 195, 181, and 169 company-operated and 254, 243 and 240 franchised, respectively. Comparable restaurant sales indicate the performance of existing restaurants, since new restaurants are excluded. 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88" w:right="239" w:bottom="1440" w:gutter="0" w:footer="0" w:header="0"/>
        </w:sectPr>
      </w:pPr>
    </w:p>
    <w:bookmarkStart w:id="48" w:name="page49"/>
    <w:bookmarkEnd w:id="48"/>
    <w:p>
      <w:pPr>
        <w:ind w:right="220"/>
        <w:spacing w:after="0" w:line="255" w:lineRule="auto"/>
        <w:rPr>
          <w:sz w:val="20"/>
          <w:szCs w:val="20"/>
          <w:color w:val="auto"/>
        </w:rPr>
      </w:pPr>
      <w:r>
        <w:rPr>
          <w:rFonts w:ascii="Arial" w:cs="Arial" w:eastAsia="Arial" w:hAnsi="Arial"/>
          <w:sz w:val="18"/>
          <w:szCs w:val="18"/>
          <w:color w:val="auto"/>
        </w:rPr>
        <w:t>We measure company-operated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1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asset impairment and closed-store reserve and other costs that are considered normal operating costs and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w:t>
      </w:r>
    </w:p>
    <w:p>
      <w:pPr>
        <w:spacing w:after="0" w:line="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97"/>
        </w:trPr>
        <w:tc>
          <w:tcPr>
            <w:tcW w:w="6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from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34,629</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Add (less):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34,661</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Legal settlements</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36,258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3,823</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17,825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18,128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16,053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674</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Expenses related to fire loss</w:t>
            </w: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48</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 on recovery of insurance proceeds, property, equipment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(25,086)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(24,655)</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Gain on disposition of restaurants</w:t>
            </w:r>
          </w:p>
        </w:tc>
        <w:tc>
          <w:tcPr>
            <w:tcW w:w="36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Recovery of securities lawsuits related legal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Asset impairment and closed-store reserves</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8,554</w:t>
            </w:r>
          </w:p>
        </w:tc>
      </w:tr>
      <w:tr>
        <w:trPr>
          <w:trHeight w:val="27"/>
        </w:trPr>
        <w:tc>
          <w:tcPr>
            <w:tcW w:w="6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73,891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74,502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73,018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435,828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401,701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380,123</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(25,086)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(24,655)</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97"/>
        </w:trPr>
        <w:tc>
          <w:tcPr>
            <w:tcW w:w="6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388,835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376,615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355,468</w:t>
            </w:r>
          </w:p>
        </w:tc>
      </w:tr>
      <w:tr>
        <w:trPr>
          <w:trHeight w:val="284"/>
        </w:trPr>
        <w:tc>
          <w:tcPr>
            <w:tcW w:w="6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Restaurant contribution margin (%)</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6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EBITDA represents net (loss) income before interest expense, provision for income taxes, depreciation, and amortization. Adjusted EBITDA represents net (loss)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Annual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ectPr>
          <w:pgSz w:w="11900" w:h="16838" w:orient="portrait"/>
          <w:cols w:equalWidth="0" w:num="1">
            <w:col w:w="11420"/>
          </w:cols>
          <w:pgMar w:left="240" w:top="630"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630" w:right="239" w:bottom="1440" w:gutter="0" w:footer="0" w:header="0"/>
          <w:type w:val="continuous"/>
        </w:sectPr>
      </w:pPr>
    </w:p>
    <w:bookmarkStart w:id="50" w:name="page51"/>
    <w:bookmarkEnd w:id="50"/>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as benchmarks to compare our performance to that of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reconciliations of our net (loss) income to EBITDA and Adjusted EBITDA: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9,125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30,522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50,330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Stock based compensation expense </w:t>
            </w:r>
            <w:r>
              <w:rPr>
                <w:rFonts w:ascii="Arial" w:cs="Arial" w:eastAsia="Arial" w:hAnsi="Arial"/>
                <w:sz w:val="16"/>
                <w:szCs w:val="16"/>
                <w:color w:val="auto"/>
              </w:rPr>
              <w:t>(a)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Loss on disposal of assets </w:t>
            </w:r>
            <w:r>
              <w:rPr>
                <w:rFonts w:ascii="Arial" w:cs="Arial" w:eastAsia="Arial" w:hAnsi="Arial"/>
                <w:sz w:val="16"/>
                <w:szCs w:val="16"/>
                <w:color w:val="auto"/>
              </w:rPr>
              <w:t>(b) (c)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Expenses related to fire loss </w:t>
            </w:r>
            <w:r>
              <w:rPr>
                <w:rFonts w:ascii="Arial" w:cs="Arial" w:eastAsia="Arial" w:hAnsi="Arial"/>
                <w:sz w:val="16"/>
                <w:szCs w:val="16"/>
                <w:color w:val="auto"/>
              </w:rPr>
              <w:t>(c)</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rPr>
              <w:t>Gain on recovery of insurance proceeds, property, equipment,</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and expenses </w:t>
            </w:r>
            <w:r>
              <w:rPr>
                <w:rFonts w:ascii="Arial" w:cs="Arial" w:eastAsia="Arial" w:hAnsi="Arial"/>
                <w:sz w:val="16"/>
                <w:szCs w:val="16"/>
                <w:color w:val="auto"/>
              </w:rPr>
              <w:t>(c)</w:t>
            </w:r>
          </w:p>
        </w:tc>
        <w:tc>
          <w:tcPr>
            <w:tcW w:w="3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 (d)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Asset impairment and closed-store reserves </w:t>
            </w:r>
            <w:r>
              <w:rPr>
                <w:rFonts w:ascii="Arial" w:cs="Arial" w:eastAsia="Arial" w:hAnsi="Arial"/>
                <w:sz w:val="16"/>
                <w:szCs w:val="16"/>
                <w:color w:val="auto"/>
              </w:rPr>
              <w:t>(e)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8,554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Gain on disposition of restaurants </w:t>
            </w:r>
            <w:r>
              <w:rPr>
                <w:rFonts w:ascii="Arial" w:cs="Arial" w:eastAsia="Arial" w:hAnsi="Arial"/>
                <w:sz w:val="16"/>
                <w:szCs w:val="16"/>
                <w:color w:val="auto"/>
              </w:rPr>
              <w:t>(f)</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Legal settlements </w:t>
            </w:r>
            <w:r>
              <w:rPr>
                <w:rFonts w:ascii="Arial" w:cs="Arial" w:eastAsia="Arial" w:hAnsi="Arial"/>
                <w:sz w:val="16"/>
                <w:szCs w:val="16"/>
                <w:color w:val="auto"/>
              </w:rPr>
              <w:t>(g)</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 receivable agreement (income) expense </w:t>
            </w:r>
            <w:r>
              <w:rPr>
                <w:rFonts w:ascii="Arial" w:cs="Arial" w:eastAsia="Arial" w:hAnsi="Arial"/>
                <w:sz w:val="16"/>
                <w:szCs w:val="16"/>
                <w:color w:val="auto"/>
              </w:rPr>
              <w:t>(h)</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 xml:space="preserve">Securities class action legal expense </w:t>
            </w:r>
            <w:r>
              <w:rPr>
                <w:rFonts w:ascii="Arial" w:cs="Arial" w:eastAsia="Arial" w:hAnsi="Arial"/>
                <w:sz w:val="16"/>
                <w:szCs w:val="16"/>
                <w:color w:val="auto"/>
              </w:rPr>
              <w:t>(i)</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2,696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Pre-opening costs </w:t>
            </w:r>
            <w:r>
              <w:rPr>
                <w:rFonts w:ascii="Arial" w:cs="Arial" w:eastAsia="Arial" w:hAnsi="Arial"/>
                <w:sz w:val="16"/>
                <w:szCs w:val="16"/>
                <w:color w:val="auto"/>
              </w:rPr>
              <w:t>(j)</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Executive transition costs (k)</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non-cash, stock-based compensation, excluding stock-based compensation costs associated with the transition of our former CEO.</w:t>
      </w:r>
    </w:p>
    <w:p>
      <w:pPr>
        <w:spacing w:after="0" w:line="128" w:lineRule="exact"/>
        <w:rPr>
          <w:rFonts w:ascii="Arial" w:cs="Arial" w:eastAsia="Arial" w:hAnsi="Arial"/>
          <w:sz w:val="17"/>
          <w:szCs w:val="17"/>
          <w:color w:val="auto"/>
        </w:rPr>
      </w:pPr>
    </w:p>
    <w:p>
      <w:pPr>
        <w:ind w:left="660" w:right="28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1" w:name="page52"/>
    <w:bookmarkEnd w:id="51"/>
    <w:p>
      <w:pPr>
        <w:ind w:left="652" w:right="140" w:hanging="652"/>
        <w:spacing w:after="0" w:line="255"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operations, for fiscal 2016, as a reduction of company restaurant expenses. The Company received from the insurance company cash of $1.4 million, net of the insurance deductible, during fiscal 2016. The restaurant was reopened for business on March 14, 2016.</w:t>
      </w:r>
    </w:p>
    <w:p>
      <w:pPr>
        <w:spacing w:after="0" w:line="85" w:lineRule="exact"/>
        <w:rPr>
          <w:rFonts w:ascii="Arial" w:cs="Arial" w:eastAsia="Arial" w:hAnsi="Arial"/>
          <w:sz w:val="18"/>
          <w:szCs w:val="18"/>
          <w:color w:val="auto"/>
        </w:rPr>
      </w:pPr>
    </w:p>
    <w:p>
      <w:pPr>
        <w:ind w:left="652" w:right="60" w:hanging="652"/>
        <w:spacing w:after="0" w:line="264"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fiscal 2018 and fiscal 2017, we received insurance proceeds of $8.4 million and $1.7 million, respectively, related to the reimbursement of certain legal expenses paid in prior years for the defense of securities lawsuits. See "Note 13. Commitments and Contingencies—Legal Matters" in the accompanying "Notes to Consolidated Financial Statements" in this Annual Report.</w:t>
      </w:r>
    </w:p>
    <w:p>
      <w:pPr>
        <w:spacing w:after="0" w:line="86" w:lineRule="exact"/>
        <w:rPr>
          <w:rFonts w:ascii="Arial" w:cs="Arial" w:eastAsia="Arial" w:hAnsi="Arial"/>
          <w:sz w:val="18"/>
          <w:szCs w:val="18"/>
          <w:color w:val="auto"/>
        </w:rPr>
      </w:pPr>
    </w:p>
    <w:p>
      <w:pPr>
        <w:ind w:left="652" w:right="160" w:hanging="652"/>
        <w:spacing w:after="0" w:line="291"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Includes costs related to impairment of long-lived assets and closing restaurants. During fiscal 2018, we determined that the carrying value of the assets of four restaurants, in Arizona, California and Texas, may not be recoverable, including a restaurant in Texas that opened in early 2018. As a result, we recorded a $5.1 million impairment expense. Additionally, </w:t>
      </w:r>
      <w:r>
        <w:rPr>
          <w:rFonts w:ascii="Arial" w:cs="Arial" w:eastAsia="Arial" w:hAnsi="Arial"/>
          <w:sz w:val="18"/>
          <w:szCs w:val="18"/>
          <w:color w:val="auto"/>
        </w:rPr>
        <w:t>d</w:t>
      </w:r>
      <w:r>
        <w:rPr>
          <w:rFonts w:ascii="Arial" w:cs="Arial" w:eastAsia="Arial" w:hAnsi="Arial"/>
          <w:sz w:val="17"/>
          <w:szCs w:val="17"/>
          <w:color w:val="auto"/>
        </w:rPr>
        <w:t>uring fiscal 2018, we closed seven restaurants in Texas, California and Arizona. These closures resulted in closed-store reserve expenses of $4.5 million during fiscal 2018.</w:t>
      </w:r>
    </w:p>
    <w:p>
      <w:pPr>
        <w:spacing w:after="0" w:line="50" w:lineRule="exact"/>
        <w:rPr>
          <w:rFonts w:ascii="Arial" w:cs="Arial" w:eastAsia="Arial" w:hAnsi="Arial"/>
          <w:sz w:val="17"/>
          <w:szCs w:val="17"/>
          <w:color w:val="auto"/>
        </w:rPr>
      </w:pPr>
    </w:p>
    <w:p>
      <w:pPr>
        <w:ind w:left="652" w:right="20"/>
        <w:spacing w:after="0" w:line="272" w:lineRule="auto"/>
        <w:rPr>
          <w:rFonts w:ascii="Arial" w:cs="Arial" w:eastAsia="Arial" w:hAnsi="Arial"/>
          <w:sz w:val="17"/>
          <w:szCs w:val="17"/>
          <w:color w:val="auto"/>
        </w:rPr>
      </w:pPr>
      <w:r>
        <w:rPr>
          <w:rFonts w:ascii="Arial" w:cs="Arial" w:eastAsia="Arial" w:hAnsi="Arial"/>
          <w:sz w:val="17"/>
          <w:szCs w:val="17"/>
          <w:color w:val="auto"/>
        </w:rPr>
        <w:t>During fiscal 2017, we determined that the carrying value of the assets of 21 restaurants, in Arizona, California and Texas, may not be recoverable. Additionally, we made a strategic decision to close two additional restaurants in Texas. As a result, we recorded a $32.6 million impairment expense. The impairment expense for fiscal 2017 included an impairment expense of $27.7 million, representing the entire remaining value of capitalized assets of all of our company-operated restaurants in Texas, net of previously recorded depreciation. During fiscal 2017, we closed four restaurants in Texas, one of which was fully impaired during the fourth quarter of 2016, one of which was impaired during the third quarter of 2016 and the other two were impaired in fiscal 2017. Additionally, we closed one restaurant in Arizona, which was fully impaired in the third quarter of 2016. These closures resulted in closed-store reserve expenses of $1.1 million during fiscal 2017.</w:t>
      </w:r>
    </w:p>
    <w:p>
      <w:pPr>
        <w:spacing w:after="0" w:line="69" w:lineRule="exact"/>
        <w:rPr>
          <w:rFonts w:ascii="Arial" w:cs="Arial" w:eastAsia="Arial" w:hAnsi="Arial"/>
          <w:sz w:val="17"/>
          <w:szCs w:val="17"/>
          <w:color w:val="auto"/>
        </w:rPr>
      </w:pPr>
    </w:p>
    <w:p>
      <w:pPr>
        <w:ind w:left="652" w:right="200"/>
        <w:spacing w:after="0" w:line="342" w:lineRule="auto"/>
        <w:rPr>
          <w:rFonts w:ascii="Arial" w:cs="Arial" w:eastAsia="Arial" w:hAnsi="Arial"/>
          <w:sz w:val="17"/>
          <w:szCs w:val="17"/>
          <w:color w:val="auto"/>
        </w:rPr>
      </w:pPr>
      <w:r>
        <w:rPr>
          <w:rFonts w:ascii="Arial" w:cs="Arial" w:eastAsia="Arial" w:hAnsi="Arial"/>
          <w:sz w:val="16"/>
          <w:szCs w:val="16"/>
          <w:color w:val="auto"/>
        </w:rPr>
        <w:t>During fiscal 2016, the Company determined that the carrying value of the assets of nine restaurants, in Arizona, California and Texas, may not be recoverable. As a result, the Company recorded $8.3 million of expense related to the impairment of the assets of the nine restaurants.</w:t>
      </w:r>
    </w:p>
    <w:p>
      <w:pPr>
        <w:spacing w:after="0" w:line="15"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The Company continues to monitor the recoverability of the carrying value of the assets of several other restaurants.</w:t>
      </w:r>
    </w:p>
    <w:p>
      <w:pPr>
        <w:spacing w:after="0" w:line="117" w:lineRule="exact"/>
        <w:rPr>
          <w:rFonts w:ascii="Arial" w:cs="Arial" w:eastAsia="Arial" w:hAnsi="Arial"/>
          <w:sz w:val="17"/>
          <w:szCs w:val="17"/>
          <w:color w:val="auto"/>
        </w:rPr>
      </w:pPr>
    </w:p>
    <w:p>
      <w:pPr>
        <w:ind w:left="652" w:right="480" w:hanging="652"/>
        <w:spacing w:after="0" w:line="286"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 of operations. This restaurant is now included in our franchised restaurant totals.</w:t>
      </w:r>
    </w:p>
    <w:p>
      <w:pPr>
        <w:spacing w:after="0" w:line="57" w:lineRule="exact"/>
        <w:rPr>
          <w:rFonts w:ascii="Arial" w:cs="Arial" w:eastAsia="Arial" w:hAnsi="Arial"/>
          <w:sz w:val="17"/>
          <w:szCs w:val="17"/>
          <w:color w:val="auto"/>
        </w:rPr>
      </w:pPr>
    </w:p>
    <w:p>
      <w:pPr>
        <w:ind w:left="652" w:right="120" w:hanging="652"/>
        <w:spacing w:after="0" w:line="257"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settlements of $36.3 million in fiscal 2018 included (i) an accrual of an expected settlement amount in fiscal 2018 related to an agreement in principle to settle all claims and allegations for the securities class action and (ii) an accrual of an expected settlement amount in fiscal 2018 related to an agreement in principle to settle all claims and allegations, as well as all wage and hour claims for multiple class action suits. For additional information on legal settlements, see "Note 13. Commitments and Contingencies—Legal Matters" in the accompanying "Notes to Consolidated Financial Statements" in this Annual Report.</w:t>
      </w:r>
    </w:p>
    <w:p>
      <w:pPr>
        <w:spacing w:after="0" w:line="80" w:lineRule="exact"/>
        <w:rPr>
          <w:rFonts w:ascii="Arial" w:cs="Arial" w:eastAsia="Arial" w:hAnsi="Arial"/>
          <w:sz w:val="18"/>
          <w:szCs w:val="18"/>
          <w:color w:val="auto"/>
        </w:rPr>
      </w:pPr>
    </w:p>
    <w:p>
      <w:pPr>
        <w:ind w:left="652" w:hanging="652"/>
        <w:spacing w:after="0" w:line="273" w:lineRule="auto"/>
        <w:tabs>
          <w:tab w:leader="none" w:pos="652"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years ended December 26, 2018, December 27, 2017, and December 28, 2016, income tax receivable agreement (income) expense consisted of the amortization of interest expense and changes to future forecasted results and the timing of deductibility of certain timing differences, including for fiscal 2018 the legal settlement accruals, related to our total expected TRA payments. For fiscal 2017, the income tax receivable agreement income was primarily due to the Tax Act, and the resulting changes to the Federal corporate income tax rate.</w:t>
      </w:r>
    </w:p>
    <w:p>
      <w:pPr>
        <w:spacing w:after="0" w:line="70" w:lineRule="exact"/>
        <w:rPr>
          <w:rFonts w:ascii="Arial" w:cs="Arial" w:eastAsia="Arial" w:hAnsi="Arial"/>
          <w:sz w:val="17"/>
          <w:szCs w:val="17"/>
          <w:color w:val="auto"/>
        </w:rPr>
      </w:pPr>
    </w:p>
    <w:p>
      <w:pPr>
        <w:ind w:left="652" w:right="60" w:hanging="652"/>
        <w:spacing w:after="0" w:line="277"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"Note 13. Commitments and Contingencies—Legal Matters" in the accompanying "Notes to Consolidated Financial Statements" in this Annual Report.</w:t>
      </w:r>
    </w:p>
    <w:p>
      <w:pPr>
        <w:spacing w:after="0" w:line="62"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w:t>
      </w:r>
    </w:p>
    <w:p>
      <w:pPr>
        <w:spacing w:after="0" w:line="3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92"/>
          </w:cols>
          <w:pgMar w:left="248" w:top="476" w:right="259" w:bottom="1440" w:gutter="0" w:footer="0" w:header="0"/>
        </w:sectPr>
      </w:pPr>
    </w:p>
    <w:bookmarkStart w:id="52" w:name="page53"/>
    <w:bookmarkEnd w:id="52"/>
    <w:p>
      <w:pPr>
        <w:ind w:left="660" w:right="520"/>
        <w:spacing w:after="0" w:line="324" w:lineRule="auto"/>
        <w:rPr>
          <w:sz w:val="20"/>
          <w:szCs w:val="20"/>
          <w:color w:val="auto"/>
        </w:rPr>
      </w:pPr>
      <w:r>
        <w:rPr>
          <w:rFonts w:ascii="Arial" w:cs="Arial" w:eastAsia="Arial" w:hAnsi="Arial"/>
          <w:sz w:val="18"/>
          <w:szCs w:val="18"/>
          <w:color w:val="auto"/>
        </w:rPr>
        <w:t>generally incurred over the three to five months prior to opening. Pre-opening costs also include occupancy costs incurred between the date of possession and the opening date for a restaurant.</w:t>
      </w:r>
    </w:p>
    <w:p>
      <w:pPr>
        <w:spacing w:after="0" w:line="35" w:lineRule="exact"/>
        <w:rPr>
          <w:sz w:val="20"/>
          <w:szCs w:val="20"/>
          <w:color w:val="auto"/>
        </w:rPr>
      </w:pPr>
    </w:p>
    <w:p>
      <w:pPr>
        <w:ind w:left="660" w:right="1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recruiting costs and stock-based compensation costs associated with the transition of our former CEO.</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and expansion plans for at least the next 12 months from the issuance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years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45,442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53,671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49,299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(18,030)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fiscal 2018, net cash provided by operating activities decreased by $8.2 million compared to fiscal 2017. This was due primarily to unfavorable working capital fluctuations.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fiscal 2017, net cash provided by operating activities increased by $4.4 million compared to fiscal 2016. This was due primarily to favorable working capital fluctuations, partially offset by lower profitability and an increased payment of the TRA.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fiscal 2018, net cash used in investing activities decreased by $8.4 million compared to fiscal 2017. This was due to a decrease of $8.4 million in capital expenditure spending, due primarily to opening eight new company-operated restaurants in fiscal 2018, compared to 16 new restaurants in fiscal 2017. In fiscal 2018, we incurred capital expenditures of approximately $27.8 million, consisting of $14.6 million related to new restaurants, $6.3 million related to the remodeling of existing restaurants, and $6.9 million related to major maintenance and other corporate capital expenditures. Capital expenditures for these periods exclude unpaid purchases of property and equipment.</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fiscal 2017, net cash used in investing activities increased by $1.0 million compared to fiscal 2016. This was primarily due to $1.5 million in proceeds from the sale of a restaurant and $0.7 million in insurance proceeds relating to the property and equipment fire damage incurred at one of our restaurants in November 2015, received in 2016. This was partially offset by a decrease of $1.2 million in capital expenditure spending, due to opening 16 new company restaurants in fiscal 2017, compared to 18 new restaurants in fiscal 2016. In fiscal 2017, we incurred capital expenditures of approximately $36.2 million, consisting of $24.1 million related to new restaurants, $5.7 million related to the remodeling of existing restaurants, and $6.4 million related to major maintenance and other corporate capital expenditures. Capital expenditures for these periods exclude unpaid purchases of property and equipment.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fiscal 2018, net cash used by financing activities increased by $8.2 million compared to fiscal 2017. This was due primarily to an increase in net pre-payments on our revolving debt of $8.7 million and an increase in repurchases of common stock of $1.0 million which were partially offset by an increase in proceeds received from stock option exercises of $1.7 million in fiscal 2018 compared to fiscal 2017.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03" w:right="239" w:bottom="1440" w:gutter="0" w:footer="0" w:header="0"/>
        </w:sectPr>
      </w:pPr>
    </w:p>
    <w:bookmarkStart w:id="53" w:name="page54"/>
    <w:bookmarkEnd w:id="53"/>
    <w:p>
      <w:pPr>
        <w:ind w:right="540"/>
        <w:spacing w:after="0" w:line="277" w:lineRule="auto"/>
        <w:rPr>
          <w:sz w:val="20"/>
          <w:szCs w:val="20"/>
          <w:color w:val="auto"/>
        </w:rPr>
      </w:pPr>
      <w:r>
        <w:rPr>
          <w:rFonts w:ascii="Arial" w:cs="Arial" w:eastAsia="Arial" w:hAnsi="Arial"/>
          <w:sz w:val="18"/>
          <w:szCs w:val="18"/>
          <w:color w:val="auto"/>
        </w:rPr>
        <w:t>In fiscal 2017, net cash used by financing activities decreased by $7.0 million compared to fiscal 2016. This was due primarily to a decrease in net pre-payments on the 2014 Revolver of $8.0 million in fiscal 2017 compared to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Credit Agreement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provided for a $200.0 million five-year senior secured revolving facility (the “2014 Revolver”). The 2014 Revolver included a sub limit of $15.0 million for letters of credit and a sub limit of $15.0 million for swingline loans.</w:t>
      </w:r>
    </w:p>
    <w:p>
      <w:pPr>
        <w:spacing w:after="0" w:line="79"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On July 13, 2018, the Company refinanced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Borrowings under the 2018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the range of 0.25% to 1.25%. For borrowings under both the 2014 Revolver and the 2018 Revolver during fiscal 2018, the interest rate range was 3.3% to 4.0%. For borrowings under the 2014 Revolver during fiscal 2017, the interest rate range was 2.4% to 3.3%. The interest rate under the 2018 Revolver was 4.0% at December 26, 2018 and 3.3% under the 2014 Revolver at December 27, 2017.</w:t>
      </w:r>
    </w:p>
    <w:p>
      <w:pPr>
        <w:spacing w:after="0" w:line="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2018 Credit Agreement contains certain financial covenants. The Company was in compliance with all such covenants at December 26, 2018. See the Notes to the Consolidated Financial Statements, Note 1, Description of Business for restrictions on the payment of dividends under the 2018 Credit Agreement. At December 26, 2018, $8.5 million of letters of credit and $74.0 million of the revolving line of credit were outstanding. The amount available under the revolving line of credit was $67.5 million at December 26, 2018.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following table represents our contractual commitments (which include expected interest expense, calculated based on current interest rates) to make future payments pursuant to our debt and other obligations disclosed above and pursuant to our restaurant operating leases outstanding as of December 26,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w w:val="91"/>
              </w:rPr>
              <w:t>Payments Due by Period</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3"/>
                <w:szCs w:val="13"/>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2024 and</w:t>
            </w:r>
          </w:p>
        </w:tc>
        <w:tc>
          <w:tcPr>
            <w:tcW w:w="0" w:type="dxa"/>
            <w:vAlign w:val="bottom"/>
          </w:tcPr>
          <w:p>
            <w:pPr>
              <w:spacing w:after="0"/>
              <w:rPr>
                <w:sz w:val="1"/>
                <w:szCs w:val="1"/>
                <w:color w:val="auto"/>
              </w:rPr>
            </w:pPr>
          </w:p>
        </w:tc>
      </w:tr>
      <w:tr>
        <w:trPr>
          <w:trHeight w:val="158"/>
        </w:trPr>
        <w:tc>
          <w:tcPr>
            <w:tcW w:w="52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4"/>
              <w:spacing w:after="0" w:line="158"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266,481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25,388</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42,972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150,342</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Capital leases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Income tax receivable agreement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13,942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Purchasing commitments—chicken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397,791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64,905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59,266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122,679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150,941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26, 2018, December 27, 2017, and December 28, 2016, we had $8.5 million, $8.1 million, and $7.2 million, respectively, of borrowing capacity on the 2018 Revolver or 2014 Revolver pledged as collateral to secure outstanding letters of credit.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76" w:right="239" w:bottom="1440" w:gutter="0" w:footer="0" w:header="0"/>
        </w:sectPr>
      </w:pPr>
    </w:p>
    <w:bookmarkStart w:id="54" w:name="page55"/>
    <w:bookmarkEnd w:id="54"/>
    <w:p>
      <w:pPr>
        <w:ind w:right="60"/>
        <w:spacing w:after="0" w:line="257" w:lineRule="auto"/>
        <w:rPr>
          <w:sz w:val="20"/>
          <w:szCs w:val="20"/>
          <w:color w:val="auto"/>
        </w:rPr>
      </w:pPr>
      <w:r>
        <w:rPr>
          <w:rFonts w:ascii="Arial" w:cs="Arial" w:eastAsia="Arial" w:hAnsi="Arial"/>
          <w:sz w:val="18"/>
          <w:szCs w:val="18"/>
          <w:color w:val="auto"/>
        </w:rPr>
        <w:t>The preparation of our consolidated financial statements in accordance with GAAP requires us to make estimates and judgments that affect our reported amounts of assets, liabilities, revenue, and expenses, and related disclosure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Our significant accounting policies are described in "Note</w:t>
      </w:r>
    </w:p>
    <w:p>
      <w:pPr>
        <w:ind w:right="520" w:firstLine="8"/>
        <w:spacing w:after="0" w:line="261"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Summary of Significant Accounting Policies" in the accompanying "Notes to Consolidated Financial Statements" included elsewhere in this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record revenue from company-operated restaurants as food and beverage products are delivered to customers and payment is tendered at the time of sale. We present sales net of sales-related taxes and promotional allowances. In the case of gift card sales, we record revenue when the gift card is redeemed by the customer. We record royalties from franchised restaurant sales based on a percentage of restaurant revenues in the period that the related franchised restaurants’ revenues are earned. Prior to the adoption of ASU 2014-09, the Company's accounting policy was to recognize initial franchise fees, development fees, and franchise agreement renewals when all material obligations had been performed and conditions were satisfied, typically when operations of the franchised restaurant commenced. In accordance with the terms of the new guidance in ASU 2014-09 adopted for fiscal 2018, the initial franchise services, or exclusivity of the development agreements, are not distinct from the continuing rights or services offered during the term of the franchise agreement, and will therefore be treated as a single performance obligation. As such, initial franchise and development fees received, and subsequent renewal fees, will be recognized over the franchise, or renewal, term, which is typically 20 years. For additional information regarding the adoption of ASU 2014-09, see "Note 2. Summary of Significant Accounting Policies—Changes in Accounting Policies" and "Note 15. Revenue from Contracts with Customers" in our accompanying "Notes to Consolidated Financial Statements" included in "Item 8. Financial Statements and Supplementary Data" in this Annual Report.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primarily of goodwill and trademarks.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amortize our goodwill and indefinite-lived intangible assets. We perform an annual impairment test for goodwill during the fourth fiscal quarter of each year, or more frequently if impairment indicators arise. For our annual goodwill impairment assessment at December 26, 2018, we performed a qualitative assessment and concluded that the fair value of the reporting unit to which goodwill was assigned exceeded our book equity. Accordingly, we did not identify any goodwill impairment.</w:t>
      </w:r>
    </w:p>
    <w:p>
      <w:pPr>
        <w:spacing w:after="0" w:line="18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perform an annual impairment test for indefinite-lived intangible assets during the fourth fiscal quarter of each year, or more frequently if impairment indicators arise. For our impairment test for indefinite-lived intangible assets at December 26, 2018, we performed a qualitative assessment and concluded that the fair value of the indefinite-lived intangible assets exceeded their carrying value and that there was no impairment.</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These assumptions used in our estimates of fair value are generally consistent with past performance and are also consistent with the projections and assumptions that we use in our forward-looking operating plans. These assumptions are subject to change as a result of changing economic and competitive conditions. Changes in these estimates and assumptions could materially affect our determinations of fair value and impairment.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state the value of our property and equipment, including primarily leasehold improvements and restaurant equipment, furniture, and fixtures, at cost, minus accumulated depreciation and amortization. We calculate depreciation using the straight-line method of accounting over the estimated useful lives of the related assets. We amortize our leasehold improvements using the straight-line method of accounting over the shorter of the lease term (including reasonably assured renewal periods) or the estimated useful lives of the related assets. We expense repairs and maintenance as incurred, but capitalize major improvements and betterments. We make judgments and estimates related to the expected useful lives of those assets that are affected by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76" w:right="259" w:bottom="1440" w:gutter="0" w:footer="0" w:header="0"/>
        </w:sectPr>
      </w:pPr>
    </w:p>
    <w:bookmarkStart w:id="55" w:name="page56"/>
    <w:bookmarkEnd w:id="55"/>
    <w:p>
      <w:pPr>
        <w:ind w:right="320"/>
        <w:spacing w:after="0" w:line="277" w:lineRule="auto"/>
        <w:rPr>
          <w:sz w:val="20"/>
          <w:szCs w:val="20"/>
          <w:color w:val="auto"/>
        </w:rPr>
      </w:pPr>
      <w:r>
        <w:rPr>
          <w:rFonts w:ascii="Arial" w:cs="Arial" w:eastAsia="Arial" w:hAnsi="Arial"/>
          <w:sz w:val="18"/>
          <w:szCs w:val="18"/>
          <w:color w:val="auto"/>
        </w:rPr>
        <w:t>factors such as changes in economic conditions and changes in operating performance. If we change our assumptions in the future, we may be required to record impairment charges for these assets.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our impairment review analysis. If actual performance does not achieve the projections, we may recognize impairment charges in future periods, and such charges could be material.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responsible for workers’ compensation, general, and health insurance claims up to a specified amount. We maintain a reserve for estimated claims both reported and incurred but not reported, based on historical claims experience and other assumptions. In estimating our insurance accruals, we utilize independent actuarial estimates of expected losses, which are based on statistical analyses of historical data. Our actuarial assumptions are closely monitored and adjusted when warranted by changing circumstances. Should claims occur or medical costs increase in greater amounts than we have expected, accruals may not be sufficient, and we may record additional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Obligations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lease a substantial number of our restaurant properties. At the inception of each lease, we evaluate the property and the lease to determine whether the lease is an operating lease or a capital lease. This lease accounting evaluation may require significant judgment in determining the fair value and useful life of the leased property and the appropriate lease term. The lease term used for the evaluation includes renewal option periods only in instances in which the exercise of the renewal option can be reasonably assured because failure to exercise such an option would result in an economic penalty. Such an economic penalty would typically result from our having to abandon a building or fixture with remaining economic value upon vacating a property.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Operations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sublease a number of restaurant properties to our franchisees. As such, we remain principally liable for the underlying leases. If sales trends or economic conditions worsen for our franchisees, their financial health may worsen, our collection rates may decline, and we may be required to assume the responsibility for additional lease payments on what are presently franchised restaurants.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use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 As of December 26, 2018, we had federal and state net operating loss (“NOL”) carryforwards of $29.8 million and less than $0.1 million, respectively. These Federal and State NOLs expire beginning in 2032 and 2027, respectively.</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5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44" w:lineRule="exact"/>
        <w:rPr>
          <w:rFonts w:ascii="Arial" w:cs="Arial" w:eastAsia="Arial" w:hAnsi="Arial"/>
          <w:sz w:val="18"/>
          <w:szCs w:val="18"/>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taxable income or loss, exclusive of reversing temporary differences and carryforwards;</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tax-planning strategies; and</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taxable income in prior carryback years.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76"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We will continue to reevaluate the continued need for either a valuation allowance. Relevant factors include:</w:t>
      </w:r>
    </w:p>
    <w:p>
      <w:pPr>
        <w:spacing w:after="0" w:line="11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financial performance;</w:t>
      </w:r>
    </w:p>
    <w:p>
      <w:pPr>
        <w:spacing w:after="0" w:line="144"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meet short-term and long-term financial and taxable income projections;</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overall market environment; and</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volatility and trends in the industry in which we operate.</w:t>
      </w: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of the factors that we consider in evaluating treatment of a deferred tax asset valuation allowance involve significant judgment. For example, there are many different interpretations of “cumulative losses in recent years” that can be used. Also, significant judgment is involved in making projections of future financial and taxable income, especially because our financial results are significantly dependent upon industry trends. Any change in our valuation allowance will significantly impact our financial results in the period of that change.</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responsible authorities. The term “more likely than not” means a likelihood of more than 50%. Otherwise, we may not recognize any of the potential tax benefits associated with that position. We recognize a benefit for a tax position that meets the “more likely than not” criterion as the largest amount of tax benefit that is greater than 50% likely to be realized upon its effective resolution. Unrecognized tax benefits involve our judgment regarding the likelihood of a benefit being sustained. The final resolutions of uncertain tax positions could result in adjustments to recorded amounts and affect our results of operations, financial position, and cash flows. However, we anticipate that any such adjustments would not materially impact our financial statements.</w:t>
      </w:r>
    </w:p>
    <w:p>
      <w:pPr>
        <w:spacing w:after="0" w:line="70" w:lineRule="exact"/>
        <w:rPr>
          <w:sz w:val="20"/>
          <w:szCs w:val="20"/>
          <w:color w:val="auto"/>
        </w:rPr>
      </w:pPr>
    </w:p>
    <w:p>
      <w:pPr>
        <w:ind w:right="420"/>
        <w:spacing w:after="0" w:line="334" w:lineRule="auto"/>
        <w:rPr>
          <w:sz w:val="20"/>
          <w:szCs w:val="20"/>
          <w:color w:val="auto"/>
        </w:rPr>
      </w:pPr>
      <w:r>
        <w:rPr>
          <w:rFonts w:ascii="Arial" w:cs="Arial" w:eastAsia="Arial" w:hAnsi="Arial"/>
          <w:sz w:val="16"/>
          <w:szCs w:val="16"/>
          <w:color w:val="auto"/>
        </w:rPr>
        <w:t>In fiscal 2017, President Trump signed into law the Tax Act. The Tax Act provides for significant changes in the U.S. Internal Revenue Code of 1986, as amended. The Tax Act contains provisions with separate effective dates but is generally effective for taxable years beginning after December 31,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Tax Act had the following effects on our income tax expense for the year ended December 27, 2017:</w:t>
      </w:r>
    </w:p>
    <w:p>
      <w:pPr>
        <w:spacing w:after="0" w:line="90" w:lineRule="exact"/>
        <w:rPr>
          <w:sz w:val="20"/>
          <w:szCs w:val="20"/>
          <w:color w:val="auto"/>
        </w:rPr>
      </w:pPr>
    </w:p>
    <w:p>
      <w:pPr>
        <w:ind w:left="660" w:right="8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Financial Accounting Standards Board ASC 740, we are required to revalue any deferred tax assets or liabilities in the period of enactment of change in tax rates. The Tax Act lowers the corporate income tax rate from 35% to 21%. We estimated the impact of the revaluation of our deferred tax assets and liabilities, which resulted in a decrease to our net deferred income tax liability by $1.4 million and is reflected as a decrease in our income tax expense in our results for fiscal 2017.</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reduced corporate tax rate, also resulted in a TRA benefit to the provision for income tax expense for fiscal 2017 in the amount of $2.0 million.</w:t>
      </w:r>
    </w:p>
    <w:p>
      <w:pPr>
        <w:spacing w:after="0" w:line="113"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Tax Act is generally effective for tax years beginning after December 31, 2017. As such, the reduction in the corporate income tax rate from 35% to 21% is effective for the fiscal year ended December 26, 2018.</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We are permitted to make TRA payments under the 2018 Revolver. In fiscal 2018, we recognized a benefit of $0.8 million as a result of changes to future forecasted results and the timing of the deductibility of certain temporary differences including the current year legal settlement accruals. In fiscal 2017, we recognized a benefit of $5.6 million, related to the amortization of the present value of the TRA obligation, the impact of the Tax Act on the corporate tax rate on future years, and an adjustment to the expected TRA liability, due to the expected realization of various pre-IPO tax credits.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in fiscal 2014, we applied for various tax credits that resulted in $6.7 million of additional deferred tax assets and tax benefits. As of fiscal 2018, the deferred asset balance related to these various tax credits, net of valuation allowance was $4.4 million. The fiscal 2018 provision includes a $5.1 million valuation allowance against our deferred tax asset, resulting from certain tax credits that may not be realizable prior to the time the credits expire. Also, in fiscal 2018, federal work opportunity tax credits (“WOTC”) of approximately $0.5 million were generated.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measure and recognize compensation expense for the estimated fair value of equity instruments for employees and non-employee directors based on the grant-date fair value of the award. For awards that are based on a service requirement, the cost is recognized on a straight-line basis over the requisite service period, usually the vesting period. In fiscal 2018, the Company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7" w:name="page58"/>
    <w:bookmarkEnd w:id="57"/>
    <w:p>
      <w:pPr>
        <w:spacing w:after="0" w:line="271" w:lineRule="auto"/>
        <w:rPr>
          <w:sz w:val="20"/>
          <w:szCs w:val="20"/>
          <w:color w:val="auto"/>
        </w:rPr>
      </w:pPr>
      <w:r>
        <w:rPr>
          <w:rFonts w:ascii="Arial" w:cs="Arial" w:eastAsia="Arial" w:hAnsi="Arial"/>
          <w:sz w:val="17"/>
          <w:szCs w:val="17"/>
          <w:color w:val="auto"/>
        </w:rPr>
        <w:t>granted 311,272 stock options and 395,880 restricted stock and performance stock awards, with an exercise price equal to the fair market value of the common stock on the date of grant. The awards granted in fiscal 2018, 2017 and 2016 had a four-year vesting period for employees and three-year vesting period for directors. Included in the fiscal 2018 restricted stock award grants were 72,116 performance share units which have a five-year term. Performance share units are granted at fair market value on the date of grant and are subject to service-based and market-based vesting conditions. For stock options that were based on performance requirements, costs were recognized over the periods to which the performance criteria related. On November 15, 2016, the board of directors modified the vesting of the remaining performance based stock options to instead vest based on service conditions. As of December 26, 2018, there were no remaining performance based stock options outstanding. In order to calculate our stock options’ fair values and the associated compensation costs for share-based awards, we utilize the Black–Scholes option pricing model.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Recent accounting pronouncements are described in "Note 2. Summary of Significant Accounting Policies" in our accompanying "Notes to Consolidated Financial Statements" included in this Annual Report.</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exposed to market risk from changes in interest rates on our debt, which bears interest at USD LIBOR plus a margin between 1.25% and 2.25%. As of December 26, 2018, we had outstanding borrowings of $74.0 million related to our 2018 Revolver and another $8.5 million of letters of credit in support of our insurance programs. A 1.0% increase in the effective interest rate applied to our 2018 Revolver borrowings would result in a pre-tax interest expense increase of $0.7 million on an annualized basis.</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6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 mitigate exposure to fluctuations in interest rates, in the past, when we have determined it appropriate, we have entered into interest rate caps. At this time, due to reduced debt burden and the lowered rates of interest on our debt in recent years, we are not continuing to hedge our interest rate exposure.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On January 1, 2017, the State of California (where most of our restaurants are located) minimum wage rose to $10.50 per hour, on January 1, 2018, the State of California minimum wage rose to $11.00 per hour and on January 1, 2019 was increased to $12.00 per hour. We also do substantial business in locales such as the City of Los Angeles and the County of Los Angeles that may have higher minimum wages. For details, see "Item 1A. Risk Factors—Risks Related to Our Business and Industry—If we or our franchisees face labor shortages or increased labor costs, our results of operations and growth could be adversely affected.”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where the prices of commodities drop, we may pay higher prices under our purchasing commitments. In rapidly-fluctuating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 See "Item 1A. “Risk Factors—Risks Related to Our Business and Industry—Changes in food and supply costs, especially for chicken, could adversely affect our business, financial condition and results of operations,” and "Note 13.</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76" w:right="259" w:bottom="1440" w:gutter="0" w:footer="0" w:header="0"/>
        </w:sectPr>
      </w:pPr>
    </w:p>
    <w:bookmarkStart w:id="58" w:name="page59"/>
    <w:bookmarkEnd w:id="58"/>
    <w:p>
      <w:pPr>
        <w:ind w:right="380"/>
        <w:spacing w:after="0" w:line="277" w:lineRule="auto"/>
        <w:rPr>
          <w:sz w:val="20"/>
          <w:szCs w:val="20"/>
          <w:color w:val="auto"/>
        </w:rPr>
      </w:pPr>
      <w:r>
        <w:rPr>
          <w:rFonts w:ascii="Arial" w:cs="Arial" w:eastAsia="Arial" w:hAnsi="Arial"/>
          <w:sz w:val="18"/>
          <w:szCs w:val="18"/>
          <w:color w:val="auto"/>
        </w:rPr>
        <w:t>Commitments and Contingencies—Purchase Commitments" in our accompanying "Notes to Consolidated Financial Statements" included in this Annual Report.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2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40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820" w:type="dxa"/>
            <w:vAlign w:val="bottom"/>
            <w:gridSpan w:val="6"/>
          </w:tcPr>
          <w:p>
            <w:pPr>
              <w:jc w:val="center"/>
              <w:ind w:right="2740"/>
              <w:spacing w:after="0"/>
              <w:rPr>
                <w:sz w:val="20"/>
                <w:szCs w:val="20"/>
                <w:color w:val="auto"/>
              </w:rPr>
            </w:pPr>
            <w:r>
              <w:rPr>
                <w:rFonts w:ascii="Arial" w:cs="Arial" w:eastAsia="Arial" w:hAnsi="Arial"/>
                <w:sz w:val="18"/>
                <w:szCs w:val="18"/>
                <w:b w:val="1"/>
                <w:bCs w:val="1"/>
                <w:color w:val="auto"/>
              </w:rPr>
              <w:t>EL POLLO LOCO HOLDINGS, INC. AND SUBSIDIARIES</w:t>
            </w:r>
          </w:p>
        </w:tc>
        <w:tc>
          <w:tcPr>
            <w:tcW w:w="400" w:type="dxa"/>
            <w:vAlign w:val="bottom"/>
          </w:tcPr>
          <w:p>
            <w:pPr>
              <w:spacing w:after="0"/>
              <w:rPr>
                <w:sz w:val="24"/>
                <w:szCs w:val="24"/>
                <w:color w:val="auto"/>
              </w:rPr>
            </w:pPr>
          </w:p>
        </w:tc>
      </w:tr>
      <w:tr>
        <w:trPr>
          <w:trHeight w:val="432"/>
        </w:trPr>
        <w:tc>
          <w:tcPr>
            <w:tcW w:w="11000" w:type="dxa"/>
            <w:vAlign w:val="bottom"/>
            <w:gridSpan w:val="9"/>
          </w:tcPr>
          <w:p>
            <w:pPr>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40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0960" w:type="dxa"/>
            <w:vAlign w:val="bottom"/>
            <w:gridSpan w:val="8"/>
          </w:tcPr>
          <w:p>
            <w:pPr>
              <w:spacing w:after="0"/>
              <w:rPr>
                <w:sz w:val="20"/>
                <w:szCs w:val="20"/>
                <w:color w:val="auto"/>
              </w:rPr>
            </w:pPr>
            <w:r>
              <w:rPr>
                <w:rFonts w:ascii="Arial" w:cs="Arial" w:eastAsia="Arial" w:hAnsi="Arial"/>
                <w:sz w:val="18"/>
                <w:szCs w:val="18"/>
                <w:b w:val="1"/>
                <w:bCs w:val="1"/>
                <w:color w:val="004FF2"/>
              </w:rPr>
              <w:t>Audited Consolidated Financial Statements</w:t>
            </w:r>
          </w:p>
        </w:tc>
        <w:tc>
          <w:tcPr>
            <w:tcW w:w="40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4220" w:type="dxa"/>
            <w:vAlign w:val="bottom"/>
            <w:tcBorders>
              <w:bottom w:val="single" w:sz="8" w:color="004FF2"/>
            </w:tcBorders>
            <w:gridSpan w:val="3"/>
          </w:tcPr>
          <w:p>
            <w:pPr>
              <w:spacing w:after="0"/>
              <w:rPr>
                <w:sz w:val="20"/>
                <w:szCs w:val="20"/>
                <w:color w:val="auto"/>
              </w:rPr>
            </w:pPr>
            <w:r>
              <w:rPr>
                <w:rFonts w:ascii="Arial" w:cs="Arial" w:eastAsia="Arial" w:hAnsi="Arial"/>
                <w:sz w:val="18"/>
                <w:szCs w:val="18"/>
                <w:color w:val="004FF2"/>
                <w:w w:val="91"/>
              </w:rPr>
              <w:t>Report of Independent Registered Public Accounting Firm</w:t>
            </w:r>
          </w:p>
        </w:tc>
        <w:tc>
          <w:tcPr>
            <w:tcW w:w="6740" w:type="dxa"/>
            <w:vAlign w:val="bottom"/>
            <w:gridSpan w:val="5"/>
          </w:tcPr>
          <w:p>
            <w:pPr>
              <w:spacing w:after="0"/>
              <w:rPr>
                <w:sz w:val="19"/>
                <w:szCs w:val="19"/>
                <w:color w:val="auto"/>
              </w:rPr>
            </w:pPr>
          </w:p>
        </w:tc>
        <w:tc>
          <w:tcPr>
            <w:tcW w:w="400" w:type="dxa"/>
            <w:vAlign w:val="bottom"/>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50"/>
        </w:trPr>
        <w:tc>
          <w:tcPr>
            <w:tcW w:w="40" w:type="dxa"/>
            <w:vAlign w:val="bottom"/>
          </w:tcPr>
          <w:p>
            <w:pPr>
              <w:spacing w:after="0"/>
              <w:rPr>
                <w:sz w:val="21"/>
                <w:szCs w:val="21"/>
                <w:color w:val="auto"/>
              </w:rPr>
            </w:pPr>
          </w:p>
        </w:tc>
        <w:tc>
          <w:tcPr>
            <w:tcW w:w="10960" w:type="dxa"/>
            <w:vAlign w:val="bottom"/>
            <w:gridSpan w:val="8"/>
          </w:tcPr>
          <w:p>
            <w:pPr>
              <w:spacing w:after="0"/>
              <w:rPr>
                <w:sz w:val="20"/>
                <w:szCs w:val="20"/>
                <w:color w:val="auto"/>
              </w:rPr>
            </w:pPr>
            <w:r>
              <w:rPr>
                <w:rFonts w:ascii="Arial" w:cs="Arial" w:eastAsia="Arial" w:hAnsi="Arial"/>
                <w:sz w:val="18"/>
                <w:szCs w:val="18"/>
                <w:color w:val="004FF2"/>
              </w:rPr>
              <w:t>Consolidated Balance Sheets—December 26, 2018 and December 27, 2017</w:t>
            </w:r>
          </w:p>
        </w:tc>
        <w:tc>
          <w:tcPr>
            <w:tcW w:w="400" w:type="dxa"/>
            <w:vAlign w:val="bottom"/>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4FF2"/>
          </w:tcPr>
          <w:p>
            <w:pPr>
              <w:spacing w:after="0" w:line="20" w:lineRule="exact"/>
              <w:rPr>
                <w:sz w:val="1"/>
                <w:szCs w:val="1"/>
                <w:color w:val="auto"/>
              </w:rPr>
            </w:pPr>
          </w:p>
        </w:tc>
        <w:tc>
          <w:tcPr>
            <w:tcW w:w="2300" w:type="dxa"/>
            <w:vAlign w:val="bottom"/>
            <w:gridSpan w:val="2"/>
            <w:shd w:val="clear" w:color="auto" w:fill="004FF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180" w:type="dxa"/>
            <w:vAlign w:val="bottom"/>
            <w:tcBorders>
              <w:bottom w:val="single" w:sz="8" w:color="004FF2"/>
            </w:tcBorders>
            <w:gridSpan w:val="5"/>
          </w:tcPr>
          <w:p>
            <w:pPr>
              <w:spacing w:after="0"/>
              <w:rPr>
                <w:sz w:val="20"/>
                <w:szCs w:val="20"/>
                <w:color w:val="auto"/>
              </w:rPr>
            </w:pPr>
            <w:r>
              <w:rPr>
                <w:rFonts w:ascii="Arial" w:cs="Arial" w:eastAsia="Arial" w:hAnsi="Arial"/>
                <w:sz w:val="18"/>
                <w:szCs w:val="18"/>
                <w:color w:val="004FF2"/>
                <w:w w:val="89"/>
              </w:rPr>
              <w:t>Consolidated Statements of Operations—For the years ended December 26, 2018, December 27, 2017, and December 28, 2016</w:t>
            </w:r>
          </w:p>
        </w:tc>
        <w:tc>
          <w:tcPr>
            <w:tcW w:w="1780" w:type="dxa"/>
            <w:vAlign w:val="bottom"/>
            <w:gridSpan w:val="3"/>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50"/>
        </w:trPr>
        <w:tc>
          <w:tcPr>
            <w:tcW w:w="40" w:type="dxa"/>
            <w:vAlign w:val="bottom"/>
          </w:tcPr>
          <w:p>
            <w:pPr>
              <w:spacing w:after="0"/>
              <w:rPr>
                <w:sz w:val="21"/>
                <w:szCs w:val="21"/>
                <w:color w:val="auto"/>
              </w:rPr>
            </w:pPr>
          </w:p>
        </w:tc>
        <w:tc>
          <w:tcPr>
            <w:tcW w:w="10960" w:type="dxa"/>
            <w:vAlign w:val="bottom"/>
            <w:gridSpan w:val="8"/>
          </w:tcPr>
          <w:p>
            <w:pPr>
              <w:spacing w:after="0"/>
              <w:rPr>
                <w:sz w:val="20"/>
                <w:szCs w:val="20"/>
                <w:color w:val="auto"/>
              </w:rPr>
            </w:pPr>
            <w:r>
              <w:rPr>
                <w:rFonts w:ascii="Arial" w:cs="Arial" w:eastAsia="Arial" w:hAnsi="Arial"/>
                <w:sz w:val="18"/>
                <w:szCs w:val="18"/>
                <w:color w:val="004FF2"/>
                <w:w w:val="91"/>
              </w:rPr>
              <w:t>Consolidated Statements of Changes in Stockholders’ Equity—For the years ended December 26, 2018, December 27, 2017, and December 28, 2016</w:t>
            </w:r>
          </w:p>
        </w:tc>
        <w:tc>
          <w:tcPr>
            <w:tcW w:w="400" w:type="dxa"/>
            <w:vAlign w:val="bottom"/>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50"/>
        </w:trPr>
        <w:tc>
          <w:tcPr>
            <w:tcW w:w="40" w:type="dxa"/>
            <w:vAlign w:val="bottom"/>
          </w:tcPr>
          <w:p>
            <w:pPr>
              <w:spacing w:after="0"/>
              <w:rPr>
                <w:sz w:val="21"/>
                <w:szCs w:val="21"/>
                <w:color w:val="auto"/>
              </w:rPr>
            </w:pPr>
          </w:p>
        </w:tc>
        <w:tc>
          <w:tcPr>
            <w:tcW w:w="9240" w:type="dxa"/>
            <w:vAlign w:val="bottom"/>
            <w:tcBorders>
              <w:top w:val="single" w:sz="8" w:color="004FF2"/>
              <w:bottom w:val="single" w:sz="8" w:color="004FF2"/>
            </w:tcBorders>
            <w:gridSpan w:val="6"/>
          </w:tcPr>
          <w:p>
            <w:pPr>
              <w:spacing w:after="0"/>
              <w:rPr>
                <w:sz w:val="20"/>
                <w:szCs w:val="20"/>
                <w:color w:val="auto"/>
              </w:rPr>
            </w:pPr>
            <w:r>
              <w:rPr>
                <w:rFonts w:ascii="Arial" w:cs="Arial" w:eastAsia="Arial" w:hAnsi="Arial"/>
                <w:sz w:val="18"/>
                <w:szCs w:val="18"/>
                <w:color w:val="004FF2"/>
                <w:w w:val="89"/>
              </w:rPr>
              <w:t>Consolidated Statements of Cash Flows—For the years ended December 26, 2018, December 27, 2017, and December 28, 2016</w:t>
            </w:r>
          </w:p>
        </w:tc>
        <w:tc>
          <w:tcPr>
            <w:tcW w:w="1520" w:type="dxa"/>
            <w:vAlign w:val="bottom"/>
            <w:tcBorders>
              <w:top w:val="single" w:sz="8" w:color="004FF2"/>
            </w:tcBorders>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50"/>
        </w:trPr>
        <w:tc>
          <w:tcPr>
            <w:tcW w:w="40" w:type="dxa"/>
            <w:vAlign w:val="bottom"/>
          </w:tcPr>
          <w:p>
            <w:pPr>
              <w:spacing w:after="0"/>
              <w:rPr>
                <w:sz w:val="21"/>
                <w:szCs w:val="21"/>
                <w:color w:val="auto"/>
              </w:rPr>
            </w:pPr>
          </w:p>
        </w:tc>
        <w:tc>
          <w:tcPr>
            <w:tcW w:w="10960" w:type="dxa"/>
            <w:vAlign w:val="bottom"/>
            <w:gridSpan w:val="8"/>
          </w:tcPr>
          <w:p>
            <w:pPr>
              <w:spacing w:after="0"/>
              <w:rPr>
                <w:sz w:val="20"/>
                <w:szCs w:val="20"/>
                <w:color w:val="auto"/>
              </w:rPr>
            </w:pPr>
            <w:r>
              <w:rPr>
                <w:rFonts w:ascii="Arial" w:cs="Arial" w:eastAsia="Arial" w:hAnsi="Arial"/>
                <w:sz w:val="18"/>
                <w:szCs w:val="18"/>
                <w:color w:val="004FF2"/>
              </w:rPr>
              <w:t>Notes to Consolidated Financial Statements</w:t>
            </w:r>
          </w:p>
        </w:tc>
        <w:tc>
          <w:tcPr>
            <w:tcW w:w="400" w:type="dxa"/>
            <w:vAlign w:val="bottom"/>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62</w:t>
              </w:r>
            </w:hyperlink>
          </w:p>
        </w:tc>
      </w:tr>
      <w:tr>
        <w:trPr>
          <w:trHeight w:val="939"/>
        </w:trPr>
        <w:tc>
          <w:tcPr>
            <w:tcW w:w="40" w:type="dxa"/>
            <w:vAlign w:val="bottom"/>
          </w:tcPr>
          <w:p>
            <w:pPr>
              <w:spacing w:after="0"/>
              <w:rPr>
                <w:sz w:val="24"/>
                <w:szCs w:val="24"/>
                <w:color w:val="auto"/>
              </w:rPr>
            </w:pPr>
          </w:p>
        </w:tc>
        <w:tc>
          <w:tcPr>
            <w:tcW w:w="940" w:type="dxa"/>
            <w:vAlign w:val="bottom"/>
            <w:tcBorders>
              <w:top w:val="single" w:sz="8" w:color="004FF2"/>
            </w:tcBorders>
          </w:tcPr>
          <w:p>
            <w:pPr>
              <w:spacing w:after="0"/>
              <w:rPr>
                <w:sz w:val="24"/>
                <w:szCs w:val="24"/>
                <w:color w:val="auto"/>
              </w:rPr>
            </w:pPr>
          </w:p>
        </w:tc>
        <w:tc>
          <w:tcPr>
            <w:tcW w:w="2200" w:type="dxa"/>
            <w:vAlign w:val="bottom"/>
            <w:tcBorders>
              <w:top w:val="single" w:sz="8" w:color="004FF2"/>
            </w:tcBorders>
          </w:tcPr>
          <w:p>
            <w:pPr>
              <w:spacing w:after="0"/>
              <w:rPr>
                <w:sz w:val="24"/>
                <w:szCs w:val="24"/>
                <w:color w:val="auto"/>
              </w:rPr>
            </w:pPr>
          </w:p>
        </w:tc>
        <w:tc>
          <w:tcPr>
            <w:tcW w:w="6040" w:type="dxa"/>
            <w:vAlign w:val="bottom"/>
            <w:gridSpan w:val="3"/>
          </w:tcPr>
          <w:p>
            <w:pPr>
              <w:jc w:val="right"/>
              <w:ind w:right="342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00"/>
          </w:cols>
          <w:pgMar w:left="240" w:top="476" w:right="259" w:bottom="1440" w:gutter="0" w:footer="0" w:header="0"/>
        </w:sectPr>
      </w:pPr>
    </w:p>
    <w:bookmarkStart w:id="59" w:name="page60"/>
    <w:bookmarkEnd w:id="5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El Pollo Loco Holdings, Inc. (the “Company”) and subsidiaries as of December 26, 2018 and December 27, 2017, the related consolidated statements of operations, changes in stockholders’ equity, and cash flows for each of the three years in the period ended December 26, 2018, and the related notes (collectively referred to as the "consolidated financial statements"). In our opinion, the consolidated financial statements present fairly, in all material respects, the financial position of the Company and subsidiaries at December 26, 2018 and December 27, 2017, and the results of their operations and their cash flows for each of the three years in the period ended December 26, 2018, in conformity with accounting principles generally accepted in the United States of America.</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Policy Related to Revenue Recognition</w:t>
      </w:r>
    </w:p>
    <w:p>
      <w:pPr>
        <w:spacing w:after="0" w:line="2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accounting policy for revenue recognition and related disclosures in 2018 due to the modified retrospective adoption of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8, 2019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72"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and other receivables,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owned,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104,145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102,794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held under capital lease,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248,674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248,674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450,226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442,711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portion of obligations under capital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salaries and vacation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 payable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portion of income tax receivable agreement payable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82,903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47,325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loan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receivable agreement payable, net of current portion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184,990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167,761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13)</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value—100,000,000 shares authorized; none issued or</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rPr>
              <w:t>Common stock, $0.01 par value—200,000,000 shares authorized; 39,009,451 and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120"/>
              <w:spacing w:after="0"/>
              <w:rPr>
                <w:sz w:val="20"/>
                <w:szCs w:val="20"/>
                <w:color w:val="auto"/>
              </w:rPr>
            </w:pPr>
            <w:r>
              <w:rPr>
                <w:rFonts w:ascii="Arial" w:cs="Arial" w:eastAsia="Arial" w:hAnsi="Arial"/>
                <w:sz w:val="18"/>
                <w:szCs w:val="18"/>
                <w:color w:val="auto"/>
              </w:rPr>
              <w:t>38,661,850 shares issued and outstanding</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375,734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372,990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(98,427)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265,236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274,950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450,226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442,711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8"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418"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6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14"/>
                <w:szCs w:val="14"/>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28,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Company-operated restaurant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388,835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376,615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355,468</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24,655</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Franchise advertising fee revenue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435,828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380,123</w:t>
            </w:r>
          </w:p>
        </w:tc>
      </w:tr>
      <w:tr>
        <w:trPr>
          <w:trHeight w:val="223"/>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Cost of operations</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Food and paper costs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107,218</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Labor and related expenses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112,417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106,584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97,471</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78,263</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Gain on recovery of insurance proceeds, lost profits</w:t>
            </w:r>
          </w:p>
        </w:tc>
        <w:tc>
          <w:tcPr>
            <w:tcW w:w="1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282,450</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50,261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34,661</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Legal 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Franchise expenses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3,823</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16,053</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674</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 related to fire loss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Gain on recovery of insurance proceeds, property,</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equipment and expenses</w:t>
            </w:r>
          </w:p>
        </w:tc>
        <w:tc>
          <w:tcPr>
            <w:tcW w:w="1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8,554</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445,289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394,877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345,522</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Gain on disposition of restaurants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34,629</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8"/>
                <w:szCs w:val="18"/>
                <w:color w:val="auto"/>
                <w:w w:val="90"/>
              </w:rPr>
              <w:t>Interest expense—net of interest income of $12, $25, and $28 for the years ended December</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26, 2018, December 27, 2017, and December 28, 2016,</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3,155</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r>
      <w:tr>
        <w:trPr>
          <w:trHeight w:val="209"/>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(Loss) income before provision for income</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31,122</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12,783</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18,339</w:t>
            </w:r>
          </w:p>
        </w:tc>
      </w:tr>
      <w:tr>
        <w:trPr>
          <w:trHeight w:val="67"/>
        </w:trPr>
        <w:tc>
          <w:tcPr>
            <w:tcW w:w="4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54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Net (loss) income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0.48</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0.47</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b w:val="1"/>
                <w:bCs w:val="1"/>
                <w:color w:val="auto"/>
              </w:rPr>
              <w:t>Weighted average shares used in computing net (loss) income per share: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38,574,553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38,453,347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38,357,805</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38,574,553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39,086,676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39,026,950</w:t>
            </w:r>
          </w:p>
        </w:tc>
      </w:tr>
      <w:tr>
        <w:trPr>
          <w:trHeight w:val="351"/>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60" w:type="dxa"/>
            <w:vAlign w:val="bottom"/>
            <w:gridSpan w:val="4"/>
          </w:tcPr>
          <w:p>
            <w:pPr>
              <w:ind w:left="2740"/>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91"/>
        </w:trPr>
        <w:tc>
          <w:tcPr>
            <w:tcW w:w="6740" w:type="dxa"/>
            <w:vAlign w:val="bottom"/>
            <w:gridSpan w:val="3"/>
          </w:tcPr>
          <w:p>
            <w:pPr>
              <w:ind w:left="56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41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2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72"/>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38,284,435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383</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369,635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Issuance of common stock related to restricted shares, net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41,611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Issuance of common stock upon exercise of stock options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147,726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income tax benefit related to share-based</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plans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28, 2016</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38,473,772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265,182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Issuance of common stock related to restricted shares, net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170,417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Issuance of common stock upon exercise of stock options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17,661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December 27, 2017</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38,661,850</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387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372,990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274,950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effect of accounting change (see Note 2)</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Issuance of common stock related to restricted shares, net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155,229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Issuance of common stock upon exercise of stock options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269,549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 for employee tax withholdings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(66,409)</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December 26, 2018</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39,009,451</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390</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375,734</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265,236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18" w:right="2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EL POLLO LOCO HOLDINGS, INC.</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ectPr>
          <w:pgSz w:w="11900" w:h="16838" w:orient="portrait"/>
          <w:cols w:equalWidth="0" w:num="1">
            <w:col w:w="11380"/>
          </w:cols>
          <w:pgMar w:left="280" w:top="418" w:right="239" w:bottom="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For the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19685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Adjustments to reconcile changes in net (loss) income to net cash provided by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 receivable agreement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Loss on disposal of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Impairment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Closed-store reserves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Amortization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Amortization of favorable and unfavorable leases,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Excess income tax benefit related to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Accounts and other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Income taxes receivable/payable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Accrued salaries and vacation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Accrued insurance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Payment related to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accrued expenses and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Proceeds from disposition of restaurant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Proceeds from fire insurance for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Purchase of property and equipment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 from financing activities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Proceeds from borrowings on revolver and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Payments on revolver loan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Minimum tax withholdings related to net share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Proceeds from issuance of common stock upon exercise of stock options, net of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Payment of obligations under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financing costs for revolver loan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Excess income tax benefit related to share-based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Repurchases of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Increase (decrease) in 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418465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Cash paid for interest, net of capitalized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paid during the year for income taxes, net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Non-cash investing and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Unpaid purchases of property and equipment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Schedule of non-cash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83820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Borrowing on revolver for financing fees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26, 2018</w:t>
            </w:r>
          </w:p>
        </w:tc>
        <w:tc>
          <w:tcPr>
            <w:tcW w:w="18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27, 2017</w:t>
            </w:r>
          </w:p>
        </w:tc>
        <w:tc>
          <w:tcPr>
            <w:tcW w:w="160" w:type="dxa"/>
            <w:vAlign w:val="bottom"/>
          </w:tcPr>
          <w:p>
            <w:pPr>
              <w:spacing w:after="0"/>
              <w:rPr>
                <w:sz w:val="15"/>
                <w:szCs w:val="15"/>
                <w:color w:val="auto"/>
              </w:rPr>
            </w:pPr>
          </w:p>
        </w:tc>
        <w:tc>
          <w:tcPr>
            <w:tcW w:w="1300" w:type="dxa"/>
            <w:vAlign w:val="bottom"/>
          </w:tcPr>
          <w:p>
            <w:pPr>
              <w:jc w:val="right"/>
              <w:ind w:right="148"/>
              <w:spacing w:after="0"/>
              <w:rPr>
                <w:sz w:val="20"/>
                <w:szCs w:val="20"/>
                <w:color w:val="auto"/>
              </w:rPr>
            </w:pPr>
            <w:r>
              <w:rPr>
                <w:rFonts w:ascii="Arial" w:cs="Arial" w:eastAsia="Arial" w:hAnsi="Arial"/>
                <w:sz w:val="13"/>
                <w:szCs w:val="13"/>
                <w:b w:val="1"/>
                <w:bCs w:val="1"/>
                <w:color w:val="auto"/>
                <w:w w:val="90"/>
              </w:rPr>
              <w:t>December 28, 2016</w:t>
            </w:r>
          </w:p>
        </w:tc>
      </w:tr>
      <w:tr>
        <w:trPr>
          <w:trHeight w:val="515"/>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(8,994)</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8,619</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18,339</w:t>
            </w:r>
          </w:p>
        </w:tc>
      </w:tr>
      <w:tr>
        <w:trPr>
          <w:trHeight w:val="540"/>
        </w:trPr>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17,825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18,128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16,053</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1,063</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352</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674</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5,147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32,594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8,400</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4,503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154</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304</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12,390</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(660)</w:t>
            </w:r>
          </w:p>
        </w:tc>
      </w:tr>
      <w:tr>
        <w:trPr>
          <w:trHeight w:val="540"/>
        </w:trPr>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(2,387)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(844)</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222</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(4,579)</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(939)</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423</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(7,272)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(3,236)</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36,701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4,547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1,996</w:t>
            </w:r>
          </w:p>
        </w:tc>
      </w:tr>
      <w:tr>
        <w:trPr>
          <w:trHeight w:val="276"/>
        </w:trPr>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45,442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53,671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49,299</w:t>
            </w:r>
          </w:p>
        </w:tc>
      </w:tr>
      <w:tr>
        <w:trPr>
          <w:trHeight w:val="514"/>
        </w:trPr>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1,465</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743</w:t>
            </w:r>
          </w:p>
        </w:tc>
      </w:tr>
      <w:tr>
        <w:trPr>
          <w:trHeight w:val="276"/>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(27,802)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(36,238)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(37,410)</w:t>
            </w:r>
          </w:p>
        </w:tc>
      </w:tr>
      <w:tr>
        <w:trPr>
          <w:trHeight w:val="250"/>
        </w:trPr>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(27,802)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(36,238)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(35,202)</w:t>
            </w:r>
          </w:p>
        </w:tc>
      </w:tr>
      <w:tr>
        <w:trPr>
          <w:trHeight w:val="514"/>
        </w:trPr>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13,307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(19,000)</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978</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70"/>
        </w:trPr>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169</w:t>
            </w:r>
          </w:p>
        </w:tc>
      </w:tr>
      <w:tr>
        <w:trPr>
          <w:trHeight w:val="276"/>
        </w:trPr>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(19,221)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(11,051)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(18,030)</w:t>
            </w:r>
          </w:p>
        </w:tc>
      </w:tr>
      <w:tr>
        <w:trPr>
          <w:trHeight w:val="244"/>
        </w:trPr>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(1,581)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6,382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(3,933)</w:t>
            </w:r>
          </w:p>
        </w:tc>
      </w:tr>
      <w:tr>
        <w:trPr>
          <w:trHeight w:val="276"/>
        </w:trPr>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8,550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2,168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6,101</w:t>
            </w:r>
          </w:p>
        </w:tc>
      </w:tr>
      <w:tr>
        <w:trPr>
          <w:trHeight w:val="250"/>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6,969</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8,550</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2,168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26, 2018</w:t>
            </w: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27, 2017</w:t>
            </w:r>
          </w:p>
        </w:tc>
        <w:tc>
          <w:tcPr>
            <w:tcW w:w="160" w:type="dxa"/>
            <w:vAlign w:val="bottom"/>
          </w:tcPr>
          <w:p>
            <w:pPr>
              <w:spacing w:after="0"/>
              <w:rPr>
                <w:sz w:val="24"/>
                <w:szCs w:val="24"/>
                <w:color w:val="auto"/>
              </w:rPr>
            </w:pPr>
          </w:p>
        </w:tc>
        <w:tc>
          <w:tcPr>
            <w:tcW w:w="1300" w:type="dxa"/>
            <w:vAlign w:val="bottom"/>
          </w:tcPr>
          <w:p>
            <w:pPr>
              <w:jc w:val="right"/>
              <w:ind w:right="148"/>
              <w:spacing w:after="0"/>
              <w:rPr>
                <w:sz w:val="20"/>
                <w:szCs w:val="20"/>
                <w:color w:val="auto"/>
              </w:rPr>
            </w:pPr>
            <w:r>
              <w:rPr>
                <w:rFonts w:ascii="Arial" w:cs="Arial" w:eastAsia="Arial" w:hAnsi="Arial"/>
                <w:sz w:val="13"/>
                <w:szCs w:val="13"/>
                <w:b w:val="1"/>
                <w:bCs w:val="1"/>
                <w:color w:val="auto"/>
                <w:w w:val="90"/>
              </w:rPr>
              <w:t>December 28, 2016</w:t>
            </w:r>
          </w:p>
        </w:tc>
      </w:tr>
      <w:tr>
        <w:trPr>
          <w:trHeight w:val="507"/>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3,393</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3,314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3,086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0"/>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80"/>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1,543</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4,741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5,158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07"/>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2">
            <w:col w:w="5980" w:space="720"/>
            <w:col w:w="4680"/>
          </w:cols>
          <w:pgMar w:left="280" w:top="418" w:right="239" w:bottom="0" w:gutter="0" w:footer="0" w:header="0"/>
          <w:type w:val="continuous"/>
        </w:sectPr>
      </w:pPr>
    </w:p>
    <w:p>
      <w:pPr>
        <w:jc w:val="center"/>
        <w:ind w:right="40"/>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11380"/>
          </w:cols>
          <w:pgMar w:left="280" w:top="418" w:right="239" w:bottom="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9019"/>
          </w:cols>
          <w:pgMar w:left="1440" w:top="476" w:right="1440"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 The restaurants, which are located principally in California but also in Arizona, Nevada, Texas, Utah and Louisiana, specialize in flame-grilled chicken in a wide variety of contemporary Mexican-influenced entrees, including specialty chicken burritos, chicken quesadillas, chicken tortilla soup, variations on our Pollo Bowl® and Pollo Salads. At December 26, 2018, the Company operated 213 (143 in the greater Los Angeles area) and franchised 271 (138 in the greater Los Angeles area) El Pollo Loco restaurants. In addition, the Company currently licenses one restaurant in the Philippines. The Company’s largest stockholder is Trimaran Pollo Partners, L.L.C. (“LLC”), which is controlled by affiliates of Trimaran Capital, L.L.C. LLC acquired Chicken Acquisition Corp. (“CAC”), a predecessor of Holdings, on November 17, 2005 (the “Acquisition”) and has a 42.9% ownership interest as of December 26, 2018. LLC’s only material asset is its investment in Holdings.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22, 2014, CAC, its wholly owned subsidiary, Chicken Subsidiary Corp (“CSC”) and CSC’s wholly owned subsidiary, the former El Pollo Loco Holdings, Inc. (“Old Holdings”) entered into the following reorganization transactions: (i) Old Holdings merged with and into CSC with CSC continuing as the surviving corporation; (ii) CSC merged with and into CAC with CAC continuing as the surviving corporation and (iii) CAC renamed itself El Pollo Loco Holdings, Inc.</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EPL Intermediate, Inc. (“Intermediate”), guarantee EPL’s 2014 Revolver (see Note 6)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3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July 13, 2018, the Company refinanced its credit agreement with Bank of America, N.A., as administrative agent, swingline lender, and letter of credit issuer, the lenders party thereto, and the other parties thereto, (the "2014 Revolver"), pursuant to a credit agreement (the "2018 Credit Agreement") among EPL, as borrower, the Company and EPL Intermediate, Inc. (“Intermediate"), as guarantors, Bank of America, N.A., as administrative agent, swingline lender, and letter of credit issuer, the lenders party thereto, and the other parties thereto, which provides for a $150.0 million five-year senior secured revolving facility (the “2018 Revolver”). 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w:t>
      </w:r>
    </w:p>
    <w:p>
      <w:pPr>
        <w:spacing w:after="0" w:line="3" w:lineRule="exact"/>
        <w:rPr>
          <w:sz w:val="20"/>
          <w:szCs w:val="20"/>
          <w:color w:val="auto"/>
        </w:rPr>
      </w:pPr>
    </w:p>
    <w:p>
      <w:pPr>
        <w:ind w:firstLine="8"/>
        <w:spacing w:after="0" w:line="252" w:lineRule="auto"/>
        <w:tabs>
          <w:tab w:leader="none" w:pos="3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operates in one operating segment. All significant revenues relate to retail sales of food and beverages to the general public through either company or franchised restaurants.</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August 2, 2018, the Company announced the Board of Directors had authorized a stock repurchase program (the "Stock Repurchase Program"). The Company entered into a stock repurchase plan pursuant to Rule 10b5-1 of the Securities and Exchange Act of 1934, as amended on August 28, 2018 (the "Stock Repurchase Plan"), which allows the repurchase of up to $20.0 million of the Company's common stock. The Stock Repurchase Plan commenced purchases on November 6, 2018, and, if not terminated sooner by other provisions of the Stock Repurchase Plan, will terminate on June 26, 2019. The Stock Repurchase Plan may also be suspended or terminated at any time upon prior notice.</w:t>
      </w:r>
    </w:p>
    <w:p>
      <w:pPr>
        <w:spacing w:after="0" w:line="6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Stock Repurchase Program, the Company may repurchase its common stock from time to time, in amounts and at prices that the Company deems appropriate, subject to market conditions and other considerations. The Company's repurchases may be executed using open market purchases and/or through privately negotiated transactions.</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the Stock Repurchase Plan for the quarterly period ended December 26, 2018, the Company repurchased 66,409 shares of common stock, executed using open market purchases, for total consideration of approximately $1.0 million.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72"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principal liquidity requirements are to service its debt and meet capital expenditure needs. At December 26, 2018, the Company’s total debt (including capital lease liabilities) was $74.2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flows from operations, available cash of $7.0 million at December 26, 2018, and available borrowings under the 2018 Revolver (which availability was $67.5 million at December 26, 2018) will be adequate to meet the Company’s liquidity needs for the next twelve months from the issuance of the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uses a 52- or 53-week fiscal year ending on the last Wednesday of each calendar year. Fiscal 2018, 2017, and 2016 ended on December 26, 2018, December 27, 2017 and December 28, 2016, respectively. In a 52-week fiscal year, each quarter includes 13 weeks of operations. In a 53-week fiscal year, the first, second and third quarters each include 13 weeks of operations and the fourth quarter includes 14 weeks of operations. Approximately every six or seven years a 53-week fiscal year occurs. Fiscal 2018, 2017 and 2016 were 52-week fiscal years. 53-week years may cause revenues, expenses, and other results of operations to be higher due to the additional week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Holdings and its wholly owned subsidiaries. All intercompany balances and transactions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consolidated financial statements and revenue and expenses during the period reported. Actual results could materially differ from those estimates. The Company’s significant estimates include estimates for impairment of goodwill, intangible assets and property and equipment, insurance reserves, lease termination liabilities, closed-store reserves, stock-based compensation, income tax receivable agreement liability, and income tax valuation allowances.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instruments with a maturity of three months or less at the date of purchase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Company’s restricted cash represented cash collateral to one commercial bank for Company credit cards. During the fiscal year ended 2017, the cash collateral was returned by the bank, and the Company reclassified such amounts to cash and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On January 24, 2019, the parties reached an agreement in principle to settle all claims and allegations brought on behalf of putative class members in Superior Court of the State of California, County of Orange under the caption </w:t>
      </w:r>
      <w:r>
        <w:rPr>
          <w:rFonts w:ascii="Arial" w:cs="Arial" w:eastAsia="Arial" w:hAnsi="Arial"/>
          <w:sz w:val="17"/>
          <w:szCs w:val="17"/>
          <w:u w:val="single" w:color="auto"/>
          <w:color w:val="auto"/>
        </w:rPr>
        <w:t>Elliott Olvera, et al. v. El Pollo Loco, Inc., et al.</w:t>
      </w:r>
      <w:r>
        <w:rPr>
          <w:rFonts w:ascii="Arial" w:cs="Arial" w:eastAsia="Arial" w:hAnsi="Arial"/>
          <w:sz w:val="17"/>
          <w:szCs w:val="17"/>
          <w:color w:val="auto"/>
        </w:rPr>
        <w:t xml:space="preserve"> (Case No. 30-2014-00707367-CU-OE-CXC), as well as all wage and hour claims brought in the class actions captioned </w:t>
      </w:r>
      <w:r>
        <w:rPr>
          <w:rFonts w:ascii="Arial" w:cs="Arial" w:eastAsia="Arial" w:hAnsi="Arial"/>
          <w:sz w:val="17"/>
          <w:szCs w:val="17"/>
          <w:u w:val="single" w:color="auto"/>
          <w:color w:val="auto"/>
        </w:rPr>
        <w:t>Martha Perez v. El Pollo Loco, Inc.</w:t>
      </w:r>
      <w:r>
        <w:rPr>
          <w:rFonts w:ascii="Arial" w:cs="Arial" w:eastAsia="Arial" w:hAnsi="Arial"/>
          <w:sz w:val="17"/>
          <w:szCs w:val="17"/>
          <w:color w:val="auto"/>
        </w:rPr>
        <w:t xml:space="preserve"> (Los Angeles Superior Court Case No. BC624001), </w:t>
      </w:r>
      <w:r>
        <w:rPr>
          <w:rFonts w:ascii="Arial" w:cs="Arial" w:eastAsia="Arial" w:hAnsi="Arial"/>
          <w:sz w:val="17"/>
          <w:szCs w:val="17"/>
          <w:u w:val="single" w:color="auto"/>
          <w:color w:val="auto"/>
        </w:rPr>
        <w:t>Maria Vega, et al. v. El Pollo Loco, Inc.</w:t>
      </w:r>
      <w:r>
        <w:rPr>
          <w:rFonts w:ascii="Arial" w:cs="Arial" w:eastAsia="Arial" w:hAnsi="Arial"/>
          <w:sz w:val="17"/>
          <w:szCs w:val="17"/>
          <w:color w:val="auto"/>
        </w:rPr>
        <w:t xml:space="preserve"> (Los Angeles Superior Court Case No. BC649719), and </w:t>
      </w:r>
      <w:r>
        <w:rPr>
          <w:rFonts w:ascii="Arial" w:cs="Arial" w:eastAsia="Arial" w:hAnsi="Arial"/>
          <w:sz w:val="17"/>
          <w:szCs w:val="17"/>
          <w:u w:val="single" w:color="auto"/>
          <w:color w:val="auto"/>
        </w:rPr>
        <w:t>Gonzalez v. El Pollo Loco, Inc.</w:t>
      </w:r>
      <w:r>
        <w:rPr>
          <w:rFonts w:ascii="Arial" w:cs="Arial" w:eastAsia="Arial" w:hAnsi="Arial"/>
          <w:sz w:val="17"/>
          <w:szCs w:val="17"/>
          <w:color w:val="auto"/>
        </w:rPr>
        <w:t xml:space="preserve"> (Los Angeles Superior Court Case No. BC712867). See "Note 13. Commitments and Contingencies—Legal Matters."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013"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 January 23, 2019, the parties filed a Notice of Settlement and Joint Request for Order to Stay Proceedings, stating the parties have reached an agreement in principle to settle all claims and allegations brought on behalf of putative class members in United States District Court, Central District of California under the caption </w:t>
      </w:r>
      <w:r>
        <w:rPr>
          <w:rFonts w:ascii="Arial" w:cs="Arial" w:eastAsia="Arial" w:hAnsi="Arial"/>
          <w:sz w:val="18"/>
          <w:szCs w:val="18"/>
          <w:u w:val="single" w:color="auto"/>
          <w:color w:val="auto"/>
        </w:rPr>
        <w:t>Turocy v. El Pollo Loco Holdings, Inc. et al.</w:t>
      </w:r>
      <w:r>
        <w:rPr>
          <w:rFonts w:ascii="Arial" w:cs="Arial" w:eastAsia="Arial" w:hAnsi="Arial"/>
          <w:sz w:val="18"/>
          <w:szCs w:val="18"/>
          <w:color w:val="auto"/>
        </w:rPr>
        <w:t>, (Case No. 8:15-cv-01343-DOC-KES). See "Note 13. Commitments and Contingencies—Legal Matters."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Subsequent to December 26, 2018, the Company decided to close one restaurant in Texas, which was previously impaired during the fourth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restaurant closed in January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26, 2018, the Company made a $3.0 million pre-payment on the 2018 Revolver.</w:t>
      </w:r>
    </w:p>
    <w:p>
      <w:pPr>
        <w:spacing w:after="0" w:line="11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Company evaluated subsequent events that have occurred after December 26, 2018, and determined that there were no other events or transactions occurring during this reporting period that require recognition or disclosure in the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had one vendor for which amounts due at December 26, 2018 totaled 36% of the Company’s accounts payable. As of December 27, 2017, the Company had one supplier for which amounts due totaled 14% of the Company’s accounts payable. Purchases from the Company’s largest supplier totaled 29% of the Company’s purchases for fiscal 2018, 29% for fiscal 2017 and 33% for fiscal 2016 with no amounts payable at December 26, 2018 or December 27, 2017. In fiscal 2018, 2017 and 2016, Company-operated and franchised restaurants in the greater Los Angeles area generated, in the aggregate, approximately 69%, 73%, and 75%, respectively, of total revenue. Two franchisees accounted for 40% of total accounts receivable as of December 26, 2018 and December 27, 2017.</w:t>
      </w:r>
    </w:p>
    <w:p>
      <w:pPr>
        <w:spacing w:after="0" w:line="8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Management believes the loss of the significant supplier or franchisee could have a material adverse effect on the Company's consolidated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 Net</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Accounts and other receivables consist primarily of royalties, advertising and sublease rent and related amounts receivable from franchisees. Such receivables are due on a monthly basis, which may differ from the Company’s fiscal month-end dates. Accounts and other receivables also include credit/debit card receivables. The need for an allowance for doubtful accounts is reviewed on a specific identification basis and takes into consideration past due balances and the financial strength of the obligor. Bad debt expense was immaterial for the years ended December 26, 2018, December 27, 2017, and December 28,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principally of food, beverages and paper supplies and are valued at the lower of average cost or net realizable value.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Owned, Net</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Property and equipment is stated at cost and is depreciated using the straight-line method over the estimated useful lives of the assets. Leasehold improvements and property held under capital leases are amortized over the shorter of their estimated useful lives or the remaining lease terms. For leases with renewal periods at the Company’s option, the Company generally uses the original lease term, excluding the option periods, to determine estimated useful lives; if failure to exercise a renewal option imposes an economic penalty on the Company, such that management determines at the inception of the lease that renewal is reasonably assured, the Company may include the renewal option period in the determination of appropriate estimated useful lives.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service lives are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29"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6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6040" w:type="dxa"/>
            <w:vAlign w:val="bottom"/>
          </w:tcPr>
          <w:p>
            <w:pPr>
              <w:jc w:val="right"/>
              <w:spacing w:after="0"/>
              <w:rPr>
                <w:sz w:val="20"/>
                <w:szCs w:val="20"/>
                <w:color w:val="auto"/>
              </w:rPr>
            </w:pPr>
            <w:r>
              <w:rPr>
                <w:rFonts w:ascii="Arial" w:cs="Arial" w:eastAsia="Arial" w:hAnsi="Arial"/>
                <w:sz w:val="18"/>
                <w:szCs w:val="18"/>
                <w:color w:val="auto"/>
              </w:rPr>
              <w:t>3—30 years</w:t>
            </w:r>
          </w:p>
        </w:tc>
      </w:tr>
      <w:tr>
        <w:trPr>
          <w:trHeight w:val="27"/>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6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 years</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Restaurant equipment</w:t>
            </w:r>
          </w:p>
        </w:tc>
        <w:tc>
          <w:tcPr>
            <w:tcW w:w="604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7"/>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equipment</w:t>
            </w:r>
          </w:p>
        </w:tc>
        <w:tc>
          <w:tcPr>
            <w:tcW w:w="6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years</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6040" w:type="dxa"/>
            <w:vAlign w:val="bottom"/>
          </w:tcPr>
          <w:p>
            <w:pPr>
              <w:jc w:val="right"/>
              <w:spacing w:after="0"/>
              <w:rPr>
                <w:sz w:val="20"/>
                <w:szCs w:val="20"/>
                <w:color w:val="auto"/>
              </w:rPr>
            </w:pPr>
            <w:r>
              <w:rPr>
                <w:rFonts w:ascii="Arial" w:cs="Arial" w:eastAsia="Arial" w:hAnsi="Arial"/>
                <w:sz w:val="18"/>
                <w:szCs w:val="18"/>
                <w:color w:val="auto"/>
              </w:rPr>
              <w:t>Shorter of useful life or lease term</w:t>
            </w:r>
          </w:p>
        </w:tc>
      </w:tr>
    </w:tbl>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capitalizes certain directly attributable costs in conjunction with site selection that relate to specific sites for planned future restaurants. The Company also capitalizes certain directly attributable costs, including interest, in conjunction with constructing new restaurants. These costs are included in property and amortized over the shorter of the life of the related buildings and leasehold improvements or the lease term. Costs related to abandoned sites and other site selection costs that cannot be identified with specific restaurants are charged to general and administrative expenses in the accompanying consolidated statements of operations, and were $0.3 million, $0.5 million and $0.5 million for the years ended December 26, 2018, December 27, 2017, and December 28, 2016, respectively. The Company capitalized internal costs related to site selection and construction activities of $1.3 million, $1.9 million and $1.6 million for the years ended December 26, 2018, December 27, 2017, and December 28, 2016, respectively. Capitalized internal interest costs related to site selection and construction activities were $0.2 million, $0.2 million and $0.2 million for the years ended December 26, 2018, December 27, 2017, and December 28, 2016,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Based on the results of this analysis, the Company recorded non-cash impairment charges of $5.1 million for the year ended December 26, 2018, primarily related to the carrying value of the assets of four restaurants in Arizona, California and Texas, including a restaurant in Texas that opened in early 2018. In fiscal 2017 the company recorded a non-cash impairment charge of $32.6 million, primarily related to the carrying value of 23 restaurants in Arizona, California and Texas. The impairment expense for fiscal 2017 includes an impairment expense of $27.7 million, representing the entire value of capitalized assets of all of the company-operated restaurants in Texas, net of previously recorded depreciation. Factors which led to the impairment of the Texas restaurants included operating results, which indicated that the restaurants did not achieve the sales volumes required to generate positive cash flows or improve profitability in the Texas market, along with the related future cash flow assumptions, including comparable sales rate growth and restaurant operating costs, over the remaining lease terms and the age of the restaurants in Texas. The restaurants in Texas began opening in late 2014, causing a higher net book value at the time of impairment testing, and increased difficulty projecting results for newer restaurants in newer markets. Given the difficulty in projecting results for newer restaurants in newer markets, we are also monitoring the recoverability of the carrying value of the assets of several other restaurants on an ongoing basis, including those in the Arizona and Northern California market. For these restaurants, if expected performance improvements are not realized, an impairment charge may be recognized in future periods, and such charge could be material. In fiscal 2016 the Company recorded a non-cash impairment charge of $8.4 million, primarily related to the carrying value of the assets of nine restaurants in Arizona, California and Texas.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and from the acquisition of certain franchise locations.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29"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Upon the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reviews goodwill for impairment utilizing either a qualitative assessment or by comparing the fair value of a reporting unit with its carrying amount. An impairment test consists of either a qualitative assessment or a comparison of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an impairment test is performed which determines the carrying amount of a reporting unit is greater than its fair value, an impairment charge will be recognized for the amount by which the carrying amount of a reporting unit is greater than its fair value, up to the amount of its allocated goodwill.</w:t>
      </w:r>
    </w:p>
    <w:p>
      <w:pPr>
        <w:spacing w:after="0" w:line="8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5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Although the Company recognized expense related to the impairment of the assets of 4 restaurants during the year ended December 26, 2018, upon completion of the qualitative assessment, the Company did not identify any indicators of potential impairment for its goodwill or indefinite-lived intangible assets. Furthermore, the Company did not identify any indicators of potential impairment during the years ended December 27, 2017 or December 28, 2016, and thus no impairment was recorded.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Intangibles, Net—Definite Lived</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Definite lived intangible assets and liabilities consist of the value allocated to the Company’s favorable and unfavorable leasehold interests that resulted from the Acquisition.</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Favorable leasehold interest represents the asset in excess of the approximate fair market value of the leases assumed as of November 17, 2005, the date of the Acquisition. The amount is being reduced over the remaining life of the leases. This amount is shown as other intangible assets, net, on the accompanying consolidated balance sheets.</w:t>
      </w:r>
    </w:p>
    <w:p>
      <w:pPr>
        <w:spacing w:after="0" w:line="7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Unfavorable leasehold interest liability represents the liability in excess of the approximate fair market value of the leases assumed as of November 17, 2005, the date of the Acquisition. The amount is being reduced over the remaining life of the leases. This amount is shown as other intangible liabilities, net, on the accompanying consolidated balance sheets.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Intangible assets and liabilities with a definite life are amortized using the straight-line method over the remaining useful lives at the date of acquisition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Favorable leasehold interests</w:t>
            </w:r>
          </w:p>
        </w:tc>
        <w:tc>
          <w:tcPr>
            <w:tcW w:w="5600" w:type="dxa"/>
            <w:vAlign w:val="bottom"/>
            <w:shd w:val="clear" w:color="auto" w:fill="CCEEFF"/>
          </w:tcPr>
          <w:p>
            <w:pPr>
              <w:ind w:left="2980"/>
              <w:spacing w:after="0"/>
              <w:rPr>
                <w:sz w:val="20"/>
                <w:szCs w:val="20"/>
                <w:color w:val="auto"/>
              </w:rPr>
            </w:pPr>
            <w:r>
              <w:rPr>
                <w:rFonts w:ascii="Arial" w:cs="Arial" w:eastAsia="Arial" w:hAnsi="Arial"/>
                <w:sz w:val="18"/>
                <w:szCs w:val="18"/>
                <w:color w:val="auto"/>
                <w:w w:val="89"/>
              </w:rPr>
              <w:t>1 to 18 years (remaining lease term)</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Unfavorable leasehold interest liability</w:t>
            </w:r>
          </w:p>
        </w:tc>
        <w:tc>
          <w:tcPr>
            <w:tcW w:w="5600" w:type="dxa"/>
            <w:vAlign w:val="bottom"/>
          </w:tcPr>
          <w:p>
            <w:pPr>
              <w:ind w:left="2980"/>
              <w:spacing w:after="0"/>
              <w:rPr>
                <w:sz w:val="20"/>
                <w:szCs w:val="20"/>
                <w:color w:val="auto"/>
              </w:rPr>
            </w:pPr>
            <w:r>
              <w:rPr>
                <w:rFonts w:ascii="Arial" w:cs="Arial" w:eastAsia="Arial" w:hAnsi="Arial"/>
                <w:sz w:val="18"/>
                <w:szCs w:val="18"/>
                <w:color w:val="auto"/>
                <w:w w:val="89"/>
              </w:rPr>
              <w:t>1 to 20 years (remaining lease term)</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Deferred financing costs are capitalized and amortized over the period of the loan on a straight-line basis, which approximates the effective interest method. Transaction costs of $0.8 million were incurred in connection with the July 13, 2018 refinancing and were capitalized during fiscal 2018. Included in other assets are deferred financing costs (net of accumulated amortization), related to the revolver, of $1.1 million and $0.6 million as of December 26, 2018 and December 27, 2017, respectively. Amortization expense for deferred financing costs was $0.3 million, $0.3 million and $0.3 million for the years ended December 26, 2018, December 27, 2017, and December 28, 2016, respectively, and is reflected as a component of interest expense in the accompanying consolidated statements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29"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is responsible for workers’ compensation, general and health insurance claims up to a specified aggregate stop loss amount. The Company maintains a reserve for estimated claims both reported and incurred but not reported, based on historical claims experience and other assumptions. At December 26, 2018 and December 27, 2017, the Company had accrued $7.1 million and $5.9 million, respectively, and such amounts are reflected as accrued insurance in the accompanying consolidated balance sheets. The expense for such reserves for the years ended December 26, 2018, December 27, 2017</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and December 28, 2016, totaled $8.0 million, $6.8 million, and $7.2 million, respectively. These amounts are included in labor and related expenses and general and administrative expenses on the accompanying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Revenue</w:t>
      </w:r>
    </w:p>
    <w:p>
      <w:pPr>
        <w:spacing w:after="0" w:line="12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 Promotional allowances amounted to approximately $8.8 million, $8.9 million and $7.4 million during the years ended December 26, 2018, December 27, 2017, and December 28, 2016, respectively.</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offers a loyalty rewards program, which awards a customer one point for every $1 spent. When 100 points are accumulated a $10 reward to be used on future purchases is earned.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or the likelihood of redemption is remote. A portion of the transaction price is allocated to loyalty points, if necessary, on a pro-rata basis, based on stand-alone selling price, as determined by menu pricing and loyalty point terms. As of December 26, 2018 and December 27, 2017, the revenue allocated to loyalty points that have not been redeemed are $1.0 million and $0.4 million, respectively, which are reflected in the Company's accompanying consolidated balance sheets within other accrued expenses and current liabilities. The Company expects the loyalty points to be redeemed and recognized over a one year period.</w:t>
      </w:r>
    </w:p>
    <w:p>
      <w:pPr>
        <w:spacing w:after="0" w:line="7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Advertising expense is recorded as the obligation to contribute to the advertising fund is accrued, generally when the associated revenue is recognized. Advertising expense, which is a component of occupancy and other operating expenses, was $16.1 million, $15.5 million and $14.7 million for the years ended December 26, 2018, December 27, 2017, and December 28, 2016, respectively, and is in addition to $21.2 million, $20.5 million and $19.3 million, respectively, funded by the franchisees’ advertising fees.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Franchisees pay a monthly fee to the Company that ranges from 4% to 5% of their restaurants’ net sales as reimbursement for advertising, public relations and promotional services the Company provides. Fees received in advance of provided services are included in other accrued expenses and current liabilities and were $0.3 million and $1.0 million at December 26, 2018 and December 27, 2017, respectively. Fees received subsequent to provided service are included in accounts receivable and current assets and were nil at December 26, 2018 and December 27, 2017. Pursuant to the Company’s Franchise Disclosure Document, company-operated restaurants contribute to the advertising fund on the same basis as franchised restaurants. At December 26, 2018, the Company was obligated to spend $0.3 million more in future periods to comply with this requirement.</w:t>
      </w:r>
    </w:p>
    <w:p>
      <w:pPr>
        <w:spacing w:after="0" w:line="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Production costs of commercials, programming and other marketing activities are charged to the advertising funds when the advertising is first used for its intended purpose. Total contributions and other marketing expenses are included in general and administrative expenses in the accompanying consolidated statements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Preopening costs incurred in connection with the opening of new restaurants are expensed as incurred. Preopening costs, which are included in general and administrative expenses on the accompanying consolidated statements of operations, were $0.8 million, $2.0 million and $2.6 million for the years ended December 26, 2018, December 27, 2017, and December 28, 2016, respectively.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29"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 Cards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The Company recognizes income from gift cards when redeemed by the customer.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Rent expense for the Company’s operating leases, which generally have escalating rents over the term of the lease, is recorded on a straight-line basis over the expected lease term. The lease term begins when the Company has the right to control the use of the leased property, which is typically before rent payments are due under the terms of the lease. Rent expense is included in occupancy and other operating expenses on the consolidated statements of operations. The difference between rent expense and rent paid is recorded as deferred rent, which is included in current liabilities and other noncurrent liabilities in the accompanying consolidated balance sheets. Percentage rent expenses are recorded based on estimated sales or gross margin for respective restaurants over the contingency period.</w:t>
      </w:r>
    </w:p>
    <w:p>
      <w:pPr>
        <w:spacing w:after="0" w:line="8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Any leasehold improvements that are funded by lessor incentives under operating leases are recorded as leasehold improvements and amortized over the expected lease term. Such incentives are also recorded as deferred rent and amortized as reductions to rent expense over the expected lease term.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Recovery of Insurance Proceeds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November 2015, one of the Company’s restaurants incurred damage resulting from a fire. In fiscal 2016, we incurred costs directly related to the fire of less than $0.1 million, disposed of assets of an additional $0.1 million and recognized gains of $0.7 million, related to the reimbursement of property and equipment and expenses incurred and $0.5 million related to the reimbursement of lost profits. The reimbursement of lost profits is included in the accompanying consolidated statements of operations, for fiscal 2016, as a reduction of company restaurant expenses. The Company received from the insurance company cash of $1.4 million, net of the insurance deductible, during fiscal 2016. The restaurant was reopened for business on March 14, 2016.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Securities Class Action Legal Expense</w:t>
      </w:r>
    </w:p>
    <w:p>
      <w:pPr>
        <w:spacing w:after="0" w:line="1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During fiscal 2018 and 2017, the Company received insurance proceeds of $8.4 million and $1.7 million, respectively, related to the reimbursement of certain legal expenses paid in prior years for the defense of securities lawsuits. See "Note 13. Commitments and Contingencies—Legal Matters."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basis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a charge to tax expense to reserve the portion of the deferred tax assets which are not expected to be realized.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it is required to file.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Otherwise, the Company may not recognize any of the potential tax benefit associated with the position. The Company recognizes a benefit for a tax position that meets the “more likely than not” criterion as the largest amount of tax benefit that is greater than 50%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policy is to recognize interest or penalties related to income tax matters in income tax expense. The Company had no accrual for interest or penalties at December 26, 2018 or December 27, 2017, and did not recognize interest or penalties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29"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26, 2018, December 27, 2017, and December 28, 2016, since there were no material unrecognized tax benefits.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no material change to the amount of unrecognized tax benefits will occur within the next twelve months.</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July 30, 2014, the Company entered into the TRA with the stockholders of the Company immediately prior to the initial public offering ("IPO") which calls for the Company to pay to its pre-IPO stockholders 85% of the savings in cash that the Company realizes in its taxes as a result of utilizing its net operating losses and other tax attributes attributable to preceding periods. As of December 26, 2018 and December 27, 2017, the Company had accrued $13.9 million and $22.0 million, respectively relating to expected TRA payments. In fiscal 2018, 2017 and 2016, we paid $7.3 million, $11.1 million and $3.2 million, respectively, to our pre-IPO stockholders under the TRA.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600" w:hanging="565"/>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600" w:right="120" w:hanging="565"/>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62" w:lineRule="exact"/>
        <w:rPr>
          <w:rFonts w:ascii="Arial" w:cs="Arial" w:eastAsia="Arial" w:hAnsi="Arial"/>
          <w:sz w:val="18"/>
          <w:szCs w:val="18"/>
          <w:color w:val="auto"/>
        </w:rPr>
      </w:pPr>
    </w:p>
    <w:p>
      <w:pPr>
        <w:ind w:left="600" w:hanging="565"/>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26, 2018 and December 27, 2017, the Company had no assets and liabilities measured at fair value on a recurring basis.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non-financial instruments were measured at fair value, on a nonrecurring basis, as of and for the year ended December 26, 2018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2"/>
              </w:rPr>
              <w:t>Fair Value Measurements Using</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519"/>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Impairment Losses</w:t>
            </w: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5,147</w:t>
            </w:r>
          </w:p>
        </w:tc>
      </w:tr>
      <w:tr>
        <w:trPr>
          <w:trHeight w:val="27"/>
        </w:trPr>
        <w:tc>
          <w:tcPr>
            <w:tcW w:w="3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non-financial instruments were measured at fair value, on a nonrecurring basis, as of and for the year ended December 27, 2017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2"/>
              </w:rPr>
              <w:t>Fair Value Measurements Using</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Impairment Losses</w:t>
            </w: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32,594</w:t>
            </w:r>
          </w:p>
        </w:tc>
      </w:tr>
      <w:tr>
        <w:trPr>
          <w:trHeight w:val="27"/>
        </w:trPr>
        <w:tc>
          <w:tcPr>
            <w:tcW w:w="3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non-financial instruments were measured at fair value, on a nonrecurring basis, as of and for the year ended December 28, 2016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602"/>
              <w:spacing w:after="0"/>
              <w:rPr>
                <w:sz w:val="20"/>
                <w:szCs w:val="20"/>
                <w:color w:val="auto"/>
              </w:rPr>
            </w:pPr>
            <w:r>
              <w:rPr>
                <w:rFonts w:ascii="Arial" w:cs="Arial" w:eastAsia="Arial" w:hAnsi="Arial"/>
                <w:sz w:val="14"/>
                <w:szCs w:val="14"/>
                <w:b w:val="1"/>
                <w:bCs w:val="1"/>
                <w:color w:val="auto"/>
                <w:w w:val="92"/>
              </w:rPr>
              <w:t>Fair Value Measurements Using</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36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519"/>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Impairment Losses</w:t>
            </w: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1,614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8,400</w:t>
            </w:r>
          </w:p>
        </w:tc>
      </w:tr>
      <w:tr>
        <w:trPr>
          <w:trHeight w:val="27"/>
        </w:trPr>
        <w:tc>
          <w:tcPr>
            <w:tcW w:w="3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fiscal 2018, 2017 and 2016, the Company recorded $5.1 million, $32.6 million and $8.4 million, respectively, of expenses related to the impairment of assets. This was primarily related to the carrying value of the assets of four restaurants, in Arizona, California and Texas during fiscal 2018, the carrying value of the assets of 21 restaurants in Arizona, California and Texas, as well as the strategic decision to close two restaurants in Texas, in fiscal 2017 and nine restaurants in Arizona, California and Texas in fiscal 2016. These impairment charges resulted primarily from our annual impairment testing of long-lived assets, except for the two restaurant closings in Texas in fiscal 2017 noted above. The fair value measurements used in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29"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these impairment evaluations were based on discounted cash flow estimates using unobservable Level 3 inputs, based on market assumptions.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carrying amounts of cash and cash equivalents, accounts receivable, accounts payable and certain accrued expenses approximate fair value due to their short-term maturities. The recorded value of the TRA approximates fair value, based on borrowing rates currently available to the Company for debts with similar terms and remaining maturities (Level 3 measurement).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Accounting literature requires the recognition of compensation expense using a fair-value based method for costs related to all share-based payments including stock options and restricted stock issued under the Company’s employee stock plans. The guidance also requires companies to estimate the fair value of stock option awards on the date of grant using an option pricing model, which require the input of subjective assumptions. The Company is required to use judgment in estimating the amount of stock-based awards that are expected to be forfeited. If actual forfeitures differ significantly from the original estimate, stock-based compensation expense and the results of operations could be affected. The cost is recognized on a straight-line basis over the period during which an employee is required to provide service, usually the vesting period. For options or restricted shares that are based on a performance requirement, the cost is recognized on an accelerated basis over the period to which the performance criteria relate.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Earnings per share (“EPS”) is calculated using the weighted average number of common shares outstanding during each period. Diluted EPS assumes the conversion, exercise or issuance of all potential common stock equivalents unless the effect is to reduce a loss or increase the income per share. For purposes of this calculation, options and restricted stock awards are considered to be common stock equivalents and are only included in the calculation of diluted earnings per share when their effect is dilutive. The shares used to compute basic and diluted net income per share represent the weighted-average common shares outstanding.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May 2014, the Financial Accounting Standards Board ("FASB") issued ASU No. 2014-09, “Revenue from Contracts with Customers (Topic 606),"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requires more judgment and estimates within the revenue recognition process.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28, 2017, the Company adopted ASU 2014-09 using the modified retrospective method applied to those contracts, which were not fully satisfied as of December 28, 2017. Results for reporting periods beginning after December 28, 2017, are presented under Topic 606, while prior period amounts are not adjusted and continue to be reported in accordance with our historic accounting under Topic 605. The Company has recognized an adjustment to retained earnings, related to the cumulative effect of adopting ASU 2014-09 at the date of adoption. The adoption of ASU 2014-09 did not have a material impact to its consolidated statement of operations, and the cumulative catch-up adjustment recorded to accumulated deficit was $3.5 million, or 1% of total assets.</w:t>
      </w:r>
    </w:p>
    <w:p>
      <w:pPr>
        <w:spacing w:after="0" w:line="8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the FASB issued the following Technical Corrections, Practical Expedients and Targeted Improvements to Topic 606, Revenue from Contracts with Customers: ASU No. 2017-14 in November 2017, ASU No. 2017-13 in September 2017, ASU No. 2016-20, in December 2016, ASU No. 2016-12, in May 2016 and ASU No. 2016-10, in April 2016 (together with ASU 2014-09 referred to as "Topic 606"). All amendments are effective for financial statements issued for annual periods beginning after December 15, 2017, including interim periods within those annual periods.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information and discussion of the impact of the adoption of Topic 606 on revenue recognition, see "Changes in Accounting Policies" below and "Note 15. Revenue from Contracts with Customers".</w:t>
      </w:r>
    </w:p>
    <w:p>
      <w:pPr>
        <w:spacing w:after="0" w:line="6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("ASU 2017-09"), which provides clarity, reduces diversity in practice, and reduces cost and complexity when applying the guidance in Topic 718 Compensation—Stock Compensation, regarding a change to the terms or conditions of a</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29"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share-based payment award. Specifically, an entity is to account for the effects of a modification, unless all of the following are satisfied: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as a liability instrument is the same as the classification of the original award immediately before the original award is modified. The Company adopted ASU 2017-09 in the first quarter of 2018. The adoption of ASU 2017-09 did not have a significant impact on the Company’s consolidated financial position or results of operations.</w:t>
      </w:r>
    </w:p>
    <w:p>
      <w:pPr>
        <w:spacing w:after="0" w:line="7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("ASU 2017-01"). ASU 2017-01 clarifies the definition of a business with the objective of adding guidance to assist entities with evaluating whether transactions should be accounted for as acquisitions (or disposals) of assets or businesses. The Company adopted ASU 2017-01 in the first quarter of 2018. The adoption of ASU 2017-01 did not have a significant impact on the Company’s consolidated financial position or results of operations.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("ASU 2017-04"), simplifying the manner in which an entity is required to test for goodwill impairment by eliminating Step 2 from the goodwill impairment test. The Company adopted ASU 2017-04 in the fourth quarter of 2018. The adoption of ASU 2017-04 did not have a significant impact on the Company’s consolidated financial position or results of operations.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2016, the FASB issued ASU No. 2016-18, "Restricted Cash" ("ASU 2016-18"). ASU 2016-18 addresses the diversity in practice that exists regarding the classification and the presentation of changes in restricted cash on the statements of cash flows under Topic 230, Statements of Cash Flow, and other Topics. The amendments in ASU 2016-18 require that amounts generally described as restricted cash and restricted cash equivalents should be included with cash and cash equivalents when reconciling the beginning-of-period and the end-of-period total amounts set forth on the statements of cash flows. The Company adopted ASU 2016-18 in the first quarter of 2018. The adoption of ASU 2016-18 did not have a significant impact on the Company’s consolidated financial position or results of operations.</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2016, the FASB issued ASU No. 2016-15, "Classification of Certain Cash Receipts and Cash Payments" ("ASU 2016-15"). ASU 2016-15 addresses how certain cash receipts and cash payments are presented and classified in the statements of cash flows under Topic 230, Statements of Cash Flow, and other Topics. The Company adopted ASU 2016-15 in the first quarter of 2018. The adoption of ASU 2016-15 did not have a significant impact on the Company’s consolidated financial position or results of operations.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2016, the FASB issued ASU No. 2016-01, "Financial Instruments – Overall: Recognition and Measurement of Financial Assets and Financial Liabilities" ("ASU 2016-01"). ASU 2016-01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 Company adopted ASU 2016-01 in the first quarter of 2018. The adoption of ASU 2016-01 did not have a significant impact on the Company’s consolidated financial position or results of operations.</w:t>
      </w:r>
    </w:p>
    <w:p>
      <w:pPr>
        <w:spacing w:after="0" w:line="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December 22, 2017, the U.S. government enacted comprehensive tax legislation commonly referred to as the Tax Cuts and Jobs Act, (the "Tax Act"). The Tax Act makes broad and complex changes to the U.S. tax code. On December 22, 2017, the Securities and Exchange Commission (“SEC") issued guidance in Staff Accounting Bulletin No. 118, ("SAB 118"), to address certain fact patterns where the accounting for changes in tax laws or tax rates under FASB ASC Topic 740, Income Taxes (“ASC 740”) is incomplete upon issuance of an entity's financial statements for the reporting period in which the Tax Act is enacted. As permitted in SAB 118, in 2017, the Company took a measurement period approach and reported certain provisional amounts, based on reasonable estimates, for certain tax effects in which the accounting under ASC 740 is incomplete. Such provisional amounts are subject to adjustment during a limited measurement period, not to extend one year beyond the tax law enactment date, until the accounting under ASC 740 is complete. The Company completed the accounting required under ASC 740 in 2018; however as new guidance and interpretations of the tax law become available, any further adjustments related to the enacted tax laws could result in a material adverse impact on the Company's net income and our financial position in 2019.</w:t>
      </w:r>
    </w:p>
    <w:p>
      <w:pPr>
        <w:spacing w:after="0" w:line="5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March 2018, the FASB issued ASU No. 2018-05, "Income Taxes (Topic 740): Amendments to SEC Paragraphs Pursuant to SEC Staff Accounting Bulletin No. 118" ("ASU 2018-05"). The amendments in ASU 2018-05 amend the SEC paragraphs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29" w:right="2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375" w:lineRule="auto"/>
        <w:rPr>
          <w:sz w:val="20"/>
          <w:szCs w:val="20"/>
          <w:color w:val="auto"/>
        </w:rPr>
      </w:pPr>
      <w:r>
        <w:rPr>
          <w:rFonts w:ascii="Arial" w:cs="Arial" w:eastAsia="Arial" w:hAnsi="Arial"/>
          <w:sz w:val="18"/>
          <w:szCs w:val="18"/>
          <w:color w:val="auto"/>
        </w:rPr>
        <w:t xml:space="preserve">included in Topic 740 to be consistent with the guidance in SAB 118, which the Company adopted in the year ended December 27, 2017, as described above. </w:t>
      </w:r>
      <w:r>
        <w:rPr>
          <w:rFonts w:ascii="Arial" w:cs="Arial" w:eastAsia="Arial" w:hAnsi="Arial"/>
          <w:sz w:val="18"/>
          <w:szCs w:val="18"/>
          <w:b w:val="1"/>
          <w:bCs w:val="1"/>
          <w:color w:val="auto"/>
        </w:rPr>
        <w:t>Recent Accounting Pronouncements Not Yet Adopted</w:t>
      </w:r>
    </w:p>
    <w:p>
      <w:pPr>
        <w:spacing w:after="0" w:line="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Company anticipates its first presentation of changes in shareholders' equity will be included in its Form 10-Q for the first quarter of fiscal year 2019.</w:t>
      </w:r>
    </w:p>
    <w:p>
      <w:pPr>
        <w:spacing w:after="0" w:line="5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("ASU 2018-07"), which expands the scope of Topic 718 to include share-based payment transactions for acquiring goods and services from non-employees. ASU 2018-07 is effective for financial statements issued for annual periods beginning after December 15, 2018, and for the interim periods therein. The adoption of ASU 2018-07 is not expected to have a significant impact on the Company’s consolidated financial position or results of operations.</w:t>
      </w:r>
    </w:p>
    <w:p>
      <w:pPr>
        <w:spacing w:after="0" w:line="4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February 2016, the FASB issued ASU No. 2016-02, “Leases" ("ASU 2016-02").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statement of operations. The new standard is effective for fiscal years beginning after December 15, 2018, including interim periods within those fiscal years. The Company will adopt these provisions in the first quarter of 2019, electing the transition method that allows us to apply the standard as of the adoption date and record a cumulative adjustment in retained earnings, if applicable. We have elected the package of practical expedients permitted under the transition guidance within the new guidance, which among other things, allows us to carryforward the historical lease classification. The Company has $266.5 million of operating lease obligations as of December 26, 2018, and upon adoption of this standard will record a ROU asset and lease liability equal to the present value of these leases, which will have a material impact on the consolidated balance sheet. However, the recognition of lease expense in the consolidated statement of operations is not expected to change from the current methodology and no significant changes are expected to the consolidated statement of cash flows upon the adoption of ASU 2016-02.</w:t>
      </w:r>
    </w:p>
    <w:p>
      <w:pPr>
        <w:spacing w:after="0" w:line="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July 2018, the FASB issued ASU No. 2018-10, "Codification Improvements to Topic 842, Leases," ("ASU 2018-10"), to clarify how to apply certain aspects of the new lease accounting standard. The amendments in this update, among other things, better articulates the requirement for a lessee's reassessment of lease classification as of the effective date of a modification, clarifies that a change to an index or rate for variable lease payments does not constitute a resolution of a contingency that would result in the remeasurement of lease payments, and requires entities that apply Topic 842 retrospectively to each reporting period and do not adopt the practical expedients to write off any prior unamortized initial direct costs that do not meet the definition under Topic 842 to equity. The amendments in this update have the same effective date and transition requirements as the new lease standard summarized above. The Company has disclosed the impact of adoption of Topic 842 on the Company’s consolidated financial position and results of operations as stated above.</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Also, in July 2018, the FASB issued ASU No. 2018-11, "Leases (Topic 842): Targeted Improvements," ("ASU 2018-11"), to provide an additional transition method. An entity can now elect not to present comparative financial information under Topic 842 if it recognizes a cumulative-effect adjustment to retained earnings upon adoption. The Company intends to make this election. The amendments in these update are effective for the Company for fiscal years beginning after December 15, 2018, including interim periods within those years, with early adoption permitted. The Company has performed an assessment of the impact of the adoption of the amendments in these updates on the Company's consolidated financial position and results of operations for the Company's leases, which primarily consist of restaurant operating leases and corporate office leases. Based on that assessment, the Company has established that the adoption of Topic 842 will result in the recognition of a significant increase to the balance sheet for right-of-use assets and lease liabilities as of December 27, 2018 based on the present value of future minimum lease payments. Also, the impacts from the adoption of Topic 842 to the Company's accumulated deficit as of December 27, 2018 and to consolidated results of operations for the year ending December 25, 2019 are not expected to be material.</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Except for the changes below, the Company has consistently applied the accounting policies to all periods presented in these consolidated financial statements.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29" w:right="25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adopted Topic 606, with a date of initial application of December 28, 2017. As a result, the Company has changed its accounting policy for revenue recognition as detailed below.</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generates a substantial amount of its revenues from company-operated restaurants. This revenue stream was not impacted by the adoption of Topic 606.</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applied Topic 606 using the modified retrospective method by recognizing the cumulative effect of initially applying Topic 606 as an adjustment to the opening balance of equity at December 28, 2017. Therefore, the comparative information has not been adjusted and continues to be reported under Topic 605. The details of the significant changes and quantitative impact of the changes are set out below and in "Note 15. Revenue from Contracts with Customers."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and IT support services. Rental income for subleases to franchisees are outside of the scope of the revenue standard and are within the scope of lease guidance. Franchise royalties are based upon a percentage of net sales of the franchisee and were previously recorded as income as such sales are earned by the franchisees, which does not change with the adoption of Topic 606.</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franchise and development agreement fees, the Company's previous accounting policy was to recognize initial franchise fees, development fees, and franchise agreement renewals when all material obligations had been performed and conditions had been satisfied, typically when operations of the franchised restaurant had commenced. In accordance with the new guidance, the initial franchise services, or exclusivity of the development agreements, are not distinct from the continuing rights or services offered during the term of the franchise agreement, and are therefore treated as a single performance obligation. As such, initial franchise and development fees received, and subsequent renewal fees, are recognized over the franchise or renewal term, which is typically twenty years. As of December 26, 2018, the Company had executed development agreements that represent commitments to open 44 franchised restaurants at various dates through 2022.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Advertising Fee Revenue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previous accounting policy was to recognize advertising funded by franchisees on a net basis in the consolidated statements of operations, and as a liability within the consolidated balance sheets. Under the new guidance, the Company presents advertising contributions received from franchisees as franchise advertising fee revenue and records all expenses of the advertising fund within franchise expenses, resulting in an increase in revenues and expenses on the consolidated statements of operations, with no change to the consolidated balance sheets.</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adoption of this guidance did not have a material change on revenue from Company-operated restaurant revenue, gift cards or the Company's loyalty program.</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impacts of adopting Topic 606 on the Company’s consolidated financial statements as of and for the twelve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2018:</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29"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6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88"/>
              </w:rPr>
              <w:t>Impact of changes in accounting policies</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Balances without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adoption of Topic</w:t>
            </w:r>
          </w:p>
        </w:tc>
        <w:tc>
          <w:tcPr>
            <w:tcW w:w="0" w:type="dxa"/>
            <w:vAlign w:val="bottom"/>
          </w:tcPr>
          <w:p>
            <w:pPr>
              <w:spacing w:after="0"/>
              <w:rPr>
                <w:sz w:val="1"/>
                <w:szCs w:val="1"/>
                <w:color w:val="auto"/>
              </w:rPr>
            </w:pPr>
          </w:p>
        </w:tc>
      </w:tr>
      <w:tr>
        <w:trPr>
          <w:trHeight w:val="234"/>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December 26, 2018 (in thousands)</w:t>
            </w: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20"/>
                <w:szCs w:val="20"/>
                <w:color w:val="auto"/>
              </w:rPr>
            </w:pPr>
          </w:p>
        </w:tc>
        <w:tc>
          <w:tcPr>
            <w:tcW w:w="110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606</w:t>
            </w:r>
          </w:p>
        </w:tc>
        <w:tc>
          <w:tcPr>
            <w:tcW w:w="0" w:type="dxa"/>
            <w:vAlign w:val="bottom"/>
          </w:tcPr>
          <w:p>
            <w:pPr>
              <w:spacing w:after="0"/>
              <w:rPr>
                <w:sz w:val="1"/>
                <w:szCs w:val="1"/>
                <w:color w:val="auto"/>
              </w:rPr>
            </w:pPr>
          </w:p>
        </w:tc>
      </w:tr>
      <w:tr>
        <w:trPr>
          <w:trHeight w:val="27"/>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9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450,226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448,954</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51,395</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82,534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184,990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180,251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(110,888)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(107,421)</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268,703</w:t>
            </w:r>
          </w:p>
        </w:tc>
        <w:tc>
          <w:tcPr>
            <w:tcW w:w="0" w:type="dxa"/>
            <w:vAlign w:val="bottom"/>
          </w:tcPr>
          <w:p>
            <w:pPr>
              <w:spacing w:after="0"/>
              <w:rPr>
                <w:sz w:val="1"/>
                <w:szCs w:val="1"/>
                <w:color w:val="auto"/>
              </w:rPr>
            </w:pP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450,226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448,954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7"/>
          </w:tcPr>
          <w:p>
            <w:pPr>
              <w:jc w:val="right"/>
              <w:ind w:right="790"/>
              <w:spacing w:after="0"/>
              <w:rPr>
                <w:sz w:val="20"/>
                <w:szCs w:val="20"/>
                <w:color w:val="auto"/>
              </w:rPr>
            </w:pPr>
            <w:r>
              <w:rPr>
                <w:rFonts w:ascii="Arial" w:cs="Arial" w:eastAsia="Arial" w:hAnsi="Arial"/>
                <w:sz w:val="18"/>
                <w:szCs w:val="18"/>
                <w:b w:val="1"/>
                <w:bCs w:val="1"/>
                <w:color w:val="auto"/>
              </w:rPr>
              <w:t>Impact of changes in accounting policies</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Balances without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adoption of Topic</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26, 2018 (in thousands)</w:t>
            </w: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606</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Franchise advertising fee revenue</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21,222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435,828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414,440</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Cost of operations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expenses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445,289</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21,222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424,067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Development Option Agreement with Related Party</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July 11, 2014, EPL and LLC entered into a Franchise Development Option Agreement relating to development of our restaurants in the New York– Newark, NY–NJ–CT–PA Combined Statistical Area (the “Territory”). EPL granted LLC the exclusive option to develop and open 15 restaurants in the Territory over five years (the “Initial Option”), and, provided that the Initial Option is exercised, the exclusive option to develop and open up to an additional 100 restaurants in the Territory over ten years. The Franchise Development Option Agreement terminates (i) ten years after execution, or (ii) if the Initial Option is exercised, five years after that exercise. LLC may only exercise the Initial Option if EPL first determines to begin development of company-operated restaurants in the Territory or support the development of the Territory. We have no current intention to begin development in the Territory and as of December 26, 2018, no stores have been opened in the Territory.</w:t>
      </w:r>
    </w:p>
    <w:p>
      <w:pPr>
        <w:sectPr>
          <w:pgSz w:w="11900" w:h="16838" w:orient="portrait"/>
          <w:cols w:equalWidth="0" w:num="1">
            <w:col w:w="11400"/>
          </w:cols>
          <w:pgMar w:left="240" w:top="22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229" w:right="25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27,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156,806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124,056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8,225</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(144,034)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(106,522)</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Depreciation expense was $17.8 million, $18.1 million and $16.1 million for the years ended December 26, 2018, December 27, 2017, and December 28, 2016, respectively.</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$5.1 million, $32.6 million and $8.4 million for the years ended December 26, 2018, December 27, 2017, and December 28, 2016, respectively.</w:t>
      </w:r>
    </w:p>
    <w:p>
      <w:pPr>
        <w:spacing w:after="0" w:line="275" w:lineRule="exact"/>
        <w:rPr>
          <w:sz w:val="20"/>
          <w:szCs w:val="20"/>
          <w:color w:val="auto"/>
        </w:rPr>
      </w:pPr>
    </w:p>
    <w:p>
      <w:pPr>
        <w:ind w:right="5700"/>
        <w:spacing w:after="0" w:line="407" w:lineRule="auto"/>
        <w:rPr>
          <w:sz w:val="20"/>
          <w:szCs w:val="20"/>
          <w:color w:val="auto"/>
        </w:rPr>
      </w:pPr>
      <w:r>
        <w:rPr>
          <w:rFonts w:ascii="Arial" w:cs="Arial" w:eastAsia="Arial" w:hAnsi="Arial"/>
          <w:sz w:val="18"/>
          <w:szCs w:val="18"/>
          <w:b w:val="1"/>
          <w:bCs w:val="1"/>
          <w:color w:val="auto"/>
        </w:rPr>
        <w:t xml:space="preserve">4. TRADEMARKS, OTHER INTANGIBLE ASSETS AND LIABILITIES </w:t>
      </w:r>
      <w:r>
        <w:rPr>
          <w:rFonts w:ascii="Arial" w:cs="Arial" w:eastAsia="Arial" w:hAnsi="Arial"/>
          <w:sz w:val="18"/>
          <w:szCs w:val="18"/>
          <w:color w:val="auto"/>
        </w:rPr>
        <w:t>Domestic trademarks consist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120,700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 charges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intangible assets subject to amortization consist of the following (in thousands):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24"/>
                <w:szCs w:val="24"/>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leasehold interest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favorable leasehold interest,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Unfavorable leasehold interest liability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Unfavorable leasehold interest liability,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estimated net amortization credits (net liability) for the Company’s favorable and unfavorable leasehold interests for each of the five succeeding fiscal years and thereafter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 the Years Ending</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Favorable Leasehold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right"/>
              <w:ind w:right="234"/>
              <w:spacing w:after="0"/>
              <w:rPr>
                <w:sz w:val="20"/>
                <w:szCs w:val="20"/>
                <w:color w:val="auto"/>
              </w:rPr>
            </w:pPr>
            <w:r>
              <w:rPr>
                <w:rFonts w:ascii="Arial" w:cs="Arial" w:eastAsia="Arial" w:hAnsi="Arial"/>
                <w:sz w:val="14"/>
                <w:szCs w:val="14"/>
                <w:b w:val="1"/>
                <w:bCs w:val="1"/>
                <w:color w:val="auto"/>
                <w:w w:val="97"/>
              </w:rPr>
              <w:t>Unfavorable Leasehold</w:t>
            </w:r>
          </w:p>
        </w:tc>
        <w:tc>
          <w:tcPr>
            <w:tcW w:w="0" w:type="dxa"/>
            <w:vAlign w:val="bottom"/>
          </w:tcPr>
          <w:p>
            <w:pPr>
              <w:spacing w:after="0"/>
              <w:rPr>
                <w:sz w:val="1"/>
                <w:szCs w:val="1"/>
                <w:color w:val="auto"/>
              </w:rPr>
            </w:pPr>
          </w:p>
        </w:tc>
      </w:tr>
      <w:tr>
        <w:trPr>
          <w:trHeight w:val="158"/>
        </w:trPr>
        <w:tc>
          <w:tcPr>
            <w:tcW w:w="7200" w:type="dxa"/>
            <w:vAlign w:val="bottom"/>
            <w:gridSpan w:val="3"/>
            <w:vMerge w:val="continue"/>
          </w:tcPr>
          <w:p>
            <w:pPr>
              <w:spacing w:after="0"/>
              <w:rPr>
                <w:sz w:val="13"/>
                <w:szCs w:val="13"/>
                <w:color w:val="auto"/>
              </w:rPr>
            </w:pPr>
          </w:p>
        </w:tc>
        <w:tc>
          <w:tcPr>
            <w:tcW w:w="1680" w:type="dxa"/>
            <w:vAlign w:val="bottom"/>
          </w:tcPr>
          <w:p>
            <w:pPr>
              <w:jc w:val="right"/>
              <w:ind w:right="319"/>
              <w:spacing w:after="0" w:line="158" w:lineRule="exact"/>
              <w:rPr>
                <w:sz w:val="20"/>
                <w:szCs w:val="20"/>
                <w:color w:val="auto"/>
              </w:rPr>
            </w:pPr>
            <w:r>
              <w:rPr>
                <w:rFonts w:ascii="Arial" w:cs="Arial" w:eastAsia="Arial" w:hAnsi="Arial"/>
                <w:sz w:val="14"/>
                <w:szCs w:val="14"/>
                <w:b w:val="1"/>
                <w:bCs w:val="1"/>
                <w:color w:val="auto"/>
              </w:rPr>
              <w:t>Interest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jc w:val="right"/>
              <w:ind w:right="694"/>
              <w:spacing w:after="0" w:line="158"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25, 2019</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December 30, 2020</w:t>
            </w:r>
          </w:p>
        </w:tc>
        <w:tc>
          <w:tcPr>
            <w:tcW w:w="16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29, 2021</w:t>
            </w:r>
          </w:p>
        </w:tc>
        <w:tc>
          <w:tcPr>
            <w:tcW w:w="1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December 28, 2022</w:t>
            </w:r>
          </w:p>
        </w:tc>
        <w:tc>
          <w:tcPr>
            <w:tcW w:w="16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28, 2023</w:t>
            </w:r>
          </w:p>
        </w:tc>
        <w:tc>
          <w:tcPr>
            <w:tcW w:w="16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168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229"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amortization expense for the years ended December 26, 2018, December 27, 2017, and December 28, 2016 was less than $0.1 million for fiscal 2018 and $0.1 million, in each of fiscal 2017 and fiscal 2016. The remaining weighted average amortization periods of the favorable leasehold interest and the unfavorable leasehold liability are two years and three years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operations utilize property, facilities, equipment and vehicles owned by the Company or leased from others. Buildings and facilities leased from others are primarily for restaurants and support facilities. Restaurants are operated under lease arrangements that generally provide for a fixed base rent and, in some instances, contingent rent based on a percentage of gross operating profit or net revenues in excess of a defined amount. Initial terms of land and restaurant building leases generally have terms of 20 years, exclusive of options to renew. Leases of equipment primarily consist of restaurant equipment, computer systems and vehicles. The Company subleases facilities to certain franchisees and other non-related parties which are recorded on a straight-line basis.</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Information regarding the Company’s future lease obligations at December 26, 2018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Capital Leases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915"/>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100" w:type="dxa"/>
            <w:vAlign w:val="bottom"/>
          </w:tcPr>
          <w:p>
            <w:pPr>
              <w:jc w:val="center"/>
              <w:ind w:left="320"/>
              <w:spacing w:after="0" w:line="153" w:lineRule="exact"/>
              <w:rPr>
                <w:sz w:val="20"/>
                <w:szCs w:val="20"/>
                <w:color w:val="auto"/>
              </w:rPr>
            </w:pPr>
            <w:r>
              <w:rPr>
                <w:rFonts w:ascii="Arial" w:cs="Arial" w:eastAsia="Arial" w:hAnsi="Arial"/>
                <w:sz w:val="14"/>
                <w:szCs w:val="14"/>
                <w:b w:val="1"/>
                <w:bCs w:val="1"/>
                <w:color w:val="auto"/>
              </w:rPr>
              <w:t>Minimum</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3"/>
                <w:szCs w:val="13"/>
                <w:color w:val="auto"/>
              </w:rPr>
            </w:pPr>
          </w:p>
        </w:tc>
        <w:tc>
          <w:tcPr>
            <w:tcW w:w="136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rPr>
              <w:t>Minimum</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For the Years Ending</w:t>
            </w:r>
          </w:p>
        </w:tc>
        <w:tc>
          <w:tcPr>
            <w:tcW w:w="110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90"/>
              </w:rPr>
              <w:t>Lease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Lease</w:t>
            </w:r>
          </w:p>
        </w:tc>
        <w:tc>
          <w:tcPr>
            <w:tcW w:w="140" w:type="dxa"/>
            <w:vAlign w:val="bottom"/>
          </w:tcPr>
          <w:p>
            <w:pPr>
              <w:spacing w:after="0"/>
              <w:rPr>
                <w:sz w:val="12"/>
                <w:szCs w:val="12"/>
                <w:color w:val="auto"/>
              </w:rPr>
            </w:pPr>
          </w:p>
        </w:tc>
        <w:tc>
          <w:tcPr>
            <w:tcW w:w="13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7"/>
              </w:rPr>
              <w:t>Sublease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4"/>
            <w:vMerge w:val="continue"/>
          </w:tcPr>
          <w:p>
            <w:pPr>
              <w:spacing w:after="0"/>
              <w:rPr>
                <w:sz w:val="13"/>
                <w:szCs w:val="13"/>
                <w:color w:val="auto"/>
              </w:rPr>
            </w:pPr>
          </w:p>
        </w:tc>
        <w:tc>
          <w:tcPr>
            <w:tcW w:w="1100" w:type="dxa"/>
            <w:vAlign w:val="bottom"/>
          </w:tcPr>
          <w:p>
            <w:pPr>
              <w:jc w:val="center"/>
              <w:ind w:left="340"/>
              <w:spacing w:after="0" w:line="158" w:lineRule="exact"/>
              <w:rPr>
                <w:sz w:val="20"/>
                <w:szCs w:val="20"/>
                <w:color w:val="auto"/>
              </w:rPr>
            </w:pPr>
            <w:r>
              <w:rPr>
                <w:rFonts w:ascii="Arial" w:cs="Arial" w:eastAsia="Arial" w:hAnsi="Arial"/>
                <w:sz w:val="14"/>
                <w:szCs w:val="14"/>
                <w:b w:val="1"/>
                <w:bCs w:val="1"/>
                <w:color w:val="auto"/>
                <w:w w:val="90"/>
              </w:rPr>
              <w:t>Payments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Payments</w:t>
            </w:r>
          </w:p>
        </w:tc>
        <w:tc>
          <w:tcPr>
            <w:tcW w:w="140" w:type="dxa"/>
            <w:vAlign w:val="bottom"/>
          </w:tcPr>
          <w:p>
            <w:pPr>
              <w:spacing w:after="0"/>
              <w:rPr>
                <w:sz w:val="13"/>
                <w:szCs w:val="13"/>
                <w:color w:val="auto"/>
              </w:rPr>
            </w:pPr>
          </w:p>
        </w:tc>
        <w:tc>
          <w:tcPr>
            <w:tcW w:w="136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December 25, 2019</w:t>
            </w: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December 30, 2020</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December 29, 2021</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December 28, 2022</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December 28, 2023</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Thereafter</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150,342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2,612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248</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8,231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8"/>
                <w:szCs w:val="18"/>
                <w:color w:val="auto"/>
              </w:rPr>
              <w:t>Less: imputed interest (11.0% to 11.1%)</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4"/>
            <w:vMerge w:val="continue"/>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Present value of capital lease obligations</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Less: current maturities</w:t>
            </w: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100" w:type="dxa"/>
            <w:vAlign w:val="bottom"/>
            <w:tcBorders>
              <w:bottom w:val="single" w:sz="8" w:color="CCEEFF"/>
            </w:tcBorders>
            <w:shd w:val="clear" w:color="auto" w:fill="CCEEFF"/>
          </w:tcPr>
          <w:p>
            <w:pPr>
              <w:jc w:val="right"/>
              <w:ind w:right="90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Net rent expense is as follows (in thousands):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60" w:type="dxa"/>
            <w:vAlign w:val="bottom"/>
            <w:gridSpan w:val="4"/>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December 26, 2018</w:t>
            </w:r>
          </w:p>
        </w:tc>
        <w:tc>
          <w:tcPr>
            <w:tcW w:w="140" w:type="dxa"/>
            <w:vAlign w:val="bottom"/>
          </w:tcPr>
          <w:p>
            <w:pPr>
              <w:spacing w:after="0"/>
              <w:rPr>
                <w:sz w:val="24"/>
                <w:szCs w:val="24"/>
                <w:color w:val="auto"/>
              </w:rPr>
            </w:pPr>
          </w:p>
        </w:tc>
        <w:tc>
          <w:tcPr>
            <w:tcW w:w="1360" w:type="dxa"/>
            <w:vAlign w:val="bottom"/>
          </w:tcPr>
          <w:p>
            <w:pPr>
              <w:jc w:val="right"/>
              <w:ind w:right="115"/>
              <w:spacing w:after="0"/>
              <w:rPr>
                <w:sz w:val="20"/>
                <w:szCs w:val="20"/>
                <w:color w:val="auto"/>
              </w:rPr>
            </w:pPr>
            <w:r>
              <w:rPr>
                <w:rFonts w:ascii="Arial" w:cs="Arial" w:eastAsia="Arial" w:hAnsi="Arial"/>
                <w:sz w:val="14"/>
                <w:szCs w:val="14"/>
                <w:b w:val="1"/>
                <w:bCs w:val="1"/>
                <w:color w:val="auto"/>
                <w:w w:val="90"/>
              </w:rPr>
              <w:t>December 27, 2017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Base rent</w:t>
            </w: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25,591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24,384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22,089</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Contingent rent</w:t>
            </w: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sublease income</w:t>
            </w:r>
          </w:p>
        </w:tc>
        <w:tc>
          <w:tcPr>
            <w:tcW w:w="1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Net rent expense</w:t>
            </w: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23,655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22,309</w:t>
            </w:r>
          </w:p>
        </w:tc>
        <w:tc>
          <w:tcPr>
            <w:tcW w:w="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Base rent and contingent rent are included in occupancy and other operating expenses, while sublease income is included in franchise revenue in the accompanying consolidated statements of operations. Sublease income includes contingent rental income of $0.7 million, $0.8 million, and $1.0 million for fiscal 2018, 2017, and 2016, respectively.</w:t>
      </w:r>
    </w:p>
    <w:p>
      <w:pPr>
        <w:spacing w:after="0" w:line="73"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The Company is a lessor for certain property, facilities and equipment owned by the Company and leased to others, principally franchisees, under noncancelable leases with initial terms ranging from 3 to 20 years. The lease agreements generally provide for a fixed base rent and, in some instances, contingent rent based on a percentage of gross operating profit or net revenues. Total rental income included in franchise revenue in the accompanying consolidated statements of operations for leased property was $0.5 million, $0.5 million and $0.5 million for fiscal 2018,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Minimum future rental income for company-owned properties under noncancelable operating leases, which is recorded on a straight-line basis, in effect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2018, is as follows (in thousands):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29"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Ending</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25, 2019</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December 30, 2020</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29, 2021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December 28, 2022</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276</w:t>
            </w: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28, 2023</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2,673</w:t>
            </w: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future minimum rental income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CURRENT CREDIT AGREEMENTS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provided for the $200.0 million five-year 2014 Revolver. The 2014 Revolver included a sub limit of $15.0 million for letters of credit and a sub limit of $15.0 million for swingline loans.</w:t>
      </w:r>
    </w:p>
    <w:p>
      <w:pPr>
        <w:spacing w:after="0" w:line="7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On July 13, 2018, the Company refinanced the 2014 Revolver, pursuant to the 2018 Credit Agreement among EPL, as borrower, and the Company and Intermediate, as guarantors, Bank of America, N.A., as administrative agent, swingline lender, and letter of credit issuer, the lenders party thereto, and the other parties thereto, which provides for the $150.0 million five-year 2018 Revolver. The 2018 Revolver includes a sub limit of $15.0 million for letters of credit and a sub limit of $15.0 million for swingline loans.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Borrowings under the 2018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the range of 0.25% to 1.25%. For borrowings under both the 2014 Revolver and the 2018 Revolver during fiscal 2018, the interest rate range was 3.3% to 4.0%. For borrowings under the 2014 Revolver during fiscal 2017, the interest rate range was 2.4% to 3.3%. The interest rate under the 2018 Revolver was 4.0% at December 26, 2018 and 3.3% under the 2014 Revolver at December 27, 2017.</w:t>
      </w:r>
    </w:p>
    <w:p>
      <w:pPr>
        <w:spacing w:after="0" w:line="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2018 Credit Agreement contains certain financial covenants. The Company was in compliance with all such covenants at December 26, 2018. See Note 1 for restrictions on the payment of dividends under the 2018 Credit Agreement. At December 26, 2018, $8.5 million of letters of credit and $74.0 million of the revolving line of credit were outstanding. The amount available under the revolving line of credit was $67.5 million at December 26,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July 13, 2018, the Company refinanced the 2014 Revolver pursuant to the 2018 Credit Agreement. The 2018 Revolver and 2018 Credit Agreement will mature on July 13, 2023. There are no required principal payments prior to maturity for the 2018 Revolver.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December 26, 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3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Accrued legal settlements and professional fees</w:t>
            </w:r>
          </w:p>
        </w:tc>
        <w:tc>
          <w:tcPr>
            <w:tcW w:w="3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38,639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Gift card liability</w:t>
            </w:r>
          </w:p>
        </w:tc>
        <w:tc>
          <w:tcPr>
            <w:tcW w:w="3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w:t>
            </w:r>
          </w:p>
        </w:tc>
        <w:tc>
          <w:tcPr>
            <w:tcW w:w="3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3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6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8. 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Deferred franchise and development fees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noncurrent liabilities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7"/>
        </w:trPr>
        <w:tc>
          <w:tcPr>
            <w:tcW w:w="6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gridSpan w:val="3"/>
          </w:tcPr>
          <w:p>
            <w:pPr>
              <w:spacing w:after="0"/>
              <w:rPr>
                <w:sz w:val="20"/>
                <w:szCs w:val="20"/>
                <w:color w:val="auto"/>
              </w:rPr>
            </w:pPr>
            <w:r>
              <w:rPr>
                <w:rFonts w:ascii="Arial" w:cs="Arial" w:eastAsia="Arial" w:hAnsi="Arial"/>
                <w:sz w:val="18"/>
                <w:szCs w:val="18"/>
                <w:color w:val="auto"/>
                <w:w w:val="99"/>
              </w:rPr>
              <w:t>The provision for income taxes is based on the following components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6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24"/>
                <w:szCs w:val="24"/>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current</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 deferred</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Charge in lieu of tax (attributable to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Adjustment to deferred taxes for tax rate change</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December 22, 2017 the U.S government enacted the Tax Act. The Tax Act reduces the corporate tax rate to from 35% to 21%, effective for tax years beginning January 1, 2018. The Company is subject to the provisions of ASC 740, Income Taxes, which requires that the effect on deferred tax assets and liabilities of a change in tax rates be recognized in the period the tax rate change was enacted. The enacted reduction in the corporate federal income tax rate resulted in a re-measurement of the Company’s net deferred tax assets and liabilities with a one-time, non-cash increase to income tax benefit. Consequently, we recorded a decrease related to deferred tax assets and deferred tax liabilities of $12.1 million and $13.5 million, respectively, with a net benefit to deferred income tax expense of $1.4 million for the year ended December 27, 2017. In addition, under the new tax law, the corporate alternative minimum tax (“AMT”) is repealed effective for tax years beginning January 1, 2018. For tax years beginning in 2018, 2019 and 2020, to the extent AMT credit carryovers exceed regular tax liability, 50% of the excess of AMT credit carryovers would be refundable. Any remaining AMT credits would be fully refundable in 2021.</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provision for income taxes differs from the amount computed by applying the federal income tax rate of 21.0% for fiscal 2018 and 35.0% for both fiscal 2017 and fiscal 2016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26, 2018</w:t>
            </w:r>
          </w:p>
        </w:tc>
        <w:tc>
          <w:tcPr>
            <w:tcW w:w="16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27, 2017</w:t>
            </w:r>
          </w:p>
        </w:tc>
        <w:tc>
          <w:tcPr>
            <w:tcW w:w="15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28,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09"/>
        </w:trPr>
        <w:tc>
          <w:tcPr>
            <w:tcW w:w="6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Statutory federal income tax rate applied to</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earnings before income taxes and extraordinary items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TRA expense</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0.4</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Revaluation of deferred taxes</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WOTC Credit</w:t>
            </w: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State tax benefit (net of federal benefit)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58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option exercises</w:t>
            </w: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688"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Deferred income tax assets and liabilities are recorded for differences between the financial statement and tax basis of the assets and liabilities that will result in taxable or deductible amounts in the future based on enacted laws and rates applicable to the periods in which the differences are expected to affect taxable income. Valuation allowances are established when necessary to reduce deferred tax assets to the amount expected to be realized.</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evaluated the available evidence supporting the realization of its gross deferred tax assets. After evaluating all of the positive and negative evidence, including the Company’s continued income from operations, the Company concluded that it is more likely than not that its deferred tax assets will be realized. Beginning in fiscal 2015 and 2016, the Company recorded a valuation allowance against its deferred tax assets resulting from certain tax credits that may not be realizable prior to the time the credits expire. As of December 28, 2016, the Company's total valuation allowance was $3.3 million. In fiscal 2017 and 2018, the Company recorded an additional $1.0 million and $0.8 million, respectively to the valuation allowance. As of December 26, 2018 the total valuation allowance was $5.1 million.</w:t>
      </w:r>
    </w:p>
    <w:p>
      <w:pPr>
        <w:spacing w:after="0" w:line="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July 30, 2014, the Company entered into the TRA. The TRA calls for the Company to pay its pre-IPO stockholders 85% of the cash savings that the Company realizes in its taxes as a result of utilizing its NOLs and other tax attributes attributable to preceding periods. The TRA charge (benefit) expense is a permanent add-back to the Company’s taxable income. TRA resulted in approximately $0.8 million of benefit in fiscal 2018 as a result of changes to future forecasted results and timing of deductibility of certain temporary differences including the current year settlement accrual, $5.6 million of benefit in fiscal 2017 as a result of a reduction in the federal corporate income tax rate related to tax reforms discussed further below, and $0.4 million of tax expense in fiscal 2016. In fiscal 2018, we paid $7.3 million to our pre-IPO stockholders under the TRA.</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26, 2018 and December 27, 2017, the deferred tax assets related to California Enterprise Zone credits, net of valuation allowances are $4.4 million and $5.4 million, respectively.</w:t>
      </w:r>
    </w:p>
    <w:p>
      <w:pPr>
        <w:spacing w:after="0" w:line="6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Company’s deferred tax assets and liabilities as of December 26, 2018 and December 27, 2017 are summarized below. The balances reflect the revaluation for the reduction in the Federal corporate rate to 21.0%.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27,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legal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workers’ compensation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1,450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Enterprise zone and other credits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operating losses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13,488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2,261</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(4,306)</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33,825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liabilities:</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Trademark</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(17,613)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Fixed asset</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(26,658)</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net deferred tax asset amounts above as of December 26, 2018 and December 27, 2017 have been classified in the accompanying consolidated balance sheets as noncurrent assets.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26, 2018, the Company has federal and state NOL carryforwards of approximately $29.8 million and less than $0.1 million, respectively, which expire beginning in 2032 and 2027, respectively. The Company also has state enterprise zone credits of approximately $10.9 million, which expire in 2023, federal Work Opportunity Credits of approximately $1.4 million,</w:t>
      </w:r>
    </w:p>
    <w:p>
      <w:pPr>
        <w:sectPr>
          <w:pgSz w:w="11900" w:h="16838" w:orient="portrait"/>
          <w:cols w:equalWidth="0" w:num="1">
            <w:col w:w="11420"/>
          </w:cols>
          <w:pgMar w:left="240" w:top="229"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229"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which will expire in 2038 and federal and state AMT credits of approximately $0.5 million, which carry forward indefinitely. The utilization of NOL carryforwards may be subject to limitation under section 382 of the Internal Revenue Code of 1986 (the “Code”) and similar state law provisions.</w:t>
      </w:r>
    </w:p>
    <w:p>
      <w:pPr>
        <w:spacing w:after="0" w:line="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26, 2018, December 27, 2017, and December 28, 2016, the Company had no accrual for unrecognized tax benefits. Consequently, no interest or penalties have been accrued by the Company. The Company believes that no significant changes to the amount of unrecognized tax benefits will occur within the next twelve months.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is subject to taxation in the United States and in various state jurisdictions. The Company is no longer subject to U.S. examination for years before 2014 by the federal taxing authority, and for years before 2013 by state taxing authorities.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sponsors a defined contribution employee benefit plan that permits its employees, subject to certain eligibility requirements, to contribute up to 25% of their qualified compensation to the plan. The Company matches 100% of the employees’ contributions of the first 3% of the employees’ annual qualified compensation, and 50% of the employees’ contributions of the next 2% of the employees’ annual qualified compensation. The Company’s matching contribution immediately fully vests. The Company’s contributions to the plan for the years ended December 26, 2018, December 27, 2017, and December 28, 2016 were $0.8 million, $0.7 million and $0.6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At December 26, 2018, options to purchase 2,102,404 shares of common stock of the Company were outstanding, including 1,722,455 vested and 379,949 unvested. Unvested options vest over time, or upon our achieving annual financial goals. However, the compensation committee of the board of directors, as administrator of the Company’s 2018 Omnibus Equity Incentive Plan, has the power to accelerate the vesting schedule of stock-based compensation, and, generally, in the event of an employee termination in connection with a change in control of the Company, any unvested portion of an award under the plan shall become fully vested. At December 26, 2018, 1,381,010 premium options, options granted above the stock price at date of grant, remained outstanding. In fiscal 2018 and 2017, the Company granted 311,272 and 135,036 options, respectively, with an exercise price equal to the fair market value of the common stock on the date of grant. The options granted in fiscal 2018 and 2017 had a four-year vesting period. On November 15, 2016, the board of directors approved the modification of the remaining performance based stock options granted in 2014 and 2013 to vest based solely on service conditions. As a result,</w:t>
      </w:r>
    </w:p>
    <w:p>
      <w:pPr>
        <w:spacing w:after="0" w:line="1" w:lineRule="exact"/>
        <w:rPr>
          <w:sz w:val="20"/>
          <w:szCs w:val="20"/>
          <w:color w:val="auto"/>
        </w:rPr>
      </w:pPr>
    </w:p>
    <w:p>
      <w:pPr>
        <w:ind w:right="120" w:firstLine="8"/>
        <w:spacing w:after="0" w:line="269" w:lineRule="auto"/>
        <w:tabs>
          <w:tab w:leader="none" w:pos="1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17,380 performance based stock options that did not vest in fiscal 2015 based on performance targets not being met, vested as of November 15, 2016; b) 80,799 performance based stock options that would not have vested based on 2016 performance targets vested as of December 28, 2016; and c) 17,378 performance based stock options that would not have vested based on the 2017 performance target vested at the end of fiscal 2017, subject to continued employment of the option holder and the other terms and conditions of the 2014 Stock Option Plan. The Company recorded $0.6 million as compensation expense in fiscal 2016 as a result of this stock option modification. As of December 26, 2018, there were no remaining performance based stock options and 2,102,404 time based stock options outstanding. Stock options generally expire 10 years from the date of grant. Changes in stock options for the years ended December 26, 2018 and December 27, 2017,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680" w:type="dxa"/>
            <w:vAlign w:val="bottom"/>
          </w:tcPr>
          <w:p>
            <w:pPr>
              <w:jc w:val="right"/>
              <w:ind w:right="3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ind w:right="433"/>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28, 2016</w:t>
            </w:r>
          </w:p>
        </w:tc>
        <w:tc>
          <w:tcPr>
            <w:tcW w:w="1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Grants</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135,036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Forfeited, cancelled or expired</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27, 2017</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Grants</w:t>
            </w: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311,272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Forfeited, cancelled or expired</w:t>
            </w:r>
          </w:p>
        </w:tc>
        <w:tc>
          <w:tcPr>
            <w:tcW w:w="1940" w:type="dxa"/>
            <w:vAlign w:val="bottom"/>
          </w:tcPr>
          <w:p>
            <w:pPr>
              <w:jc w:val="right"/>
              <w:spacing w:after="0"/>
              <w:rPr>
                <w:sz w:val="20"/>
                <w:szCs w:val="20"/>
                <w:color w:val="auto"/>
              </w:rPr>
            </w:pPr>
            <w:r>
              <w:rPr>
                <w:rFonts w:ascii="Arial" w:cs="Arial" w:eastAsia="Arial" w:hAnsi="Arial"/>
                <w:sz w:val="18"/>
                <w:szCs w:val="18"/>
                <w:color w:val="auto"/>
              </w:rPr>
              <w:t>(248,422)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26, 2018</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2,102,404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December 26, 2018</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2,091,138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December 26, 2018</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229" w:right="23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at December 26, 2018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80" w:type="dxa"/>
            <w:vAlign w:val="bottom"/>
          </w:tcPr>
          <w:p>
            <w:pPr>
              <w:spacing w:after="0"/>
              <w:rPr>
                <w:sz w:val="14"/>
                <w:szCs w:val="14"/>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4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gridSpan w:val="2"/>
            <w:vMerge w:val="continue"/>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6"/>
                <w:szCs w:val="16"/>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28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1,381,010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1,381,010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$9.65 - $13.95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482,831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139,032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139,032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$4.09 - $15.00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2,102,404</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1,722,455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intrinsic value of options outstanding and options exercisable, calculated as the difference between the market value as of December 26, 2018 and the exercise price, is $15.5 million and $14.2 million, respectively. The intrinsic value of options exercised, calculated as the difference between the market value on the date of exercise and the exercise price, was $1.5 million, $0.2 million and $0.9 million for fiscal years 2018, 2017 and 2016, respectively.</w:t>
      </w:r>
    </w:p>
    <w:p>
      <w:pPr>
        <w:spacing w:after="0" w:line="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measures and recognizes compensation expense for the estimated fair value of stock options for employees and non-employee directors and similar awards based on the grant-date fair value of the award. For options that are based on a service requirement, the cost is recognized on a straight-line basis over the requisite service period, usually the vesting period. For options that were based on performance requirements, costs were recognized over periods to which the performance criteria related. The Company has authorized 5,652,240 shares of common stock for issuance in connection with stock awards. As of December 26, 2018, 1,495,767 shares were available for grant. In order to calculate our stock options’ fair values and the associated compensation costs for share-based awards, the Company utilizes the Black–Scholes option pricing model, and has developed estimates of various inputs including forfeiture rate, expected term, expected volatility, and risk-free interest rate. The forfeiture rate is based on historical rates and reduces the compensation expense recognized. The expected term for options granted is derived using the “simplified” method, in accordance with SEC guidance. The Company calculates the risk-free interest rate using the implied yield for a U.S. Treasury security with constant maturity and a remaining term equal to the expected term of the Company’s employee stock options. The Company does not anticipate paying any cash dividends for the foreseeable future and therefore uses an expected dividend yield of zero for option valuation purposes. Expected volatility is estimated using four publicly-traded companies in our market category. These are selected based on similarities of market capitalization, size, and other financial and operational characteristics. Volatility is calculated by taking the historical daily closing equity prices of our peer companies, prior to the grant date, over a period equal to the expected term.</w:t>
      </w:r>
    </w:p>
    <w:p>
      <w:pPr>
        <w:spacing w:after="0" w:line="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in fiscal 2018 was $3.78 per share using the Black–Scholes model with the following weighted-average assumptions used to value the option grants: expected volatility of 28.4%, expected term of 6.25 years, risk-free interest rate of 2.86% to 2.88%, and expected dividend yield of 0%.</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weighted-average estimated fair value of employee stock options granted in fiscal 2017 was $4.29 per share using the Black–Scholes model with the following weighted-average assumptions used to value the option grants: expected volatility of 28.6%, expected term of 5.75 years, risk-free interest rates of 1.88% to 2.01%, and expected dividend yield of 0%.</w:t>
      </w:r>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years ended December 26, 2018, December 27, 2017 and December 28, 2016, the Company recognized stock option compensation expense of $1.1 million, $0.6 million and $0.9 million, respectively. These expenses were included in general and administrative expenses consistent with the salary expense for the related optionees in the accompanying consolidated statements of operations. In connection with the retirement of our former President and Chief Executive Officer ("CEO") during fiscal 2018, the Company modified previously granted equity awards to accelerate the vesting of 33,545 awards, which would have otherwise vested in May 2018, and extended the exercisability of all vested and outstanding options until the expiration of the original term of such awards. As a result, the Company incurred incremental stock-based compensation expense of $0.8 million for the year ended December 26, 2018.</w:t>
      </w:r>
    </w:p>
    <w:p>
      <w:pPr>
        <w:spacing w:after="0" w:line="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26, 2018, we had total unrecognized compensation expense of $1.3 million related to unvested stock options, which the Company expects to recognize over a weighted average period of 3.27 years.</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above assumptions generally require significant judgment. If in the future we determine that another method is more reasonable, or if another method for calculating these input assumptions is prescribed by authoritative guidance, and, therefore, should be used to estimate volatility or expected term, the fair value calculated for our stock options could change significantly. Higher volatility and longer expected lives result in an increase to stock-based compensation expense determined at the date of grant. Stock-based compensation expense affects our general and administrative expense.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29"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estimate our forfeiture rate based on an analysis of our actual forfeitures and will continue to evaluate the appropriateness of the forfeiture rate based on actual forfeiture experience, analysis of employee turnover behavior, and other factors.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previously-estimated forfeiture rate, an adjustment is made that will result in a decrease to the stock-based compensation expense recognized in the financial statements. If a revised forfeiture rate is lower than the previously-estimated forfeiture rate, an adjustment is made that will result in an increase to the stock-based compensation expense recognized in the financial statements. The effect of forfeiture adjustments was insignificant in fiscal 2018, 2017 and 2016. We will continue to use significant judgment in evaluating the expected term, volatility, and forfeiture rate related to our stock-based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fiscal 2018 and 2017, 323,764 and 181,292 restricted share and restricted stock unit awards were granted, respectively, at the fair market value on the date of grant. These grants vest based on continued service over three years for directors and four years for employees. Included in the fiscal 2018 restricted stock award grants were 72,116 performance share units which vest over a minimum of one year and a maximum of five years. Performance share units are granted at fair market value on the date of grant and are subject to service-based and market-based vesting conditions. A portion of the performance share units satisfied their market-based vesting conditions during the fourth quarter of fiscal 2018 and will vest upon the satisfaction of their service condition in the second quarter of fiscal 2019. We base the amount of unearned compensation recorded on the fair market value of the awards on the date of issuance. In fiscal 2018, 2017, and 2016 the Company recognized share-based compensation expense of $1.0 million, $0.5 million, and $0.2 million, respectively. This expense was included in general and administrative expenses in the accompanying consolidated statements of operations. As of December 26, 2018, there was total unrecognized compensation expense of $4.6 million related to unvested restricted share awards, which the Company expects to recognize over a weighted-average period of 3.06 years.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Changes in restricted shares for the years ended December 26, 2018 and December 27, 2017,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22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right"/>
              <w:ind w:right="3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at December 28, 2016</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181,292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(10,527)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Forfeited, cancelled, or expired</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(10,875)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at December 27, 2017</w:t>
            </w:r>
          </w:p>
        </w:tc>
        <w:tc>
          <w:tcPr>
            <w:tcW w:w="1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196,642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395,880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(45,991)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8660" w:type="dxa"/>
            <w:vAlign w:val="bottom"/>
            <w:gridSpan w:val="2"/>
          </w:tcPr>
          <w:p>
            <w:pPr>
              <w:ind w:left="40"/>
              <w:spacing w:after="0"/>
              <w:rPr>
                <w:sz w:val="20"/>
                <w:szCs w:val="20"/>
                <w:color w:val="auto"/>
              </w:rPr>
            </w:pPr>
            <w:r>
              <w:rPr>
                <w:rFonts w:ascii="Arial" w:cs="Arial" w:eastAsia="Arial" w:hAnsi="Arial"/>
                <w:sz w:val="18"/>
                <w:szCs w:val="18"/>
                <w:color w:val="auto"/>
              </w:rPr>
              <w:t>Forfeited, cancelled, or expired</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(55,831)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shares at December 26, 2018</w:t>
            </w:r>
          </w:p>
        </w:tc>
        <w:tc>
          <w:tcPr>
            <w:tcW w:w="1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490,700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EPS is calculated using the weighted-average number of shares of common stock outstanding during the years ended December 26,</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2018, December 27, 2017, and December 28, 2016. Diluted EPS is calculated using the weighted-average number of shares of common stock outstanding and potentially dilutive during the period, using the treasury stock method.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EPS data for the periods indicated, which are in thousands except for per share data.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29"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40" w:type="dxa"/>
            <w:vAlign w:val="bottom"/>
          </w:tcPr>
          <w:p>
            <w:pPr>
              <w:spacing w:after="0"/>
              <w:rPr>
                <w:sz w:val="14"/>
                <w:szCs w:val="1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14"/>
                <w:szCs w:val="14"/>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8,619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5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Weighted-average shares outstanding—Basic</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38,574,553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38,453,347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38,357,805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38,574,553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39,086,676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39,026,950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Net (loss) income per share—Basic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gridSpan w:val="3"/>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income per share—Diluted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Anti-dilutive securities not considered in diluted EPS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right"/>
              <w:ind w:right="13"/>
              <w:spacing w:after="0"/>
              <w:rPr>
                <w:sz w:val="20"/>
                <w:szCs w:val="20"/>
                <w:color w:val="auto"/>
              </w:rPr>
            </w:pPr>
            <w:r>
              <w:rPr>
                <w:rFonts w:ascii="Arial" w:cs="Arial" w:eastAsia="Arial" w:hAnsi="Arial"/>
                <w:sz w:val="18"/>
                <w:szCs w:val="18"/>
                <w:color w:val="auto"/>
              </w:rPr>
              <w:t>2,593,104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13"/>
              <w:spacing w:after="0"/>
              <w:rPr>
                <w:sz w:val="20"/>
                <w:szCs w:val="20"/>
                <w:color w:val="auto"/>
              </w:rPr>
            </w:pPr>
            <w:r>
              <w:rPr>
                <w:rFonts w:ascii="Arial" w:cs="Arial" w:eastAsia="Arial" w:hAnsi="Arial"/>
                <w:sz w:val="18"/>
                <w:szCs w:val="18"/>
                <w:color w:val="auto"/>
              </w:rPr>
              <w:t>747,985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13"/>
              <w:spacing w:after="0"/>
              <w:rPr>
                <w:sz w:val="20"/>
                <w:szCs w:val="20"/>
                <w:color w:val="auto"/>
              </w:rPr>
            </w:pPr>
            <w:r>
              <w:rPr>
                <w:rFonts w:ascii="Arial" w:cs="Arial" w:eastAsia="Arial" w:hAnsi="Arial"/>
                <w:sz w:val="18"/>
                <w:szCs w:val="18"/>
                <w:color w:val="auto"/>
              </w:rPr>
              <w:t>468,705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Below is a reconciliation of basic and diluted share counts.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Years Ended</w:t>
            </w:r>
          </w:p>
        </w:tc>
        <w:tc>
          <w:tcPr>
            <w:tcW w:w="14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26, 2018</w:t>
            </w: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27, 2017</w:t>
            </w:r>
          </w:p>
        </w:tc>
        <w:tc>
          <w:tcPr>
            <w:tcW w:w="140" w:type="dxa"/>
            <w:vAlign w:val="bottom"/>
          </w:tcPr>
          <w:p>
            <w:pPr>
              <w:spacing w:after="0"/>
              <w:rPr>
                <w:sz w:val="24"/>
                <w:szCs w:val="24"/>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28,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outstanding—Basic</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38,574,553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38,453,347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38,357,805</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140" w:type="dxa"/>
            <w:vAlign w:val="bottom"/>
          </w:tcPr>
          <w:p>
            <w:pPr>
              <w:spacing w:after="0"/>
              <w:rPr>
                <w:sz w:val="21"/>
                <w:szCs w:val="21"/>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633,329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669,145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outstanding—Diluted</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38,574,553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39,086,676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39,026,950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(the "Olvera Action")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parties reached a settlement in principle on January 24, 2019 of all claims brought on behalf of the 32,000+ putative class members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as well as all claims for failure to pay overtime compensation, failure to provide meal periods and rest breaks, and failure to provide itemized wage statements brought in the class actions captioned </w:t>
      </w:r>
      <w:r>
        <w:rPr>
          <w:rFonts w:ascii="Arial" w:cs="Arial" w:eastAsia="Arial" w:hAnsi="Arial"/>
          <w:sz w:val="16"/>
          <w:szCs w:val="16"/>
          <w:u w:val="single" w:color="auto"/>
          <w:color w:val="auto"/>
        </w:rPr>
        <w:t>Martha Perez v. El Pollo Loco, Inc.</w:t>
      </w:r>
      <w:r>
        <w:rPr>
          <w:rFonts w:ascii="Arial" w:cs="Arial" w:eastAsia="Arial" w:hAnsi="Arial"/>
          <w:sz w:val="16"/>
          <w:szCs w:val="16"/>
          <w:color w:val="auto"/>
        </w:rPr>
        <w:t xml:space="preserve"> (Los Angeles Superior Court Case No. BC624001), </w:t>
      </w:r>
      <w:r>
        <w:rPr>
          <w:rFonts w:ascii="Arial" w:cs="Arial" w:eastAsia="Arial" w:hAnsi="Arial"/>
          <w:sz w:val="16"/>
          <w:szCs w:val="16"/>
          <w:u w:val="single" w:color="auto"/>
          <w:color w:val="auto"/>
        </w:rPr>
        <w:t>Maria Vega, et al. v. El Pollo Loco, Inc.</w:t>
      </w:r>
      <w:r>
        <w:rPr>
          <w:rFonts w:ascii="Arial" w:cs="Arial" w:eastAsia="Arial" w:hAnsi="Arial"/>
          <w:sz w:val="16"/>
          <w:szCs w:val="16"/>
          <w:color w:val="auto"/>
        </w:rPr>
        <w:t xml:space="preserve"> (Los Angeles Superior Court Case No. BC649719), and </w:t>
      </w:r>
      <w:r>
        <w:rPr>
          <w:rFonts w:ascii="Arial" w:cs="Arial" w:eastAsia="Arial" w:hAnsi="Arial"/>
          <w:sz w:val="16"/>
          <w:szCs w:val="16"/>
          <w:u w:val="single" w:color="auto"/>
          <w:color w:val="auto"/>
        </w:rPr>
        <w:t>Gonzalez v. El Pollo Loco, Inc.</w:t>
      </w:r>
      <w:r>
        <w:rPr>
          <w:rFonts w:ascii="Arial" w:cs="Arial" w:eastAsia="Arial" w:hAnsi="Arial"/>
          <w:sz w:val="16"/>
          <w:szCs w:val="16"/>
          <w:color w:val="auto"/>
        </w:rPr>
        <w:t xml:space="preserve"> (Los Angeles Superior Court Case No. BC712867). The settlement reached in principle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Perez</w:t>
      </w:r>
      <w:r>
        <w:rPr>
          <w:rFonts w:ascii="Arial" w:cs="Arial" w:eastAsia="Arial" w:hAnsi="Arial"/>
          <w:sz w:val="16"/>
          <w:szCs w:val="16"/>
          <w:color w:val="auto"/>
        </w:rPr>
        <w:t xml:space="preserve">, </w:t>
      </w:r>
      <w:r>
        <w:rPr>
          <w:rFonts w:ascii="Arial" w:cs="Arial" w:eastAsia="Arial" w:hAnsi="Arial"/>
          <w:sz w:val="16"/>
          <w:szCs w:val="16"/>
          <w:u w:val="single" w:color="auto"/>
          <w:color w:val="auto"/>
        </w:rPr>
        <w:t>Vega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Gonzalez</w:t>
      </w:r>
      <w:r>
        <w:rPr>
          <w:rFonts w:ascii="Arial" w:cs="Arial" w:eastAsia="Arial" w:hAnsi="Arial"/>
          <w:sz w:val="16"/>
          <w:szCs w:val="16"/>
          <w:color w:val="auto"/>
        </w:rPr>
        <w:t xml:space="preserve"> actions resolves all potential claims from April 12, 2010 through April 1, 2019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Purported class actions alleging wage and hour violations are commonly filed against California employers. The Company fully expects to have to defend against similar lawsuits in the future.</w:t>
      </w:r>
    </w:p>
    <w:p>
      <w:pPr>
        <w:spacing w:after="0" w:line="6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u w:val="single" w:color="auto"/>
          <w:color w:val="auto"/>
        </w:rPr>
        <w:t>Daniel Turocy, et al. v. El Pollo Loco Holdings, Inc., et al.</w:t>
      </w:r>
      <w:r>
        <w:rPr>
          <w:rFonts w:ascii="Arial" w:cs="Arial" w:eastAsia="Arial" w:hAnsi="Arial"/>
          <w:sz w:val="18"/>
          <w:szCs w:val="18"/>
          <w:color w:val="auto"/>
        </w:rPr>
        <w:t xml:space="preserve"> (Case No. 8:15-cv-01343) was filed in the United States District Court for the Central District of California on August 24, 2015, and </w:t>
      </w:r>
      <w:r>
        <w:rPr>
          <w:rFonts w:ascii="Arial" w:cs="Arial" w:eastAsia="Arial" w:hAnsi="Arial"/>
          <w:sz w:val="18"/>
          <w:szCs w:val="18"/>
          <w:u w:val="single" w:color="auto"/>
          <w:color w:val="auto"/>
        </w:rPr>
        <w:t>Ron Huston, et al. v. El Pollo Loco Holdings, Inc., et al.</w:t>
      </w:r>
      <w:r>
        <w:rPr>
          <w:rFonts w:ascii="Arial" w:cs="Arial" w:eastAsia="Arial" w:hAnsi="Arial"/>
          <w:sz w:val="18"/>
          <w:szCs w:val="18"/>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w:t>
      </w:r>
    </w:p>
    <w:p>
      <w:pPr>
        <w:sectPr>
          <w:pgSz w:w="11900" w:h="16838" w:orient="portrait"/>
          <w:cols w:equalWidth="0" w:num="1">
            <w:col w:w="11420"/>
          </w:cols>
          <w:pgMar w:left="240" w:top="229" w:right="239" w:bottom="1440" w:gutter="0" w:footer="0" w:header="0"/>
        </w:sect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229" w:right="23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w:t>
      </w:r>
    </w:p>
    <w:p>
      <w:pPr>
        <w:spacing w:after="0" w:line="5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January 23, 2019, the parties filed a Notice of Settlement and Joint Request for Order to Stay Proceedings, stating the parties have reached an agreement in principle to settle the claims and allegations in the action and are negotiating the terms of a Stipulation of Settlement. On January 24, 2019, the Court ordered that all proceedings in the action be stayed until April 3, 2019, on or before which the parties are to file a Stipulation of Settlement and a motion for preliminary approval of the settlement. Defendants maintain that the Plaintiffs' claims are without merit, and have entered into the settlement to eliminate the uncertainties, burden and expense of further protracted litigation. A $20.0 million accrual of an expected settlement amount related to this matter was recorded as of December 26, 2018.</w:t>
      </w:r>
    </w:p>
    <w:p>
      <w:pPr>
        <w:spacing w:after="0" w:line="19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w:t>
      </w:r>
    </w:p>
    <w:p>
      <w:pPr>
        <w:spacing w:after="0" w:line="2" w:lineRule="exact"/>
        <w:rPr>
          <w:sz w:val="20"/>
          <w:szCs w:val="20"/>
          <w:color w:val="auto"/>
        </w:rPr>
      </w:pPr>
    </w:p>
    <w:p>
      <w:pPr>
        <w:ind w:right="180" w:firstLine="8"/>
        <w:spacing w:after="0" w:line="302" w:lineRule="auto"/>
        <w:tabs>
          <w:tab w:leader="none" w:pos="2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29"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Arial" w:cs="Arial" w:eastAsia="Arial" w:hAnsi="Arial"/>
          <w:sz w:val="16"/>
          <w:szCs w:val="16"/>
          <w:u w:val="single" w:color="auto"/>
          <w:color w:val="auto"/>
        </w:rPr>
        <w:t>El Pollo Loco, Inc. v. EPL 3766, Inc., was dismissed on April 6, 2017.</w:t>
      </w:r>
      <w:r>
        <w:rPr>
          <w:rFonts w:ascii="Arial" w:cs="Arial" w:eastAsia="Arial" w:hAnsi="Arial"/>
          <w:sz w:val="16"/>
          <w:szCs w:val="16"/>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3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damages phase of the trial commenced on April 20, 2018. On May 1, 2018, the jury returned a verdict on damages in favor of Plaintiffs in the following amounts: (1) $4,356,600 in “impact damages” arising out of our construction of the two new company-operated El Pollo Loco restaurants in Lancaster, and</w:t>
      </w:r>
    </w:p>
    <w:p>
      <w:pPr>
        <w:ind w:right="160" w:firstLine="8"/>
        <w:spacing w:after="0" w:line="265"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$4,481,206 in “lost opportunity damages” arising out of our failure to offer the two new company-operated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w:t>
      </w:r>
    </w:p>
    <w:p>
      <w:pPr>
        <w:ind w:right="100"/>
        <w:spacing w:after="0" w:line="254" w:lineRule="auto"/>
        <w:rPr>
          <w:rFonts w:ascii="Arial" w:cs="Arial" w:eastAsia="Arial" w:hAnsi="Arial"/>
          <w:sz w:val="17"/>
          <w:szCs w:val="17"/>
          <w:color w:val="auto"/>
        </w:rPr>
      </w:pPr>
      <w:r>
        <w:rPr>
          <w:rFonts w:ascii="Arial" w:cs="Arial" w:eastAsia="Arial" w:hAnsi="Arial"/>
          <w:sz w:val="18"/>
          <w:szCs w:val="18"/>
          <w:color w:val="auto"/>
        </w:rPr>
        <w:t>$4,356,600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has been no ruling on the causes of action for reformation due to mistake and unconscionability, and declaratory relief.</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August 16, 2018, the Company filed a motion challenging the verdicts and a motion for new trial (both the liability phase and damages phase) and on September 2, 2018, the court denied those motions. On August 27, 2018, the Company filed a notice of appeal as to the entire judgment, and on October 5, 2018, the Company filed a second notice of appeal challenging the court’s denial of the post-trial motions. On September 5, 2018, we filed a motion to strike several of the costs of suit requested by the Plaintiffs, and on September 28, 2018, the Plaintiffs filed a motion for an award of attorneys’ fees. The court ruled on these motions on October 30, 2018, reducing many of the costs requested by the Plaintiffs and awarding $1,391,702.50 to the Plaintiffs for attorneys’ fees. We filed a notice of appeal relating to the trial court’s order relating to our motion to strike the costs and the Plaintiff’s motion for attorneys’ fees on November 6, 2018. The Company also filed motions to stay the injunctive part of the judgment pending the appeal but both the trial court and the California Court of Appeal denied those motions. We filed a petition for review of these denials with the California Supreme Court, but the California Supreme Court denied our petition for review on November 14, 2018. The appeal on the merits is currently pending. Briefing on the merits has not yet occurred in the appellate court. Once the record is delivered by the trial court clerk to the court of appeal, a schedule for the briefing on appeal will be set by the appellate court. Based on the assessment by Management, together with our legal trial counsel, the Company believes that the loss is currently not probable under ASC 450 and as of December 26, 2018 no accrual has been made with regard to the verdict.</w:t>
      </w:r>
    </w:p>
    <w:p>
      <w:pPr>
        <w:spacing w:after="0" w:line="1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29"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At December 26, 2018, the Company’s total estimated commitment to purchase chicken was $29.8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December 26, 2018, the potential amount of undiscounted payments the Company could be required to make in the event of non-payment by the primary lessee was $2.4 million. The present value of these potential payments discounted at the Company’s estimated pre-tax cost of debt at December 26, 2018 was $2.0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consolidated financial statements related to these contingent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of December 26, 2018, the Company had employment agreements with four of the officers of the Company. These agreements provide for minimum salary levels, possible annual adjustments for cost-of-living changes, and incentive bonuses that are payable under certain business conditions.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LLC owns approximately 42.9%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 (i) any member of the board of directors may be removed at any time without cause by affirmative vote of a majority of the Company’s common stock, and (ii) stockholders representing 40% or greater ownership may cause special stockholder meetings to be called.</w:t>
      </w:r>
    </w:p>
    <w:p>
      <w:pPr>
        <w:spacing w:after="0" w:line="390" w:lineRule="exact"/>
        <w:rPr>
          <w:sz w:val="20"/>
          <w:szCs w:val="20"/>
          <w:color w:val="auto"/>
        </w:rPr>
      </w:pPr>
    </w:p>
    <w:p>
      <w:pPr>
        <w:ind w:right="6280" w:firstLine="8"/>
        <w:spacing w:after="0" w:line="425" w:lineRule="auto"/>
        <w:tabs>
          <w:tab w:leader="none" w:pos="27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REVENUE FROM CONTRACTS WITH CUSTOMERS Adoption of Topic 606, "Revenue from Contracts with Customers"</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December 28, 2017, the Company adopted Topic 606 using the modified retrospective method applied to those contracts, which were not fully satisfied as of December 28, 2017. Results for reporting periods beginning after December 28, 2017, are presented under Topic 606, while prior period amounts are not adjusted and continue to be reported in accordance with our historic accounting under Topic 605.</w:t>
      </w:r>
    </w:p>
    <w:p>
      <w:pPr>
        <w:spacing w:after="0" w:line="73" w:lineRule="exact"/>
        <w:rPr>
          <w:sz w:val="20"/>
          <w:szCs w:val="20"/>
          <w:color w:val="auto"/>
        </w:rPr>
      </w:pPr>
    </w:p>
    <w:p>
      <w:pPr>
        <w:ind w:right="80"/>
        <w:spacing w:after="0" w:line="402" w:lineRule="auto"/>
        <w:rPr>
          <w:sz w:val="20"/>
          <w:szCs w:val="20"/>
          <w:color w:val="auto"/>
        </w:rPr>
      </w:pPr>
      <w:r>
        <w:rPr>
          <w:rFonts w:ascii="Arial" w:cs="Arial" w:eastAsia="Arial" w:hAnsi="Arial"/>
          <w:sz w:val="18"/>
          <w:szCs w:val="18"/>
          <w:color w:val="auto"/>
        </w:rPr>
        <w:t xml:space="preserve">The cumulative catch-up adjustment recorded to accumulated deficit was approximately $3.5 million, net of taxes, related to franchise and development fees. </w:t>
      </w:r>
      <w:r>
        <w:rPr>
          <w:rFonts w:ascii="Arial" w:cs="Arial" w:eastAsia="Arial" w:hAnsi="Arial"/>
          <w:sz w:val="18"/>
          <w:szCs w:val="18"/>
          <w:b w:val="1"/>
          <w:bCs w:val="1"/>
          <w:color w:val="auto"/>
        </w:rPr>
        <w:t>Revenue Recognition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29"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offers a loyalty rewards program, which awards a customer one point for every $1 spent. When 100 points are accumulated a $10 reward to be used on future purchases is earned.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or the likelihood of redemption is remote. A portion of the transaction price is allocated to loyalty points, if necessary, on a pro-rata basis, based on stand-alone selling price, as determined by menu pricing and loyalty point terms. As of December 26, 2018 and December 27, 2017, the revenue allocated to loyalty points that have not been redeemed are $1.0 million and $0.4 million, respectively, which are reflected in the Company's accompanying consolidated balance sheets within other accrued expenses and current liabilities. The Company expects the loyalty points to be redeemed and recognized over a one year period.</w:t>
      </w:r>
    </w:p>
    <w:p>
      <w:pPr>
        <w:spacing w:after="0" w:line="7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7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Discounted renewal option;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regarding disclosure of the aggregate amount of the transaction price allocated to the performance obligations that are unsatisfied for sales-based royalties.</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which is typically 10 or 20 years, while payment is fixed and due at the time the renewal is signed.</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December 26, 2018, there were no performance obligations, related to hardware services that were unsatisfied or partially satisfied.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76"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following table presents our revenues for the year ended December 26, 2018 disaggregated by revenue source and market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1920" w:type="dxa"/>
        <w:tblCellMar>
          <w:top w:w="0" w:type="dxa"/>
          <w:left w:w="0" w:type="dxa"/>
          <w:bottom w:w="0" w:type="dxa"/>
          <w:right w:w="0" w:type="dxa"/>
        </w:tblCellMar>
      </w:tblPr>
      <w:tr>
        <w:trPr>
          <w:trHeight w:val="164"/>
        </w:trPr>
        <w:tc>
          <w:tcPr>
            <w:tcW w:w="6140" w:type="dxa"/>
            <w:vAlign w:val="bottom"/>
          </w:tcPr>
          <w:p>
            <w:pPr>
              <w:ind w:left="40"/>
              <w:spacing w:after="0"/>
              <w:rPr>
                <w:sz w:val="20"/>
                <w:szCs w:val="20"/>
                <w:color w:val="auto"/>
              </w:rPr>
            </w:pPr>
            <w:r>
              <w:rPr>
                <w:rFonts w:ascii="Arial" w:cs="Arial" w:eastAsia="Arial" w:hAnsi="Arial"/>
                <w:sz w:val="13"/>
                <w:szCs w:val="13"/>
                <w:b w:val="1"/>
                <w:bCs w:val="1"/>
                <w:color w:val="auto"/>
              </w:rPr>
              <w:t>Core Market</w:t>
            </w:r>
            <w:r>
              <w:rPr>
                <w:rFonts w:ascii="Arial" w:cs="Arial" w:eastAsia="Arial" w:hAnsi="Arial"/>
                <w:sz w:val="8"/>
                <w:szCs w:val="8"/>
                <w:b w:val="1"/>
                <w:bCs w:val="1"/>
                <w:color w:val="auto"/>
              </w:rPr>
              <w:t>(1)</w:t>
            </w:r>
            <w:r>
              <w:rPr>
                <w:rFonts w:ascii="Arial" w:cs="Arial" w:eastAsia="Arial" w:hAnsi="Arial"/>
                <w:sz w:val="13"/>
                <w:szCs w:val="13"/>
                <w:b w:val="1"/>
                <w:bCs w:val="1"/>
                <w:color w:val="auto"/>
              </w:rPr>
              <w:t>:</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6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61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Company-operated restaurant revenue</w:t>
            </w:r>
          </w:p>
        </w:tc>
        <w:tc>
          <w:tcPr>
            <w:tcW w:w="520" w:type="dxa"/>
            <w:vAlign w:val="bottom"/>
            <w:vMerge w:val="restart"/>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340,421</w:t>
            </w:r>
          </w:p>
        </w:tc>
        <w:tc>
          <w:tcPr>
            <w:tcW w:w="0" w:type="dxa"/>
            <w:vAlign w:val="bottom"/>
          </w:tcPr>
          <w:p>
            <w:pPr>
              <w:spacing w:after="0"/>
              <w:rPr>
                <w:sz w:val="1"/>
                <w:szCs w:val="1"/>
                <w:color w:val="auto"/>
              </w:rPr>
            </w:pPr>
          </w:p>
        </w:tc>
      </w:tr>
      <w:tr>
        <w:trPr>
          <w:trHeight w:val="97"/>
        </w:trPr>
        <w:tc>
          <w:tcPr>
            <w:tcW w:w="61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6140" w:type="dxa"/>
            <w:vAlign w:val="bottom"/>
          </w:tcPr>
          <w:p>
            <w:pPr>
              <w:ind w:left="380"/>
              <w:spacing w:after="0"/>
              <w:rPr>
                <w:sz w:val="20"/>
                <w:szCs w:val="20"/>
                <w:color w:val="auto"/>
              </w:rPr>
            </w:pPr>
            <w:r>
              <w:rPr>
                <w:rFonts w:ascii="Arial" w:cs="Arial" w:eastAsia="Arial" w:hAnsi="Arial"/>
                <w:sz w:val="13"/>
                <w:szCs w:val="13"/>
                <w:color w:val="auto"/>
              </w:rPr>
              <w:t>Franchise revenue</w:t>
            </w: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14,144</w:t>
            </w:r>
          </w:p>
        </w:tc>
        <w:tc>
          <w:tcPr>
            <w:tcW w:w="0" w:type="dxa"/>
            <w:vAlign w:val="bottom"/>
          </w:tcPr>
          <w:p>
            <w:pPr>
              <w:spacing w:after="0"/>
              <w:rPr>
                <w:sz w:val="1"/>
                <w:szCs w:val="1"/>
                <w:color w:val="auto"/>
              </w:rPr>
            </w:pPr>
          </w:p>
        </w:tc>
      </w:tr>
      <w:tr>
        <w:trPr>
          <w:trHeight w:val="89"/>
        </w:trPr>
        <w:tc>
          <w:tcPr>
            <w:tcW w:w="6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1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Franchise advertising fee revenue</w:t>
            </w: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10,831</w:t>
            </w:r>
          </w:p>
        </w:tc>
        <w:tc>
          <w:tcPr>
            <w:tcW w:w="0" w:type="dxa"/>
            <w:vAlign w:val="bottom"/>
          </w:tcPr>
          <w:p>
            <w:pPr>
              <w:spacing w:after="0"/>
              <w:rPr>
                <w:sz w:val="1"/>
                <w:szCs w:val="1"/>
                <w:color w:val="auto"/>
              </w:rPr>
            </w:pPr>
          </w:p>
        </w:tc>
      </w:tr>
      <w:tr>
        <w:trPr>
          <w:trHeight w:val="97"/>
        </w:trPr>
        <w:tc>
          <w:tcPr>
            <w:tcW w:w="6140" w:type="dxa"/>
            <w:vAlign w:val="bottom"/>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92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140" w:type="dxa"/>
            <w:vAlign w:val="bottom"/>
          </w:tcPr>
          <w:p>
            <w:pPr>
              <w:ind w:left="600"/>
              <w:spacing w:after="0"/>
              <w:rPr>
                <w:sz w:val="20"/>
                <w:szCs w:val="20"/>
                <w:color w:val="auto"/>
              </w:rPr>
            </w:pPr>
            <w:r>
              <w:rPr>
                <w:rFonts w:ascii="Arial" w:cs="Arial" w:eastAsia="Arial" w:hAnsi="Arial"/>
                <w:sz w:val="13"/>
                <w:szCs w:val="13"/>
                <w:color w:val="auto"/>
              </w:rPr>
              <w:t>Total core market</w:t>
            </w:r>
          </w:p>
        </w:tc>
        <w:tc>
          <w:tcPr>
            <w:tcW w:w="520" w:type="dxa"/>
            <w:vAlign w:val="bottom"/>
            <w:vMerge w:val="restart"/>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365,396</w:t>
            </w:r>
          </w:p>
        </w:tc>
        <w:tc>
          <w:tcPr>
            <w:tcW w:w="0" w:type="dxa"/>
            <w:vAlign w:val="bottom"/>
          </w:tcPr>
          <w:p>
            <w:pPr>
              <w:spacing w:after="0"/>
              <w:rPr>
                <w:sz w:val="1"/>
                <w:szCs w:val="1"/>
                <w:color w:val="auto"/>
              </w:rPr>
            </w:pPr>
          </w:p>
        </w:tc>
      </w:tr>
      <w:tr>
        <w:trPr>
          <w:trHeight w:val="91"/>
        </w:trPr>
        <w:tc>
          <w:tcPr>
            <w:tcW w:w="614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61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Non-Core Market</w:t>
            </w:r>
            <w:r>
              <w:rPr>
                <w:rFonts w:ascii="Arial" w:cs="Arial" w:eastAsia="Arial" w:hAnsi="Arial"/>
                <w:sz w:val="8"/>
                <w:szCs w:val="8"/>
                <w:b w:val="1"/>
                <w:bCs w:val="1"/>
                <w:color w:val="auto"/>
              </w:rPr>
              <w:t>(2)</w:t>
            </w:r>
            <w:r>
              <w:rPr>
                <w:rFonts w:ascii="Arial" w:cs="Arial" w:eastAsia="Arial" w:hAnsi="Arial"/>
                <w:sz w:val="13"/>
                <w:szCs w:val="13"/>
                <w:b w:val="1"/>
                <w:bCs w:val="1"/>
                <w:color w:val="auto"/>
              </w:rPr>
              <w:t>:</w:t>
            </w: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140" w:type="dxa"/>
            <w:vAlign w:val="bottom"/>
          </w:tcPr>
          <w:p>
            <w:pPr>
              <w:ind w:left="380"/>
              <w:spacing w:after="0"/>
              <w:rPr>
                <w:sz w:val="20"/>
                <w:szCs w:val="20"/>
                <w:color w:val="auto"/>
              </w:rPr>
            </w:pPr>
            <w:r>
              <w:rPr>
                <w:rFonts w:ascii="Arial" w:cs="Arial" w:eastAsia="Arial" w:hAnsi="Arial"/>
                <w:sz w:val="13"/>
                <w:szCs w:val="13"/>
                <w:color w:val="auto"/>
              </w:rPr>
              <w:t>Company-operated restaurant revenue</w:t>
            </w: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48,414</w:t>
            </w:r>
          </w:p>
        </w:tc>
        <w:tc>
          <w:tcPr>
            <w:tcW w:w="0" w:type="dxa"/>
            <w:vAlign w:val="bottom"/>
          </w:tcPr>
          <w:p>
            <w:pPr>
              <w:spacing w:after="0"/>
              <w:rPr>
                <w:sz w:val="1"/>
                <w:szCs w:val="1"/>
                <w:color w:val="auto"/>
              </w:rPr>
            </w:pPr>
          </w:p>
        </w:tc>
      </w:tr>
      <w:tr>
        <w:trPr>
          <w:trHeight w:val="89"/>
        </w:trPr>
        <w:tc>
          <w:tcPr>
            <w:tcW w:w="6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1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Franchise revenue</w:t>
            </w:r>
          </w:p>
        </w:tc>
        <w:tc>
          <w:tcPr>
            <w:tcW w:w="5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11,627</w:t>
            </w:r>
          </w:p>
        </w:tc>
        <w:tc>
          <w:tcPr>
            <w:tcW w:w="0" w:type="dxa"/>
            <w:vAlign w:val="bottom"/>
          </w:tcPr>
          <w:p>
            <w:pPr>
              <w:spacing w:after="0"/>
              <w:rPr>
                <w:sz w:val="1"/>
                <w:szCs w:val="1"/>
                <w:color w:val="auto"/>
              </w:rPr>
            </w:pPr>
          </w:p>
        </w:tc>
      </w:tr>
      <w:tr>
        <w:trPr>
          <w:trHeight w:val="97"/>
        </w:trPr>
        <w:tc>
          <w:tcPr>
            <w:tcW w:w="6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6140" w:type="dxa"/>
            <w:vAlign w:val="bottom"/>
          </w:tcPr>
          <w:p>
            <w:pPr>
              <w:ind w:left="380"/>
              <w:spacing w:after="0"/>
              <w:rPr>
                <w:sz w:val="20"/>
                <w:szCs w:val="20"/>
                <w:color w:val="auto"/>
              </w:rPr>
            </w:pPr>
            <w:r>
              <w:rPr>
                <w:rFonts w:ascii="Arial" w:cs="Arial" w:eastAsia="Arial" w:hAnsi="Arial"/>
                <w:sz w:val="13"/>
                <w:szCs w:val="13"/>
                <w:color w:val="auto"/>
              </w:rPr>
              <w:t>Franchise advertising fee revenue</w:t>
            </w: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10,391</w:t>
            </w:r>
          </w:p>
        </w:tc>
        <w:tc>
          <w:tcPr>
            <w:tcW w:w="0" w:type="dxa"/>
            <w:vAlign w:val="bottom"/>
          </w:tcPr>
          <w:p>
            <w:pPr>
              <w:spacing w:after="0"/>
              <w:rPr>
                <w:sz w:val="1"/>
                <w:szCs w:val="1"/>
                <w:color w:val="auto"/>
              </w:rPr>
            </w:pPr>
          </w:p>
        </w:tc>
      </w:tr>
      <w:tr>
        <w:trPr>
          <w:trHeight w:val="91"/>
        </w:trPr>
        <w:tc>
          <w:tcPr>
            <w:tcW w:w="614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614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 non-core market</w:t>
            </w:r>
          </w:p>
        </w:tc>
        <w:tc>
          <w:tcPr>
            <w:tcW w:w="520" w:type="dxa"/>
            <w:vAlign w:val="bottom"/>
            <w:vMerge w:val="restart"/>
            <w:shd w:val="clear" w:color="auto" w:fill="CCEEFF"/>
          </w:tcPr>
          <w:p>
            <w:pPr>
              <w:jc w:val="right"/>
              <w:ind w:right="377"/>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70,432</w:t>
            </w:r>
          </w:p>
        </w:tc>
        <w:tc>
          <w:tcPr>
            <w:tcW w:w="0" w:type="dxa"/>
            <w:vAlign w:val="bottom"/>
          </w:tcPr>
          <w:p>
            <w:pPr>
              <w:spacing w:after="0"/>
              <w:rPr>
                <w:sz w:val="1"/>
                <w:szCs w:val="1"/>
                <w:color w:val="auto"/>
              </w:rPr>
            </w:pPr>
          </w:p>
        </w:tc>
      </w:tr>
      <w:tr>
        <w:trPr>
          <w:trHeight w:val="102"/>
        </w:trPr>
        <w:tc>
          <w:tcPr>
            <w:tcW w:w="6140" w:type="dxa"/>
            <w:vAlign w:val="bottom"/>
            <w:shd w:val="clear" w:color="auto" w:fill="CCEEFF"/>
          </w:tcPr>
          <w:p>
            <w:pPr>
              <w:spacing w:after="0"/>
              <w:rPr>
                <w:sz w:val="8"/>
                <w:szCs w:val="8"/>
                <w:color w:val="auto"/>
              </w:rPr>
            </w:pPr>
          </w:p>
        </w:tc>
        <w:tc>
          <w:tcPr>
            <w:tcW w:w="520" w:type="dxa"/>
            <w:vAlign w:val="bottom"/>
            <w:tcBorders>
              <w:bottom w:val="single" w:sz="8" w:color="auto"/>
            </w:tcBorders>
            <w:vMerge w:val="continue"/>
            <w:shd w:val="clear" w:color="auto" w:fill="CCEEFF"/>
          </w:tcPr>
          <w:p>
            <w:pPr>
              <w:spacing w:after="0"/>
              <w:rPr>
                <w:sz w:val="8"/>
                <w:szCs w:val="8"/>
                <w:color w:val="auto"/>
              </w:rPr>
            </w:pPr>
          </w:p>
        </w:tc>
        <w:tc>
          <w:tcPr>
            <w:tcW w:w="92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140" w:type="dxa"/>
            <w:vAlign w:val="bottom"/>
          </w:tcPr>
          <w:p>
            <w:pPr>
              <w:ind w:left="40"/>
              <w:spacing w:after="0"/>
              <w:rPr>
                <w:sz w:val="20"/>
                <w:szCs w:val="20"/>
                <w:color w:val="auto"/>
              </w:rPr>
            </w:pPr>
            <w:r>
              <w:rPr>
                <w:rFonts w:ascii="Arial" w:cs="Arial" w:eastAsia="Arial" w:hAnsi="Arial"/>
                <w:sz w:val="13"/>
                <w:szCs w:val="13"/>
                <w:b w:val="1"/>
                <w:bCs w:val="1"/>
                <w:color w:val="auto"/>
              </w:rPr>
              <w:t>Total revenue</w:t>
            </w:r>
          </w:p>
        </w:tc>
        <w:tc>
          <w:tcPr>
            <w:tcW w:w="52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w w:val="82"/>
              </w:rPr>
              <w:t>$</w:t>
            </w: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435,828</w:t>
            </w:r>
          </w:p>
        </w:tc>
        <w:tc>
          <w:tcPr>
            <w:tcW w:w="0" w:type="dxa"/>
            <w:vAlign w:val="bottom"/>
          </w:tcPr>
          <w:p>
            <w:pPr>
              <w:spacing w:after="0"/>
              <w:rPr>
                <w:sz w:val="1"/>
                <w:szCs w:val="1"/>
                <w:color w:val="auto"/>
              </w:rPr>
            </w:pPr>
          </w:p>
        </w:tc>
      </w:tr>
      <w:tr>
        <w:trPr>
          <w:trHeight w:val="82"/>
        </w:trPr>
        <w:tc>
          <w:tcPr>
            <w:tcW w:w="6140" w:type="dxa"/>
            <w:vAlign w:val="bottom"/>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Core Market includes markets with existing company-operated restaurants at the IPO date.</w:t>
      </w:r>
    </w:p>
    <w:p>
      <w:pPr>
        <w:spacing w:after="0" w:line="98" w:lineRule="exact"/>
        <w:rPr>
          <w:rFonts w:ascii="Arial" w:cs="Arial" w:eastAsia="Arial" w:hAnsi="Arial"/>
          <w:sz w:val="21"/>
          <w:szCs w:val="21"/>
          <w:color w:val="auto"/>
          <w:vertAlign w:val="superscript"/>
        </w:rPr>
      </w:pPr>
    </w:p>
    <w:p>
      <w:pPr>
        <w:ind w:left="180" w:hanging="172"/>
        <w:spacing w:after="0" w:line="224" w:lineRule="auto"/>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5"/>
          <w:szCs w:val="15"/>
          <w:color w:val="auto"/>
        </w:rPr>
        <w:t>Non-Core Market includes markets entered into subsequent to the IPO 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geographic market for the year ended December 26, 2018:</w:t>
      </w:r>
    </w:p>
    <w:p>
      <w:pPr>
        <w:spacing w:after="0" w:line="200" w:lineRule="exact"/>
        <w:rPr>
          <w:sz w:val="20"/>
          <w:szCs w:val="20"/>
          <w:color w:val="auto"/>
        </w:rPr>
      </w:pP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9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Greater Los Angeles area market</w:t>
            </w:r>
          </w:p>
        </w:tc>
        <w:tc>
          <w:tcPr>
            <w:tcW w:w="2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w:t>
            </w:r>
          </w:p>
        </w:tc>
      </w:tr>
      <w:tr>
        <w:trPr>
          <w:trHeight w:val="18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markets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w:t>
            </w:r>
          </w:p>
        </w:tc>
      </w:tr>
      <w:tr>
        <w:trPr>
          <w:trHeight w:val="183"/>
        </w:trPr>
        <w:tc>
          <w:tcPr>
            <w:tcW w:w="9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Total</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r>
      <w:tr>
        <w:trPr>
          <w:trHeight w:val="20"/>
        </w:trPr>
        <w:tc>
          <w:tcPr>
            <w:tcW w:w="92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provides information about the change in the franchise contract liability balances during the year ended December 26, 2018 (in thousands):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820" w:type="dxa"/>
            <w:vAlign w:val="bottom"/>
          </w:tcPr>
          <w:p>
            <w:pPr>
              <w:ind w:left="40"/>
              <w:spacing w:after="0"/>
              <w:rPr>
                <w:sz w:val="20"/>
                <w:szCs w:val="20"/>
                <w:color w:val="auto"/>
              </w:rPr>
            </w:pPr>
            <w:r>
              <w:rPr>
                <w:rFonts w:ascii="Arial" w:cs="Arial" w:eastAsia="Arial" w:hAnsi="Arial"/>
                <w:sz w:val="13"/>
                <w:szCs w:val="13"/>
                <w:b w:val="1"/>
                <w:bCs w:val="1"/>
                <w:color w:val="auto"/>
              </w:rPr>
              <w:t>December 28, 2017</w:t>
            </w:r>
          </w:p>
        </w:tc>
        <w:tc>
          <w:tcPr>
            <w:tcW w:w="66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5,759</w:t>
            </w:r>
          </w:p>
        </w:tc>
        <w:tc>
          <w:tcPr>
            <w:tcW w:w="0" w:type="dxa"/>
            <w:vAlign w:val="bottom"/>
          </w:tcPr>
          <w:p>
            <w:pPr>
              <w:spacing w:after="0"/>
              <w:rPr>
                <w:sz w:val="1"/>
                <w:szCs w:val="1"/>
                <w:color w:val="auto"/>
              </w:rPr>
            </w:pPr>
          </w:p>
        </w:tc>
      </w:tr>
      <w:tr>
        <w:trPr>
          <w:trHeight w:val="46"/>
        </w:trPr>
        <w:tc>
          <w:tcPr>
            <w:tcW w:w="98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Revenue recognized - beginning balance</w:t>
            </w: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w:t>
            </w:r>
          </w:p>
        </w:tc>
        <w:tc>
          <w:tcPr>
            <w:tcW w:w="0" w:type="dxa"/>
            <w:vAlign w:val="bottom"/>
          </w:tcPr>
          <w:p>
            <w:pPr>
              <w:spacing w:after="0"/>
              <w:rPr>
                <w:sz w:val="1"/>
                <w:szCs w:val="1"/>
                <w:color w:val="auto"/>
              </w:rPr>
            </w:pPr>
          </w:p>
        </w:tc>
      </w:tr>
      <w:tr>
        <w:trPr>
          <w:trHeight w:val="208"/>
        </w:trPr>
        <w:tc>
          <w:tcPr>
            <w:tcW w:w="9820" w:type="dxa"/>
            <w:vAlign w:val="bottom"/>
          </w:tcPr>
          <w:p>
            <w:pPr>
              <w:ind w:left="380"/>
              <w:spacing w:after="0"/>
              <w:rPr>
                <w:sz w:val="20"/>
                <w:szCs w:val="20"/>
                <w:color w:val="auto"/>
              </w:rPr>
            </w:pPr>
            <w:r>
              <w:rPr>
                <w:rFonts w:ascii="Arial" w:cs="Arial" w:eastAsia="Arial" w:hAnsi="Arial"/>
                <w:sz w:val="13"/>
                <w:szCs w:val="13"/>
                <w:color w:val="auto"/>
              </w:rPr>
              <w:t>Additional contract liability</w:t>
            </w:r>
          </w:p>
        </w:tc>
        <w:tc>
          <w:tcPr>
            <w:tcW w:w="66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197"/>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Revenue recognized - additional contract liability</w:t>
            </w:r>
          </w:p>
        </w:tc>
        <w:tc>
          <w:tcPr>
            <w:tcW w:w="6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3"/>
        </w:trPr>
        <w:tc>
          <w:tcPr>
            <w:tcW w:w="9820" w:type="dxa"/>
            <w:vAlign w:val="bottom"/>
          </w:tcPr>
          <w:p>
            <w:pPr>
              <w:ind w:left="40"/>
              <w:spacing w:after="0"/>
              <w:rPr>
                <w:sz w:val="20"/>
                <w:szCs w:val="20"/>
                <w:color w:val="auto"/>
              </w:rPr>
            </w:pPr>
            <w:r>
              <w:rPr>
                <w:rFonts w:ascii="Arial" w:cs="Arial" w:eastAsia="Arial" w:hAnsi="Arial"/>
                <w:sz w:val="13"/>
                <w:szCs w:val="13"/>
                <w:b w:val="1"/>
                <w:bCs w:val="1"/>
                <w:color w:val="auto"/>
              </w:rPr>
              <w:t>December 26, 2018</w:t>
            </w:r>
          </w:p>
        </w:tc>
        <w:tc>
          <w:tcPr>
            <w:tcW w:w="66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5,593</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Company’s franchise contract liability includes development fees, initial franchise and license fees, and franchise renewal fees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the future related to performance obligations that are unsatisfied as of December 26,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76"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4"/>
        </w:trPr>
        <w:tc>
          <w:tcPr>
            <w:tcW w:w="9160" w:type="dxa"/>
            <w:vAlign w:val="bottom"/>
          </w:tcPr>
          <w:p>
            <w:pPr>
              <w:ind w:left="40"/>
              <w:spacing w:after="0"/>
              <w:rPr>
                <w:sz w:val="20"/>
                <w:szCs w:val="20"/>
                <w:color w:val="auto"/>
              </w:rPr>
            </w:pPr>
            <w:r>
              <w:rPr>
                <w:rFonts w:ascii="Arial" w:cs="Arial" w:eastAsia="Arial" w:hAnsi="Arial"/>
                <w:sz w:val="13"/>
                <w:szCs w:val="13"/>
                <w:b w:val="1"/>
                <w:bCs w:val="1"/>
                <w:color w:val="auto"/>
              </w:rPr>
              <w:t>Franchise revenues (in thousands):</w:t>
            </w: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97"/>
        </w:trPr>
        <w:tc>
          <w:tcPr>
            <w:tcW w:w="9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2019</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369</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2020</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400</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2021</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392</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2022</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389</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2023</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379</w:t>
            </w:r>
          </w:p>
        </w:tc>
      </w:tr>
      <w:tr>
        <w:trPr>
          <w:trHeight w:val="210"/>
        </w:trPr>
        <w:tc>
          <w:tcPr>
            <w:tcW w:w="916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Thereafter</w:t>
            </w: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3,664</w:t>
            </w:r>
          </w:p>
        </w:tc>
      </w:tr>
      <w:tr>
        <w:trPr>
          <w:trHeight w:val="210"/>
        </w:trPr>
        <w:tc>
          <w:tcPr>
            <w:tcW w:w="9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3"/>
                <w:szCs w:val="13"/>
                <w:b w:val="1"/>
                <w:bCs w:val="1"/>
                <w:color w:val="auto"/>
              </w:rPr>
              <w:t>Total</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5,593</w:t>
            </w:r>
          </w:p>
        </w:tc>
      </w:tr>
      <w:tr>
        <w:trPr>
          <w:trHeight w:val="20"/>
        </w:trPr>
        <w:tc>
          <w:tcPr>
            <w:tcW w:w="9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RESULTS OF OPERATIONS (UNAUDITED)</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table sets forth a summary of our unaudited quarterly operating results for each of the last eight quarters in the period ended December 26, 2018. We have derived this data from our unaudited consolidated interim financial statements that, in our opinion, have been prepared on substantially the same basis as the audited financial statements contained elsewhere in this report and include all normal recurring adjustments necessary for a fair presentation of the financial information for the periods presented. These unaudited quarterly results should be read in conjunction with our financial statements and notes thereto included elsewhere in this report. The operating results in any quarter are not necessarily indicative of the results that may be expected for any future period.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3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b w:val="1"/>
                <w:bCs w:val="1"/>
                <w:color w:val="auto"/>
              </w:rPr>
              <w:t>2018</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17"/>
              <w:spacing w:after="0"/>
              <w:rPr>
                <w:sz w:val="20"/>
                <w:szCs w:val="20"/>
                <w:color w:val="auto"/>
              </w:rPr>
            </w:pPr>
            <w:r>
              <w:rPr>
                <w:rFonts w:ascii="Arial" w:cs="Arial" w:eastAsia="Arial" w:hAnsi="Arial"/>
                <w:sz w:val="13"/>
                <w:szCs w:val="13"/>
                <w:b w:val="1"/>
                <w:bCs w:val="1"/>
                <w:color w:val="auto"/>
              </w:rPr>
              <w:t>2017</w:t>
            </w:r>
          </w:p>
        </w:tc>
        <w:tc>
          <w:tcPr>
            <w:tcW w:w="980" w:type="dxa"/>
            <w:vAlign w:val="bottom"/>
            <w:tcBorders>
              <w:bottom w:val="single" w:sz="8" w:color="auto"/>
            </w:tcBorders>
          </w:tcPr>
          <w:p>
            <w:pPr>
              <w:spacing w:after="0"/>
              <w:rPr>
                <w:sz w:val="15"/>
                <w:szCs w:val="15"/>
                <w:color w:val="auto"/>
              </w:rPr>
            </w:pPr>
          </w:p>
        </w:tc>
      </w:tr>
      <w:tr>
        <w:trPr>
          <w:trHeight w:val="130"/>
        </w:trPr>
        <w:tc>
          <w:tcPr>
            <w:tcW w:w="2040" w:type="dxa"/>
            <w:vAlign w:val="bottom"/>
          </w:tcPr>
          <w:p>
            <w:pPr>
              <w:spacing w:after="0" w:line="131" w:lineRule="exact"/>
              <w:rPr>
                <w:sz w:val="20"/>
                <w:szCs w:val="20"/>
                <w:color w:val="auto"/>
              </w:rPr>
            </w:pPr>
            <w:r>
              <w:rPr>
                <w:rFonts w:ascii="Arial" w:cs="Arial" w:eastAsia="Arial" w:hAnsi="Arial"/>
                <w:sz w:val="13"/>
                <w:szCs w:val="13"/>
                <w:b w:val="1"/>
                <w:bCs w:val="1"/>
                <w:color w:val="auto"/>
                <w:w w:val="87"/>
              </w:rPr>
              <w:t>(Dollar amounts in thousands, except</w:t>
            </w: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64"/>
        </w:trPr>
        <w:tc>
          <w:tcPr>
            <w:tcW w:w="2040" w:type="dxa"/>
            <w:vAlign w:val="bottom"/>
          </w:tcPr>
          <w:p>
            <w:pPr>
              <w:spacing w:after="0"/>
              <w:rPr>
                <w:sz w:val="20"/>
                <w:szCs w:val="20"/>
                <w:color w:val="auto"/>
              </w:rPr>
            </w:pPr>
            <w:r>
              <w:rPr>
                <w:rFonts w:ascii="Arial" w:cs="Arial" w:eastAsia="Arial" w:hAnsi="Arial"/>
                <w:sz w:val="13"/>
                <w:szCs w:val="13"/>
                <w:b w:val="1"/>
                <w:bCs w:val="1"/>
                <w:color w:val="auto"/>
              </w:rPr>
              <w:t>share data)</w:t>
            </w:r>
          </w:p>
        </w:tc>
        <w:tc>
          <w:tcPr>
            <w:tcW w:w="1120" w:type="dxa"/>
            <w:vAlign w:val="bottom"/>
          </w:tcPr>
          <w:p>
            <w:pPr>
              <w:ind w:left="340"/>
              <w:spacing w:after="0"/>
              <w:rPr>
                <w:sz w:val="20"/>
                <w:szCs w:val="20"/>
                <w:color w:val="auto"/>
              </w:rPr>
            </w:pPr>
            <w:r>
              <w:rPr>
                <w:rFonts w:ascii="Arial" w:cs="Arial" w:eastAsia="Arial" w:hAnsi="Arial"/>
                <w:sz w:val="13"/>
                <w:szCs w:val="13"/>
                <w:b w:val="1"/>
                <w:bCs w:val="1"/>
                <w:color w:val="auto"/>
              </w:rPr>
              <w:t>Dec.</w:t>
            </w:r>
          </w:p>
        </w:tc>
        <w:tc>
          <w:tcPr>
            <w:tcW w:w="940" w:type="dxa"/>
            <w:vAlign w:val="bottom"/>
          </w:tcPr>
          <w:p>
            <w:pPr>
              <w:ind w:left="540"/>
              <w:spacing w:after="0"/>
              <w:rPr>
                <w:sz w:val="20"/>
                <w:szCs w:val="20"/>
                <w:color w:val="auto"/>
              </w:rPr>
            </w:pPr>
            <w:r>
              <w:rPr>
                <w:rFonts w:ascii="Arial" w:cs="Arial" w:eastAsia="Arial" w:hAnsi="Arial"/>
                <w:sz w:val="13"/>
                <w:szCs w:val="13"/>
                <w:b w:val="1"/>
                <w:bCs w:val="1"/>
                <w:color w:val="auto"/>
              </w:rPr>
              <w:t>Sept.</w:t>
            </w:r>
          </w:p>
        </w:tc>
        <w:tc>
          <w:tcPr>
            <w:tcW w:w="1480" w:type="dxa"/>
            <w:vAlign w:val="bottom"/>
          </w:tcPr>
          <w:p>
            <w:pPr>
              <w:jc w:val="right"/>
              <w:ind w:right="397"/>
              <w:spacing w:after="0"/>
              <w:rPr>
                <w:sz w:val="20"/>
                <w:szCs w:val="20"/>
                <w:color w:val="auto"/>
              </w:rPr>
            </w:pPr>
            <w:r>
              <w:rPr>
                <w:rFonts w:ascii="Arial" w:cs="Arial" w:eastAsia="Arial" w:hAnsi="Arial"/>
                <w:sz w:val="13"/>
                <w:szCs w:val="13"/>
                <w:b w:val="1"/>
                <w:bCs w:val="1"/>
                <w:color w:val="auto"/>
              </w:rPr>
              <w:t>June</w:t>
            </w:r>
          </w:p>
        </w:tc>
        <w:tc>
          <w:tcPr>
            <w:tcW w:w="1200" w:type="dxa"/>
            <w:vAlign w:val="bottom"/>
            <w:gridSpan w:val="2"/>
          </w:tcPr>
          <w:p>
            <w:pPr>
              <w:ind w:left="460"/>
              <w:spacing w:after="0"/>
              <w:rPr>
                <w:sz w:val="20"/>
                <w:szCs w:val="20"/>
                <w:color w:val="auto"/>
              </w:rPr>
            </w:pPr>
            <w:r>
              <w:rPr>
                <w:rFonts w:ascii="Arial" w:cs="Arial" w:eastAsia="Arial" w:hAnsi="Arial"/>
                <w:sz w:val="13"/>
                <w:szCs w:val="13"/>
                <w:b w:val="1"/>
                <w:bCs w:val="1"/>
                <w:color w:val="auto"/>
              </w:rPr>
              <w:t>Mar</w:t>
            </w:r>
          </w:p>
        </w:tc>
        <w:tc>
          <w:tcPr>
            <w:tcW w:w="1080" w:type="dxa"/>
            <w:vAlign w:val="bottom"/>
          </w:tcPr>
          <w:p>
            <w:pPr>
              <w:ind w:left="340"/>
              <w:spacing w:after="0"/>
              <w:rPr>
                <w:sz w:val="20"/>
                <w:szCs w:val="20"/>
                <w:color w:val="auto"/>
              </w:rPr>
            </w:pPr>
            <w:r>
              <w:rPr>
                <w:rFonts w:ascii="Arial" w:cs="Arial" w:eastAsia="Arial" w:hAnsi="Arial"/>
                <w:sz w:val="13"/>
                <w:szCs w:val="13"/>
                <w:b w:val="1"/>
                <w:bCs w:val="1"/>
                <w:color w:val="auto"/>
              </w:rPr>
              <w:t>Dec.</w:t>
            </w:r>
          </w:p>
        </w:tc>
        <w:tc>
          <w:tcPr>
            <w:tcW w:w="940" w:type="dxa"/>
            <w:vAlign w:val="bottom"/>
          </w:tcPr>
          <w:p>
            <w:pPr>
              <w:ind w:left="520"/>
              <w:spacing w:after="0"/>
              <w:rPr>
                <w:sz w:val="20"/>
                <w:szCs w:val="20"/>
                <w:color w:val="auto"/>
              </w:rPr>
            </w:pPr>
            <w:r>
              <w:rPr>
                <w:rFonts w:ascii="Arial" w:cs="Arial" w:eastAsia="Arial" w:hAnsi="Arial"/>
                <w:sz w:val="13"/>
                <w:szCs w:val="13"/>
                <w:b w:val="1"/>
                <w:bCs w:val="1"/>
                <w:color w:val="auto"/>
              </w:rPr>
              <w:t>Sept.</w:t>
            </w:r>
          </w:p>
        </w:tc>
        <w:tc>
          <w:tcPr>
            <w:tcW w:w="1600" w:type="dxa"/>
            <w:vAlign w:val="bottom"/>
          </w:tcPr>
          <w:p>
            <w:pPr>
              <w:jc w:val="right"/>
              <w:ind w:right="337"/>
              <w:spacing w:after="0"/>
              <w:rPr>
                <w:sz w:val="20"/>
                <w:szCs w:val="20"/>
                <w:color w:val="auto"/>
              </w:rPr>
            </w:pPr>
            <w:r>
              <w:rPr>
                <w:rFonts w:ascii="Arial" w:cs="Arial" w:eastAsia="Arial" w:hAnsi="Arial"/>
                <w:sz w:val="13"/>
                <w:szCs w:val="13"/>
                <w:b w:val="1"/>
                <w:bCs w:val="1"/>
                <w:color w:val="auto"/>
              </w:rPr>
              <w:t>June</w:t>
            </w:r>
          </w:p>
        </w:tc>
        <w:tc>
          <w:tcPr>
            <w:tcW w:w="980" w:type="dxa"/>
            <w:vAlign w:val="bottom"/>
          </w:tcPr>
          <w:p>
            <w:pPr>
              <w:ind w:left="400"/>
              <w:spacing w:after="0"/>
              <w:rPr>
                <w:sz w:val="20"/>
                <w:szCs w:val="20"/>
                <w:color w:val="auto"/>
              </w:rPr>
            </w:pPr>
            <w:r>
              <w:rPr>
                <w:rFonts w:ascii="Arial" w:cs="Arial" w:eastAsia="Arial" w:hAnsi="Arial"/>
                <w:sz w:val="13"/>
                <w:szCs w:val="13"/>
                <w:b w:val="1"/>
                <w:bCs w:val="1"/>
                <w:color w:val="auto"/>
              </w:rPr>
              <w:t>Mar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Selected Financial Data</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revenue ($) (5)</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(Loss) income from operations ($)</w:t>
      </w:r>
    </w:p>
    <w:p>
      <w:pPr>
        <w:spacing w:after="0" w:line="121"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rPr>
        <w:t>Provision (benefit) for income taxes ($)</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Per Share Data </w:t>
      </w:r>
      <w:r>
        <w:rPr>
          <w:rFonts w:ascii="Arial" w:cs="Arial" w:eastAsia="Arial" w:hAnsi="Arial"/>
          <w:sz w:val="16"/>
          <w:szCs w:val="16"/>
          <w:b w:val="1"/>
          <w:bCs w:val="1"/>
          <w:color w:val="auto"/>
        </w:rPr>
        <w:t>(2)</w:t>
      </w:r>
      <w:r>
        <w:rPr>
          <w:rFonts w:ascii="Arial" w:cs="Arial" w:eastAsia="Arial" w:hAnsi="Arial"/>
          <w:sz w:val="14"/>
          <w:szCs w:val="14"/>
          <w:b w:val="1"/>
          <w:bCs w:val="1"/>
          <w:color w:val="auto"/>
        </w:rPr>
        <w:t>:</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 income per share: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jc w:val="both"/>
        <w:ind w:left="40" w:right="100"/>
        <w:spacing w:after="0" w:line="305" w:lineRule="auto"/>
        <w:rPr>
          <w:sz w:val="20"/>
          <w:szCs w:val="20"/>
          <w:color w:val="auto"/>
        </w:rPr>
      </w:pPr>
      <w:r>
        <w:rPr>
          <w:rFonts w:ascii="Arial" w:cs="Arial" w:eastAsia="Arial" w:hAnsi="Arial"/>
          <w:sz w:val="12"/>
          <w:szCs w:val="12"/>
          <w:color w:val="auto"/>
        </w:rPr>
        <w:t>Weighted average shares used in computing net income per share:</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jc w:val="right"/>
              <w:ind w:right="68"/>
              <w:spacing w:after="0"/>
              <w:rPr>
                <w:sz w:val="20"/>
                <w:szCs w:val="20"/>
                <w:color w:val="auto"/>
              </w:rPr>
            </w:pPr>
            <w:r>
              <w:rPr>
                <w:rFonts w:ascii="Arial" w:cs="Arial" w:eastAsia="Arial" w:hAnsi="Arial"/>
                <w:sz w:val="14"/>
                <w:szCs w:val="14"/>
                <w:color w:val="auto"/>
                <w:w w:val="86"/>
              </w:rPr>
              <w:t>106,261</w:t>
            </w:r>
          </w:p>
        </w:tc>
        <w:tc>
          <w:tcPr>
            <w:tcW w:w="520" w:type="dxa"/>
            <w:vAlign w:val="bottom"/>
          </w:tcPr>
          <w:p>
            <w:pPr>
              <w:spacing w:after="0"/>
              <w:rPr>
                <w:sz w:val="15"/>
                <w:szCs w:val="15"/>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112,178</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111,633</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105,756</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95,202</w:t>
            </w:r>
          </w:p>
        </w:tc>
        <w:tc>
          <w:tcPr>
            <w:tcW w:w="480" w:type="dxa"/>
            <w:vAlign w:val="bottom"/>
          </w:tcPr>
          <w:p>
            <w:pPr>
              <w:spacing w:after="0"/>
              <w:rPr>
                <w:sz w:val="15"/>
                <w:szCs w:val="15"/>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color w:val="auto"/>
              </w:rPr>
              <w:t>101,155</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105,573</w:t>
            </w:r>
          </w:p>
        </w:tc>
        <w:tc>
          <w:tcPr>
            <w:tcW w:w="720" w:type="dxa"/>
            <w:vAlign w:val="bottom"/>
          </w:tcPr>
          <w:p>
            <w:pPr>
              <w:jc w:val="right"/>
              <w:spacing w:after="0"/>
              <w:rPr>
                <w:sz w:val="20"/>
                <w:szCs w:val="20"/>
                <w:color w:val="auto"/>
              </w:rPr>
            </w:pPr>
            <w:r>
              <w:rPr>
                <w:rFonts w:ascii="Arial" w:cs="Arial" w:eastAsia="Arial" w:hAnsi="Arial"/>
                <w:sz w:val="14"/>
                <w:szCs w:val="14"/>
                <w:color w:val="auto"/>
              </w:rPr>
              <w:t>99,771</w:t>
            </w:r>
          </w:p>
        </w:tc>
      </w:tr>
      <w:tr>
        <w:trPr>
          <w:trHeight w:val="270"/>
        </w:trPr>
        <w:tc>
          <w:tcPr>
            <w:tcW w:w="600" w:type="dxa"/>
            <w:vAlign w:val="bottom"/>
          </w:tcPr>
          <w:p>
            <w:pPr>
              <w:jc w:val="right"/>
              <w:ind w:right="8"/>
              <w:spacing w:after="0"/>
              <w:rPr>
                <w:sz w:val="20"/>
                <w:szCs w:val="20"/>
                <w:color w:val="auto"/>
              </w:rPr>
            </w:pPr>
            <w:r>
              <w:rPr>
                <w:rFonts w:ascii="Arial" w:cs="Arial" w:eastAsia="Arial" w:hAnsi="Arial"/>
                <w:sz w:val="14"/>
                <w:szCs w:val="14"/>
                <w:color w:val="auto"/>
                <w:w w:val="95"/>
              </w:rPr>
              <w:t>(30,990)</w:t>
            </w:r>
          </w:p>
        </w:tc>
        <w:tc>
          <w:tcPr>
            <w:tcW w:w="520" w:type="dxa"/>
            <w:vAlign w:val="bottom"/>
          </w:tcPr>
          <w:p>
            <w:pPr>
              <w:jc w:val="right"/>
              <w:ind w:right="217"/>
              <w:spacing w:after="0"/>
              <w:rPr>
                <w:sz w:val="20"/>
                <w:szCs w:val="20"/>
                <w:color w:val="auto"/>
              </w:rPr>
            </w:pPr>
            <w:r>
              <w:rPr>
                <w:rFonts w:ascii="Arial" w:cs="Arial" w:eastAsia="Arial" w:hAnsi="Arial"/>
                <w:sz w:val="13"/>
                <w:szCs w:val="13"/>
                <w:color w:val="auto"/>
              </w:rPr>
              <w:t>(6)</w:t>
            </w: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9,492</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7,589</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4,448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(9,665)</w:t>
            </w:r>
          </w:p>
        </w:tc>
        <w:tc>
          <w:tcPr>
            <w:tcW w:w="480" w:type="dxa"/>
            <w:vAlign w:val="bottom"/>
          </w:tcPr>
          <w:p>
            <w:pPr>
              <w:spacing w:after="0"/>
              <w:rPr>
                <w:sz w:val="23"/>
                <w:szCs w:val="23"/>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(5,612)</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12,740</w:t>
            </w:r>
          </w:p>
        </w:tc>
        <w:tc>
          <w:tcPr>
            <w:tcW w:w="720" w:type="dxa"/>
            <w:vAlign w:val="bottom"/>
          </w:tcPr>
          <w:p>
            <w:pPr>
              <w:jc w:val="right"/>
              <w:spacing w:after="0"/>
              <w:rPr>
                <w:sz w:val="20"/>
                <w:szCs w:val="20"/>
                <w:color w:val="auto"/>
              </w:rPr>
            </w:pPr>
            <w:r>
              <w:rPr>
                <w:rFonts w:ascii="Arial" w:cs="Arial" w:eastAsia="Arial" w:hAnsi="Arial"/>
                <w:sz w:val="14"/>
                <w:szCs w:val="14"/>
                <w:color w:val="auto"/>
              </w:rPr>
              <w:t>9,361</w:t>
            </w:r>
          </w:p>
        </w:tc>
      </w:tr>
      <w:tr>
        <w:trPr>
          <w:trHeight w:val="351"/>
        </w:trPr>
        <w:tc>
          <w:tcPr>
            <w:tcW w:w="600" w:type="dxa"/>
            <w:vAlign w:val="bottom"/>
          </w:tcPr>
          <w:p>
            <w:pPr>
              <w:jc w:val="right"/>
              <w:ind w:right="8"/>
              <w:spacing w:after="0"/>
              <w:rPr>
                <w:sz w:val="20"/>
                <w:szCs w:val="20"/>
                <w:color w:val="auto"/>
              </w:rPr>
            </w:pPr>
            <w:r>
              <w:rPr>
                <w:rFonts w:ascii="Arial" w:cs="Arial" w:eastAsia="Arial" w:hAnsi="Arial"/>
                <w:sz w:val="14"/>
                <w:szCs w:val="14"/>
                <w:color w:val="auto"/>
              </w:rPr>
              <w:t>(8,410)</w:t>
            </w:r>
          </w:p>
        </w:tc>
        <w:tc>
          <w:tcPr>
            <w:tcW w:w="520" w:type="dxa"/>
            <w:vAlign w:val="bottom"/>
          </w:tcPr>
          <w:p>
            <w:pPr>
              <w:jc w:val="right"/>
              <w:ind w:right="217"/>
              <w:spacing w:after="0"/>
              <w:rPr>
                <w:sz w:val="20"/>
                <w:szCs w:val="20"/>
                <w:color w:val="auto"/>
              </w:rPr>
            </w:pPr>
            <w:r>
              <w:rPr>
                <w:rFonts w:ascii="Arial" w:cs="Arial" w:eastAsia="Arial" w:hAnsi="Arial"/>
                <w:sz w:val="13"/>
                <w:szCs w:val="13"/>
                <w:color w:val="auto"/>
              </w:rPr>
              <w:t>(6)</w:t>
            </w: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2,388</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865</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1,949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(4,757)</w:t>
            </w:r>
          </w:p>
        </w:tc>
        <w:tc>
          <w:tcPr>
            <w:tcW w:w="480" w:type="dxa"/>
            <w:vAlign w:val="bottom"/>
          </w:tcPr>
          <w:p>
            <w:pPr>
              <w:jc w:val="right"/>
              <w:ind w:right="177"/>
              <w:spacing w:after="0"/>
              <w:rPr>
                <w:sz w:val="20"/>
                <w:szCs w:val="20"/>
                <w:color w:val="auto"/>
              </w:rPr>
            </w:pPr>
            <w:r>
              <w:rPr>
                <w:rFonts w:ascii="Arial" w:cs="Arial" w:eastAsia="Arial" w:hAnsi="Arial"/>
                <w:sz w:val="13"/>
                <w:szCs w:val="13"/>
                <w:color w:val="auto"/>
              </w:rPr>
              <w:t>(3)</w:t>
            </w: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(2,457)</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4,244</w:t>
            </w:r>
          </w:p>
        </w:tc>
        <w:tc>
          <w:tcPr>
            <w:tcW w:w="720" w:type="dxa"/>
            <w:vAlign w:val="bottom"/>
          </w:tcPr>
          <w:p>
            <w:pPr>
              <w:jc w:val="right"/>
              <w:spacing w:after="0"/>
              <w:rPr>
                <w:sz w:val="20"/>
                <w:szCs w:val="20"/>
                <w:color w:val="auto"/>
              </w:rPr>
            </w:pPr>
            <w:r>
              <w:rPr>
                <w:rFonts w:ascii="Arial" w:cs="Arial" w:eastAsia="Arial" w:hAnsi="Arial"/>
                <w:sz w:val="14"/>
                <w:szCs w:val="14"/>
                <w:color w:val="auto"/>
              </w:rPr>
              <w:t>3,467</w:t>
            </w:r>
          </w:p>
        </w:tc>
      </w:tr>
      <w:tr>
        <w:trPr>
          <w:trHeight w:val="270"/>
        </w:trPr>
        <w:tc>
          <w:tcPr>
            <w:tcW w:w="600" w:type="dxa"/>
            <w:vAlign w:val="bottom"/>
          </w:tcPr>
          <w:p>
            <w:pPr>
              <w:jc w:val="right"/>
              <w:ind w:right="8"/>
              <w:spacing w:after="0"/>
              <w:rPr>
                <w:sz w:val="20"/>
                <w:szCs w:val="20"/>
                <w:color w:val="auto"/>
              </w:rPr>
            </w:pPr>
            <w:r>
              <w:rPr>
                <w:rFonts w:ascii="Arial" w:cs="Arial" w:eastAsia="Arial" w:hAnsi="Arial"/>
                <w:sz w:val="14"/>
                <w:szCs w:val="14"/>
                <w:color w:val="auto"/>
                <w:w w:val="95"/>
              </w:rPr>
              <w:t>(23,410)</w:t>
            </w:r>
          </w:p>
        </w:tc>
        <w:tc>
          <w:tcPr>
            <w:tcW w:w="520" w:type="dxa"/>
            <w:vAlign w:val="bottom"/>
          </w:tcPr>
          <w:p>
            <w:pPr>
              <w:spacing w:after="0"/>
              <w:rPr>
                <w:sz w:val="23"/>
                <w:szCs w:val="23"/>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6,835</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5,052</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2,529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480" w:type="dxa"/>
            <w:vAlign w:val="bottom"/>
          </w:tcPr>
          <w:p>
            <w:pPr>
              <w:spacing w:after="0"/>
              <w:rPr>
                <w:sz w:val="23"/>
                <w:szCs w:val="23"/>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(4,039)</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7,819</w:t>
            </w:r>
          </w:p>
        </w:tc>
        <w:tc>
          <w:tcPr>
            <w:tcW w:w="720" w:type="dxa"/>
            <w:vAlign w:val="bottom"/>
          </w:tcPr>
          <w:p>
            <w:pPr>
              <w:jc w:val="right"/>
              <w:spacing w:after="0"/>
              <w:rPr>
                <w:sz w:val="20"/>
                <w:szCs w:val="20"/>
                <w:color w:val="auto"/>
              </w:rPr>
            </w:pPr>
            <w:r>
              <w:rPr>
                <w:rFonts w:ascii="Arial" w:cs="Arial" w:eastAsia="Arial" w:hAnsi="Arial"/>
                <w:sz w:val="14"/>
                <w:szCs w:val="14"/>
                <w:color w:val="auto"/>
              </w:rPr>
              <w:t>4,877</w:t>
            </w:r>
          </w:p>
        </w:tc>
      </w:tr>
      <w:tr>
        <w:trPr>
          <w:trHeight w:val="810"/>
        </w:trPr>
        <w:tc>
          <w:tcPr>
            <w:tcW w:w="600" w:type="dxa"/>
            <w:vAlign w:val="bottom"/>
          </w:tcPr>
          <w:p>
            <w:pPr>
              <w:jc w:val="right"/>
              <w:ind w:right="8"/>
              <w:spacing w:after="0"/>
              <w:rPr>
                <w:sz w:val="20"/>
                <w:szCs w:val="20"/>
                <w:color w:val="auto"/>
              </w:rPr>
            </w:pPr>
            <w:r>
              <w:rPr>
                <w:rFonts w:ascii="Arial" w:cs="Arial" w:eastAsia="Arial" w:hAnsi="Arial"/>
                <w:sz w:val="14"/>
                <w:szCs w:val="14"/>
                <w:color w:val="auto"/>
              </w:rPr>
              <w:t>(0.60)</w:t>
            </w:r>
          </w:p>
        </w:tc>
        <w:tc>
          <w:tcPr>
            <w:tcW w:w="520" w:type="dxa"/>
            <w:vAlign w:val="bottom"/>
          </w:tcPr>
          <w:p>
            <w:pPr>
              <w:spacing w:after="0"/>
              <w:rPr>
                <w:sz w:val="24"/>
                <w:szCs w:val="2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0.18</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0.13</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0.07</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0.00</w:t>
            </w:r>
          </w:p>
        </w:tc>
        <w:tc>
          <w:tcPr>
            <w:tcW w:w="480" w:type="dxa"/>
            <w:vAlign w:val="bottom"/>
          </w:tcPr>
          <w:p>
            <w:pPr>
              <w:spacing w:after="0"/>
              <w:rPr>
                <w:sz w:val="24"/>
                <w:szCs w:val="24"/>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(0.11)</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0.20</w:t>
            </w:r>
          </w:p>
        </w:tc>
        <w:tc>
          <w:tcPr>
            <w:tcW w:w="720" w:type="dxa"/>
            <w:vAlign w:val="bottom"/>
          </w:tcPr>
          <w:p>
            <w:pPr>
              <w:jc w:val="right"/>
              <w:spacing w:after="0"/>
              <w:rPr>
                <w:sz w:val="20"/>
                <w:szCs w:val="20"/>
                <w:color w:val="auto"/>
              </w:rPr>
            </w:pPr>
            <w:r>
              <w:rPr>
                <w:rFonts w:ascii="Arial" w:cs="Arial" w:eastAsia="Arial" w:hAnsi="Arial"/>
                <w:sz w:val="14"/>
                <w:szCs w:val="14"/>
                <w:color w:val="auto"/>
              </w:rPr>
              <w:t>0.13</w:t>
            </w:r>
          </w:p>
        </w:tc>
      </w:tr>
      <w:tr>
        <w:trPr>
          <w:trHeight w:val="270"/>
        </w:trPr>
        <w:tc>
          <w:tcPr>
            <w:tcW w:w="600" w:type="dxa"/>
            <w:vAlign w:val="bottom"/>
          </w:tcPr>
          <w:p>
            <w:pPr>
              <w:jc w:val="right"/>
              <w:ind w:right="8"/>
              <w:spacing w:after="0"/>
              <w:rPr>
                <w:sz w:val="20"/>
                <w:szCs w:val="20"/>
                <w:color w:val="auto"/>
              </w:rPr>
            </w:pPr>
            <w:r>
              <w:rPr>
                <w:rFonts w:ascii="Arial" w:cs="Arial" w:eastAsia="Arial" w:hAnsi="Arial"/>
                <w:sz w:val="14"/>
                <w:szCs w:val="14"/>
                <w:color w:val="auto"/>
              </w:rPr>
              <w:t>(0.60)</w:t>
            </w:r>
          </w:p>
        </w:tc>
        <w:tc>
          <w:tcPr>
            <w:tcW w:w="520" w:type="dxa"/>
            <w:vAlign w:val="bottom"/>
          </w:tcPr>
          <w:p>
            <w:pPr>
              <w:spacing w:after="0"/>
              <w:rPr>
                <w:sz w:val="23"/>
                <w:szCs w:val="23"/>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0.17</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0.13</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0.06</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0.00</w:t>
            </w:r>
          </w:p>
        </w:tc>
        <w:tc>
          <w:tcPr>
            <w:tcW w:w="480" w:type="dxa"/>
            <w:vAlign w:val="bottom"/>
          </w:tcPr>
          <w:p>
            <w:pPr>
              <w:spacing w:after="0"/>
              <w:rPr>
                <w:sz w:val="23"/>
                <w:szCs w:val="23"/>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color w:val="auto"/>
              </w:rPr>
              <w:t>(0.11)</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0.20</w:t>
            </w:r>
          </w:p>
        </w:tc>
        <w:tc>
          <w:tcPr>
            <w:tcW w:w="720" w:type="dxa"/>
            <w:vAlign w:val="bottom"/>
          </w:tcPr>
          <w:p>
            <w:pPr>
              <w:jc w:val="right"/>
              <w:spacing w:after="0"/>
              <w:rPr>
                <w:sz w:val="20"/>
                <w:szCs w:val="20"/>
                <w:color w:val="auto"/>
              </w:rPr>
            </w:pPr>
            <w:r>
              <w:rPr>
                <w:rFonts w:ascii="Arial" w:cs="Arial" w:eastAsia="Arial" w:hAnsi="Arial"/>
                <w:sz w:val="14"/>
                <w:szCs w:val="14"/>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-1243965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-849630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-506095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-163195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230505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2" w:lineRule="exact"/>
        <w:rPr>
          <w:sz w:val="20"/>
          <w:szCs w:val="20"/>
          <w:color w:val="auto"/>
        </w:rPr>
      </w:pPr>
    </w:p>
    <w:p>
      <w:pPr>
        <w:sectPr>
          <w:pgSz w:w="11900" w:h="16838" w:orient="portrait"/>
          <w:cols w:equalWidth="0" w:num="2">
            <w:col w:w="2020" w:space="400"/>
            <w:col w:w="9000"/>
          </w:cols>
          <w:pgMar w:left="240" w:top="229"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Selected Operating Data</w:t>
      </w:r>
    </w:p>
    <w:p>
      <w:pPr>
        <w:spacing w:after="0" w:line="113"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Number of restaurants (at period end)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48"/>
              <w:spacing w:after="0"/>
              <w:rPr>
                <w:sz w:val="20"/>
                <w:szCs w:val="20"/>
                <w:color w:val="auto"/>
              </w:rPr>
            </w:pPr>
            <w:r>
              <w:rPr>
                <w:rFonts w:ascii="Arial" w:cs="Arial" w:eastAsia="Arial" w:hAnsi="Arial"/>
                <w:sz w:val="14"/>
                <w:szCs w:val="14"/>
                <w:color w:val="auto"/>
                <w:w w:val="88"/>
              </w:rPr>
              <w:t>38,751,522</w:t>
            </w:r>
          </w:p>
        </w:tc>
        <w:tc>
          <w:tcPr>
            <w:tcW w:w="440" w:type="dxa"/>
            <w:vAlign w:val="bottom"/>
          </w:tcPr>
          <w:p>
            <w:pPr>
              <w:spacing w:after="0"/>
              <w:rPr>
                <w:sz w:val="15"/>
                <w:szCs w:val="15"/>
                <w:color w:val="auto"/>
              </w:rPr>
            </w:pP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38,602,658</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38,482,074</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38,465,208</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38,465,208</w:t>
            </w:r>
          </w:p>
        </w:tc>
        <w:tc>
          <w:tcPr>
            <w:tcW w:w="42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38,462,100</w:t>
            </w:r>
          </w:p>
        </w:tc>
        <w:tc>
          <w:tcPr>
            <w:tcW w:w="42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38,449,240</w:t>
            </w:r>
          </w:p>
        </w:tc>
        <w:tc>
          <w:tcPr>
            <w:tcW w:w="840" w:type="dxa"/>
            <w:vAlign w:val="bottom"/>
          </w:tcPr>
          <w:p>
            <w:pPr>
              <w:jc w:val="right"/>
              <w:spacing w:after="0"/>
              <w:rPr>
                <w:sz w:val="20"/>
                <w:szCs w:val="20"/>
                <w:color w:val="auto"/>
              </w:rPr>
            </w:pPr>
            <w:r>
              <w:rPr>
                <w:rFonts w:ascii="Arial" w:cs="Arial" w:eastAsia="Arial" w:hAnsi="Arial"/>
                <w:sz w:val="14"/>
                <w:szCs w:val="14"/>
                <w:color w:val="auto"/>
              </w:rPr>
              <w:t>38,437,020</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w w:val="88"/>
              </w:rPr>
              <w:t>38,751,522</w:t>
            </w:r>
          </w:p>
        </w:tc>
        <w:tc>
          <w:tcPr>
            <w:tcW w:w="440" w:type="dxa"/>
            <w:vAlign w:val="bottom"/>
          </w:tcPr>
          <w:p>
            <w:pPr>
              <w:jc w:val="right"/>
              <w:ind w:right="117"/>
              <w:spacing w:after="0"/>
              <w:rPr>
                <w:sz w:val="20"/>
                <w:szCs w:val="20"/>
                <w:color w:val="auto"/>
              </w:rPr>
            </w:pPr>
            <w:r>
              <w:rPr>
                <w:rFonts w:ascii="Arial" w:cs="Arial" w:eastAsia="Arial" w:hAnsi="Arial"/>
                <w:sz w:val="13"/>
                <w:szCs w:val="13"/>
                <w:color w:val="auto"/>
              </w:rPr>
              <w:t>(4)</w:t>
            </w:r>
          </w:p>
        </w:tc>
        <w:tc>
          <w:tcPr>
            <w:tcW w:w="1100" w:type="dxa"/>
            <w:vAlign w:val="bottom"/>
          </w:tcPr>
          <w:p>
            <w:pPr>
              <w:jc w:val="right"/>
              <w:ind w:right="188"/>
              <w:spacing w:after="0"/>
              <w:rPr>
                <w:sz w:val="20"/>
                <w:szCs w:val="20"/>
                <w:color w:val="auto"/>
              </w:rPr>
            </w:pPr>
            <w:r>
              <w:rPr>
                <w:rFonts w:ascii="Arial" w:cs="Arial" w:eastAsia="Arial" w:hAnsi="Arial"/>
                <w:sz w:val="14"/>
                <w:szCs w:val="14"/>
                <w:color w:val="auto"/>
              </w:rPr>
              <w:t>39,205,090</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39,043,434</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38,987,351</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38,465,208</w:t>
            </w:r>
          </w:p>
        </w:tc>
        <w:tc>
          <w:tcPr>
            <w:tcW w:w="420" w:type="dxa"/>
            <w:vAlign w:val="bottom"/>
          </w:tcPr>
          <w:p>
            <w:pPr>
              <w:jc w:val="right"/>
              <w:ind w:right="97"/>
              <w:spacing w:after="0"/>
              <w:rPr>
                <w:sz w:val="20"/>
                <w:szCs w:val="20"/>
                <w:color w:val="auto"/>
              </w:rPr>
            </w:pPr>
            <w:r>
              <w:rPr>
                <w:rFonts w:ascii="Arial" w:cs="Arial" w:eastAsia="Arial" w:hAnsi="Arial"/>
                <w:sz w:val="13"/>
                <w:szCs w:val="13"/>
                <w:color w:val="auto"/>
              </w:rPr>
              <w:t>(4)</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38,462,100</w:t>
            </w:r>
          </w:p>
        </w:tc>
        <w:tc>
          <w:tcPr>
            <w:tcW w:w="420" w:type="dxa"/>
            <w:vAlign w:val="bottom"/>
          </w:tcPr>
          <w:p>
            <w:pPr>
              <w:jc w:val="right"/>
              <w:ind w:right="117"/>
              <w:spacing w:after="0"/>
              <w:rPr>
                <w:sz w:val="20"/>
                <w:szCs w:val="20"/>
                <w:color w:val="auto"/>
              </w:rPr>
            </w:pPr>
            <w:r>
              <w:rPr>
                <w:rFonts w:ascii="Arial" w:cs="Arial" w:eastAsia="Arial" w:hAnsi="Arial"/>
                <w:sz w:val="13"/>
                <w:szCs w:val="13"/>
                <w:color w:val="auto"/>
              </w:rPr>
              <w:t>(4)</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39,123,961</w:t>
            </w:r>
          </w:p>
        </w:tc>
        <w:tc>
          <w:tcPr>
            <w:tcW w:w="840" w:type="dxa"/>
            <w:vAlign w:val="bottom"/>
          </w:tcPr>
          <w:p>
            <w:pPr>
              <w:jc w:val="right"/>
              <w:spacing w:after="0"/>
              <w:rPr>
                <w:sz w:val="20"/>
                <w:szCs w:val="20"/>
                <w:color w:val="auto"/>
              </w:rPr>
            </w:pPr>
            <w:r>
              <w:rPr>
                <w:rFonts w:ascii="Arial" w:cs="Arial" w:eastAsia="Arial" w:hAnsi="Arial"/>
                <w:sz w:val="14"/>
                <w:szCs w:val="14"/>
                <w:color w:val="auto"/>
              </w:rPr>
              <w:t>39,079,007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7620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1920" w:space="320"/>
            <w:col w:w="918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Company-operated</w:t>
            </w:r>
          </w:p>
        </w:tc>
        <w:tc>
          <w:tcPr>
            <w:tcW w:w="1300" w:type="dxa"/>
            <w:vAlign w:val="bottom"/>
            <w:tcBorders>
              <w:bottom w:val="single" w:sz="8" w:color="CCEEFF"/>
            </w:tcBorders>
            <w:shd w:val="clear" w:color="auto" w:fill="CCEEFF"/>
          </w:tcPr>
          <w:p>
            <w:pPr>
              <w:jc w:val="right"/>
              <w:ind w:right="468"/>
              <w:spacing w:after="0"/>
              <w:rPr>
                <w:sz w:val="20"/>
                <w:szCs w:val="20"/>
                <w:color w:val="auto"/>
              </w:rPr>
            </w:pPr>
            <w:r>
              <w:rPr>
                <w:rFonts w:ascii="Arial" w:cs="Arial" w:eastAsia="Arial" w:hAnsi="Arial"/>
                <w:sz w:val="14"/>
                <w:szCs w:val="14"/>
                <w:color w:val="auto"/>
              </w:rPr>
              <w:t>213</w:t>
            </w:r>
          </w:p>
        </w:tc>
        <w:tc>
          <w:tcPr>
            <w:tcW w:w="128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212</w:t>
            </w:r>
          </w:p>
        </w:tc>
        <w:tc>
          <w:tcPr>
            <w:tcW w:w="118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211</w:t>
            </w:r>
          </w:p>
        </w:tc>
        <w:tc>
          <w:tcPr>
            <w:tcW w:w="108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212</w:t>
            </w:r>
          </w:p>
        </w:tc>
        <w:tc>
          <w:tcPr>
            <w:tcW w:w="116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212</w:t>
            </w:r>
          </w:p>
        </w:tc>
        <w:tc>
          <w:tcPr>
            <w:tcW w:w="134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rPr>
              <w:t>208</w:t>
            </w:r>
          </w:p>
        </w:tc>
        <w:tc>
          <w:tcPr>
            <w:tcW w:w="118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208</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91"/>
        </w:trPr>
        <w:tc>
          <w:tcPr>
            <w:tcW w:w="2120" w:type="dxa"/>
            <w:vAlign w:val="bottom"/>
          </w:tcPr>
          <w:p>
            <w:pPr>
              <w:ind w:left="40"/>
              <w:spacing w:after="0"/>
              <w:rPr>
                <w:sz w:val="20"/>
                <w:szCs w:val="20"/>
                <w:color w:val="auto"/>
              </w:rPr>
            </w:pPr>
            <w:r>
              <w:rPr>
                <w:rFonts w:ascii="Arial" w:cs="Arial" w:eastAsia="Arial" w:hAnsi="Arial"/>
                <w:sz w:val="14"/>
                <w:szCs w:val="14"/>
                <w:color w:val="auto"/>
              </w:rPr>
              <w:t>Franchised</w:t>
            </w:r>
          </w:p>
        </w:tc>
        <w:tc>
          <w:tcPr>
            <w:tcW w:w="1300" w:type="dxa"/>
            <w:vAlign w:val="bottom"/>
            <w:vMerge w:val="restart"/>
          </w:tcPr>
          <w:p>
            <w:pPr>
              <w:jc w:val="right"/>
              <w:ind w:right="468"/>
              <w:spacing w:after="0"/>
              <w:rPr>
                <w:sz w:val="20"/>
                <w:szCs w:val="20"/>
                <w:color w:val="auto"/>
              </w:rPr>
            </w:pPr>
            <w:r>
              <w:rPr>
                <w:rFonts w:ascii="Arial" w:cs="Arial" w:eastAsia="Arial" w:hAnsi="Arial"/>
                <w:sz w:val="14"/>
                <w:szCs w:val="14"/>
                <w:color w:val="auto"/>
              </w:rPr>
              <w:t>271</w:t>
            </w:r>
          </w:p>
        </w:tc>
        <w:tc>
          <w:tcPr>
            <w:tcW w:w="1280" w:type="dxa"/>
            <w:vAlign w:val="bottom"/>
            <w:vMerge w:val="restart"/>
          </w:tcPr>
          <w:p>
            <w:pPr>
              <w:jc w:val="right"/>
              <w:ind w:right="348"/>
              <w:spacing w:after="0"/>
              <w:rPr>
                <w:sz w:val="20"/>
                <w:szCs w:val="20"/>
                <w:color w:val="auto"/>
              </w:rPr>
            </w:pPr>
            <w:r>
              <w:rPr>
                <w:rFonts w:ascii="Arial" w:cs="Arial" w:eastAsia="Arial" w:hAnsi="Arial"/>
                <w:sz w:val="14"/>
                <w:szCs w:val="14"/>
                <w:color w:val="auto"/>
              </w:rPr>
              <w:t>271</w:t>
            </w:r>
          </w:p>
        </w:tc>
        <w:tc>
          <w:tcPr>
            <w:tcW w:w="1180" w:type="dxa"/>
            <w:vAlign w:val="bottom"/>
            <w:vMerge w:val="restart"/>
          </w:tcPr>
          <w:p>
            <w:pPr>
              <w:jc w:val="right"/>
              <w:ind w:right="368"/>
              <w:spacing w:after="0"/>
              <w:rPr>
                <w:sz w:val="20"/>
                <w:szCs w:val="20"/>
                <w:color w:val="auto"/>
              </w:rPr>
            </w:pPr>
            <w:r>
              <w:rPr>
                <w:rFonts w:ascii="Arial" w:cs="Arial" w:eastAsia="Arial" w:hAnsi="Arial"/>
                <w:sz w:val="14"/>
                <w:szCs w:val="14"/>
                <w:color w:val="auto"/>
              </w:rPr>
              <w:t>269</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color w:val="auto"/>
              </w:rPr>
              <w:t>268</w:t>
            </w:r>
          </w:p>
        </w:tc>
        <w:tc>
          <w:tcPr>
            <w:tcW w:w="1160" w:type="dxa"/>
            <w:vAlign w:val="bottom"/>
            <w:vMerge w:val="restart"/>
          </w:tcPr>
          <w:p>
            <w:pPr>
              <w:jc w:val="right"/>
              <w:ind w:right="428"/>
              <w:spacing w:after="0"/>
              <w:rPr>
                <w:sz w:val="20"/>
                <w:szCs w:val="20"/>
                <w:color w:val="auto"/>
              </w:rPr>
            </w:pPr>
            <w:r>
              <w:rPr>
                <w:rFonts w:ascii="Arial" w:cs="Arial" w:eastAsia="Arial" w:hAnsi="Arial"/>
                <w:sz w:val="14"/>
                <w:szCs w:val="14"/>
                <w:color w:val="auto"/>
              </w:rPr>
              <w:t>265</w:t>
            </w:r>
          </w:p>
        </w:tc>
        <w:tc>
          <w:tcPr>
            <w:tcW w:w="1340" w:type="dxa"/>
            <w:vAlign w:val="bottom"/>
            <w:vMerge w:val="restart"/>
          </w:tcPr>
          <w:p>
            <w:pPr>
              <w:jc w:val="right"/>
              <w:ind w:right="448"/>
              <w:spacing w:after="0"/>
              <w:rPr>
                <w:sz w:val="20"/>
                <w:szCs w:val="20"/>
                <w:color w:val="auto"/>
              </w:rPr>
            </w:pPr>
            <w:r>
              <w:rPr>
                <w:rFonts w:ascii="Arial" w:cs="Arial" w:eastAsia="Arial" w:hAnsi="Arial"/>
                <w:sz w:val="14"/>
                <w:szCs w:val="14"/>
                <w:color w:val="auto"/>
              </w:rPr>
              <w:t>265</w:t>
            </w: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color w:val="auto"/>
              </w:rPr>
              <w:t>264</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74"/>
        </w:trPr>
        <w:tc>
          <w:tcPr>
            <w:tcW w:w="21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System-wide</w:t>
            </w:r>
          </w:p>
        </w:tc>
        <w:tc>
          <w:tcPr>
            <w:tcW w:w="130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484</w:t>
            </w:r>
          </w:p>
        </w:tc>
        <w:tc>
          <w:tcPr>
            <w:tcW w:w="128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483</w:t>
            </w:r>
          </w:p>
        </w:tc>
        <w:tc>
          <w:tcPr>
            <w:tcW w:w="118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480</w:t>
            </w:r>
          </w:p>
        </w:tc>
        <w:tc>
          <w:tcPr>
            <w:tcW w:w="108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480</w:t>
            </w:r>
          </w:p>
        </w:tc>
        <w:tc>
          <w:tcPr>
            <w:tcW w:w="116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477</w:t>
            </w:r>
          </w:p>
        </w:tc>
        <w:tc>
          <w:tcPr>
            <w:tcW w:w="134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473</w:t>
            </w:r>
          </w:p>
        </w:tc>
        <w:tc>
          <w:tcPr>
            <w:tcW w:w="118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472</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80"/>
        </w:trPr>
        <w:tc>
          <w:tcPr>
            <w:tcW w:w="212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120" w:type="dxa"/>
            <w:vAlign w:val="bottom"/>
          </w:tcPr>
          <w:p>
            <w:pPr>
              <w:ind w:left="40"/>
              <w:spacing w:after="0"/>
              <w:rPr>
                <w:sz w:val="20"/>
                <w:szCs w:val="20"/>
                <w:color w:val="auto"/>
              </w:rPr>
            </w:pPr>
            <w:r>
              <w:rPr>
                <w:rFonts w:ascii="Arial" w:cs="Arial" w:eastAsia="Arial" w:hAnsi="Arial"/>
                <w:sz w:val="14"/>
                <w:szCs w:val="14"/>
                <w:color w:val="auto"/>
              </w:rPr>
              <w:t>Average unit volume (AUV)</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120" w:type="dxa"/>
            <w:vAlign w:val="bottom"/>
          </w:tcPr>
          <w:p>
            <w:pPr>
              <w:ind w:left="140"/>
              <w:spacing w:after="0"/>
              <w:rPr>
                <w:sz w:val="20"/>
                <w:szCs w:val="20"/>
                <w:color w:val="auto"/>
              </w:rPr>
            </w:pPr>
            <w:r>
              <w:rPr>
                <w:rFonts w:ascii="Arial" w:cs="Arial" w:eastAsia="Arial" w:hAnsi="Arial"/>
                <w:sz w:val="14"/>
                <w:szCs w:val="14"/>
                <w:color w:val="auto"/>
              </w:rPr>
              <w:t xml:space="preserve">(company-operated) </w:t>
            </w:r>
            <w:r>
              <w:rPr>
                <w:rFonts w:ascii="Arial" w:cs="Arial" w:eastAsia="Arial" w:hAnsi="Arial"/>
                <w:sz w:val="16"/>
                <w:szCs w:val="16"/>
                <w:color w:val="auto"/>
              </w:rPr>
              <w:t>(1)</w:t>
            </w:r>
          </w:p>
        </w:tc>
        <w:tc>
          <w:tcPr>
            <w:tcW w:w="1300" w:type="dxa"/>
            <w:vAlign w:val="bottom"/>
          </w:tcPr>
          <w:p>
            <w:pPr>
              <w:jc w:val="right"/>
              <w:ind w:right="468"/>
              <w:spacing w:after="0"/>
              <w:rPr>
                <w:sz w:val="20"/>
                <w:szCs w:val="20"/>
                <w:color w:val="auto"/>
              </w:rPr>
            </w:pPr>
            <w:r>
              <w:rPr>
                <w:rFonts w:ascii="Arial" w:cs="Arial" w:eastAsia="Arial" w:hAnsi="Arial"/>
                <w:sz w:val="14"/>
                <w:szCs w:val="14"/>
                <w:color w:val="auto"/>
              </w:rPr>
              <w:t>1,785</w:t>
            </w:r>
          </w:p>
        </w:tc>
        <w:tc>
          <w:tcPr>
            <w:tcW w:w="1280" w:type="dxa"/>
            <w:vAlign w:val="bottom"/>
          </w:tcPr>
          <w:p>
            <w:pPr>
              <w:jc w:val="right"/>
              <w:ind w:right="348"/>
              <w:spacing w:after="0"/>
              <w:rPr>
                <w:sz w:val="20"/>
                <w:szCs w:val="20"/>
                <w:color w:val="auto"/>
              </w:rPr>
            </w:pPr>
            <w:r>
              <w:rPr>
                <w:rFonts w:ascii="Arial" w:cs="Arial" w:eastAsia="Arial" w:hAnsi="Arial"/>
                <w:sz w:val="14"/>
                <w:szCs w:val="14"/>
                <w:color w:val="auto"/>
              </w:rPr>
              <w:t>1,891</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1,890</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1,791</w:t>
            </w:r>
          </w:p>
        </w:tc>
        <w:tc>
          <w:tcPr>
            <w:tcW w:w="1160" w:type="dxa"/>
            <w:vAlign w:val="bottom"/>
          </w:tcPr>
          <w:p>
            <w:pPr>
              <w:jc w:val="right"/>
              <w:ind w:right="428"/>
              <w:spacing w:after="0"/>
              <w:rPr>
                <w:sz w:val="20"/>
                <w:szCs w:val="20"/>
                <w:color w:val="auto"/>
              </w:rPr>
            </w:pPr>
            <w:r>
              <w:rPr>
                <w:rFonts w:ascii="Arial" w:cs="Arial" w:eastAsia="Arial" w:hAnsi="Arial"/>
                <w:sz w:val="14"/>
                <w:szCs w:val="14"/>
                <w:color w:val="auto"/>
              </w:rPr>
              <w:t>1,787</w:t>
            </w:r>
          </w:p>
        </w:tc>
        <w:tc>
          <w:tcPr>
            <w:tcW w:w="1340" w:type="dxa"/>
            <w:vAlign w:val="bottom"/>
          </w:tcPr>
          <w:p>
            <w:pPr>
              <w:jc w:val="right"/>
              <w:ind w:right="448"/>
              <w:spacing w:after="0"/>
              <w:rPr>
                <w:sz w:val="20"/>
                <w:szCs w:val="20"/>
                <w:color w:val="auto"/>
              </w:rPr>
            </w:pPr>
            <w:r>
              <w:rPr>
                <w:rFonts w:ascii="Arial" w:cs="Arial" w:eastAsia="Arial" w:hAnsi="Arial"/>
                <w:sz w:val="14"/>
                <w:szCs w:val="14"/>
                <w:color w:val="auto"/>
              </w:rPr>
              <w:t>1,922</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1,995</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1,913</w:t>
            </w: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Comparable restaurant sales</w:t>
            </w:r>
          </w:p>
        </w:tc>
        <w:tc>
          <w:tcPr>
            <w:tcW w:w="1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growth (%)</w:t>
            </w:r>
          </w:p>
        </w:tc>
        <w:tc>
          <w:tcPr>
            <w:tcW w:w="1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20" w:type="dxa"/>
            <w:vAlign w:val="bottom"/>
          </w:tcPr>
          <w:p>
            <w:pPr>
              <w:ind w:left="40"/>
              <w:spacing w:after="0"/>
              <w:rPr>
                <w:sz w:val="20"/>
                <w:szCs w:val="20"/>
                <w:color w:val="auto"/>
              </w:rPr>
            </w:pPr>
            <w:r>
              <w:rPr>
                <w:rFonts w:ascii="Arial" w:cs="Arial" w:eastAsia="Arial" w:hAnsi="Arial"/>
                <w:sz w:val="14"/>
                <w:szCs w:val="14"/>
                <w:color w:val="auto"/>
              </w:rPr>
              <w:t>Company-operated</w:t>
            </w:r>
          </w:p>
        </w:tc>
        <w:tc>
          <w:tcPr>
            <w:tcW w:w="1300" w:type="dxa"/>
            <w:vAlign w:val="bottom"/>
            <w:vMerge w:val="restart"/>
          </w:tcPr>
          <w:p>
            <w:pPr>
              <w:jc w:val="right"/>
              <w:ind w:right="468"/>
              <w:spacing w:after="0"/>
              <w:rPr>
                <w:sz w:val="20"/>
                <w:szCs w:val="20"/>
                <w:color w:val="auto"/>
              </w:rPr>
            </w:pPr>
            <w:r>
              <w:rPr>
                <w:rFonts w:ascii="Arial" w:cs="Arial" w:eastAsia="Arial" w:hAnsi="Arial"/>
                <w:sz w:val="14"/>
                <w:szCs w:val="14"/>
                <w:color w:val="auto"/>
              </w:rPr>
              <w:t>3.7</w:t>
            </w:r>
          </w:p>
        </w:tc>
        <w:tc>
          <w:tcPr>
            <w:tcW w:w="1280" w:type="dxa"/>
            <w:vAlign w:val="bottom"/>
            <w:vMerge w:val="restart"/>
          </w:tcPr>
          <w:p>
            <w:pPr>
              <w:jc w:val="right"/>
              <w:ind w:right="348"/>
              <w:spacing w:after="0"/>
              <w:rPr>
                <w:sz w:val="20"/>
                <w:szCs w:val="20"/>
                <w:color w:val="auto"/>
              </w:rPr>
            </w:pPr>
            <w:r>
              <w:rPr>
                <w:rFonts w:ascii="Arial" w:cs="Arial" w:eastAsia="Arial" w:hAnsi="Arial"/>
                <w:sz w:val="14"/>
                <w:szCs w:val="14"/>
                <w:color w:val="auto"/>
              </w:rPr>
              <w:t>2.0</w:t>
            </w:r>
          </w:p>
        </w:tc>
        <w:tc>
          <w:tcPr>
            <w:tcW w:w="1180" w:type="dxa"/>
            <w:vAlign w:val="bottom"/>
            <w:vMerge w:val="restart"/>
          </w:tcPr>
          <w:p>
            <w:pPr>
              <w:jc w:val="right"/>
              <w:ind w:right="328"/>
              <w:spacing w:after="0"/>
              <w:rPr>
                <w:sz w:val="20"/>
                <w:szCs w:val="20"/>
                <w:color w:val="auto"/>
              </w:rPr>
            </w:pPr>
            <w:r>
              <w:rPr>
                <w:rFonts w:ascii="Arial" w:cs="Arial" w:eastAsia="Arial" w:hAnsi="Arial"/>
                <w:sz w:val="14"/>
                <w:szCs w:val="14"/>
                <w:color w:val="auto"/>
              </w:rPr>
              <w:t>(1.6)</w:t>
            </w: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color w:val="auto"/>
              </w:rPr>
              <w:t>(2.0)</w:t>
            </w:r>
          </w:p>
        </w:tc>
        <w:tc>
          <w:tcPr>
            <w:tcW w:w="1160" w:type="dxa"/>
            <w:vAlign w:val="bottom"/>
            <w:vMerge w:val="restart"/>
          </w:tcPr>
          <w:p>
            <w:pPr>
              <w:jc w:val="right"/>
              <w:ind w:right="428"/>
              <w:spacing w:after="0"/>
              <w:rPr>
                <w:sz w:val="20"/>
                <w:szCs w:val="20"/>
                <w:color w:val="auto"/>
              </w:rPr>
            </w:pPr>
            <w:r>
              <w:rPr>
                <w:rFonts w:ascii="Arial" w:cs="Arial" w:eastAsia="Arial" w:hAnsi="Arial"/>
                <w:sz w:val="14"/>
                <w:szCs w:val="14"/>
                <w:color w:val="auto"/>
              </w:rPr>
              <w:t>0.9</w:t>
            </w:r>
          </w:p>
        </w:tc>
        <w:tc>
          <w:tcPr>
            <w:tcW w:w="1340" w:type="dxa"/>
            <w:vAlign w:val="bottom"/>
            <w:vMerge w:val="restart"/>
          </w:tcPr>
          <w:p>
            <w:pPr>
              <w:jc w:val="right"/>
              <w:ind w:right="448"/>
              <w:spacing w:after="0"/>
              <w:rPr>
                <w:sz w:val="20"/>
                <w:szCs w:val="20"/>
                <w:color w:val="auto"/>
              </w:rPr>
            </w:pPr>
            <w:r>
              <w:rPr>
                <w:rFonts w:ascii="Arial" w:cs="Arial" w:eastAsia="Arial" w:hAnsi="Arial"/>
                <w:sz w:val="14"/>
                <w:szCs w:val="14"/>
                <w:color w:val="auto"/>
              </w:rPr>
              <w:t>0.9</w:t>
            </w: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color w:val="auto"/>
              </w:rPr>
              <w:t>2.4</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4"/>
        </w:trPr>
        <w:tc>
          <w:tcPr>
            <w:tcW w:w="21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Franchised</w:t>
            </w:r>
          </w:p>
        </w:tc>
        <w:tc>
          <w:tcPr>
            <w:tcW w:w="130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5.1</w:t>
            </w:r>
          </w:p>
        </w:tc>
        <w:tc>
          <w:tcPr>
            <w:tcW w:w="1280" w:type="dxa"/>
            <w:vAlign w:val="bottom"/>
            <w:vMerge w:val="restart"/>
            <w:shd w:val="clear" w:color="auto" w:fill="CCEEFF"/>
          </w:tcPr>
          <w:p>
            <w:pPr>
              <w:jc w:val="right"/>
              <w:ind w:right="348"/>
              <w:spacing w:after="0"/>
              <w:rPr>
                <w:sz w:val="20"/>
                <w:szCs w:val="20"/>
                <w:color w:val="auto"/>
              </w:rPr>
            </w:pPr>
            <w:r>
              <w:rPr>
                <w:rFonts w:ascii="Arial" w:cs="Arial" w:eastAsia="Arial" w:hAnsi="Arial"/>
                <w:sz w:val="14"/>
                <w:szCs w:val="14"/>
                <w:color w:val="auto"/>
              </w:rPr>
              <w:t>3.0</w:t>
            </w:r>
          </w:p>
        </w:tc>
        <w:tc>
          <w:tcPr>
            <w:tcW w:w="1180" w:type="dxa"/>
            <w:vAlign w:val="bottom"/>
            <w:vMerge w:val="restart"/>
            <w:shd w:val="clear" w:color="auto" w:fill="CCEEFF"/>
          </w:tcPr>
          <w:p>
            <w:pPr>
              <w:jc w:val="right"/>
              <w:ind w:right="328"/>
              <w:spacing w:after="0"/>
              <w:rPr>
                <w:sz w:val="20"/>
                <w:szCs w:val="20"/>
                <w:color w:val="auto"/>
              </w:rPr>
            </w:pPr>
            <w:r>
              <w:rPr>
                <w:rFonts w:ascii="Arial" w:cs="Arial" w:eastAsia="Arial" w:hAnsi="Arial"/>
                <w:sz w:val="14"/>
                <w:szCs w:val="14"/>
                <w:color w:val="auto"/>
              </w:rPr>
              <w:t>(0.3)</w:t>
            </w:r>
          </w:p>
        </w:tc>
        <w:tc>
          <w:tcPr>
            <w:tcW w:w="108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(0.4)</w:t>
            </w:r>
          </w:p>
        </w:tc>
        <w:tc>
          <w:tcPr>
            <w:tcW w:w="116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1.9</w:t>
            </w:r>
          </w:p>
        </w:tc>
        <w:tc>
          <w:tcPr>
            <w:tcW w:w="134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rPr>
              <w:t>2.4</w:t>
            </w:r>
          </w:p>
        </w:tc>
        <w:tc>
          <w:tcPr>
            <w:tcW w:w="118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3.2</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80"/>
        </w:trPr>
        <w:tc>
          <w:tcPr>
            <w:tcW w:w="212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20" w:type="dxa"/>
            <w:vAlign w:val="bottom"/>
          </w:tcPr>
          <w:p>
            <w:pPr>
              <w:ind w:left="40"/>
              <w:spacing w:after="0"/>
              <w:rPr>
                <w:sz w:val="20"/>
                <w:szCs w:val="20"/>
                <w:color w:val="auto"/>
              </w:rPr>
            </w:pPr>
            <w:r>
              <w:rPr>
                <w:rFonts w:ascii="Arial" w:cs="Arial" w:eastAsia="Arial" w:hAnsi="Arial"/>
                <w:sz w:val="14"/>
                <w:szCs w:val="14"/>
                <w:color w:val="auto"/>
              </w:rPr>
              <w:t>System-wide</w:t>
            </w:r>
          </w:p>
        </w:tc>
        <w:tc>
          <w:tcPr>
            <w:tcW w:w="1300" w:type="dxa"/>
            <w:vAlign w:val="bottom"/>
            <w:vMerge w:val="restart"/>
          </w:tcPr>
          <w:p>
            <w:pPr>
              <w:jc w:val="right"/>
              <w:ind w:right="468"/>
              <w:spacing w:after="0"/>
              <w:rPr>
                <w:sz w:val="20"/>
                <w:szCs w:val="20"/>
                <w:color w:val="auto"/>
              </w:rPr>
            </w:pPr>
            <w:r>
              <w:rPr>
                <w:rFonts w:ascii="Arial" w:cs="Arial" w:eastAsia="Arial" w:hAnsi="Arial"/>
                <w:sz w:val="14"/>
                <w:szCs w:val="14"/>
                <w:color w:val="auto"/>
              </w:rPr>
              <w:t>4.4</w:t>
            </w:r>
          </w:p>
        </w:tc>
        <w:tc>
          <w:tcPr>
            <w:tcW w:w="1280" w:type="dxa"/>
            <w:vAlign w:val="bottom"/>
            <w:vMerge w:val="restart"/>
          </w:tcPr>
          <w:p>
            <w:pPr>
              <w:jc w:val="right"/>
              <w:ind w:right="348"/>
              <w:spacing w:after="0"/>
              <w:rPr>
                <w:sz w:val="20"/>
                <w:szCs w:val="20"/>
                <w:color w:val="auto"/>
              </w:rPr>
            </w:pPr>
            <w:r>
              <w:rPr>
                <w:rFonts w:ascii="Arial" w:cs="Arial" w:eastAsia="Arial" w:hAnsi="Arial"/>
                <w:sz w:val="14"/>
                <w:szCs w:val="14"/>
                <w:color w:val="auto"/>
              </w:rPr>
              <w:t>2.6</w:t>
            </w:r>
          </w:p>
        </w:tc>
        <w:tc>
          <w:tcPr>
            <w:tcW w:w="1180" w:type="dxa"/>
            <w:vAlign w:val="bottom"/>
            <w:vMerge w:val="restart"/>
          </w:tcPr>
          <w:p>
            <w:pPr>
              <w:jc w:val="right"/>
              <w:ind w:right="328"/>
              <w:spacing w:after="0"/>
              <w:rPr>
                <w:sz w:val="20"/>
                <w:szCs w:val="20"/>
                <w:color w:val="auto"/>
              </w:rPr>
            </w:pPr>
            <w:r>
              <w:rPr>
                <w:rFonts w:ascii="Arial" w:cs="Arial" w:eastAsia="Arial" w:hAnsi="Arial"/>
                <w:sz w:val="14"/>
                <w:szCs w:val="14"/>
                <w:color w:val="auto"/>
              </w:rPr>
              <w:t>(0.9)</w:t>
            </w: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color w:val="auto"/>
              </w:rPr>
              <w:t>(1.1)</w:t>
            </w:r>
          </w:p>
        </w:tc>
        <w:tc>
          <w:tcPr>
            <w:tcW w:w="1160" w:type="dxa"/>
            <w:vAlign w:val="bottom"/>
            <w:vMerge w:val="restart"/>
          </w:tcPr>
          <w:p>
            <w:pPr>
              <w:jc w:val="right"/>
              <w:ind w:right="428"/>
              <w:spacing w:after="0"/>
              <w:rPr>
                <w:sz w:val="20"/>
                <w:szCs w:val="20"/>
                <w:color w:val="auto"/>
              </w:rPr>
            </w:pPr>
            <w:r>
              <w:rPr>
                <w:rFonts w:ascii="Arial" w:cs="Arial" w:eastAsia="Arial" w:hAnsi="Arial"/>
                <w:sz w:val="14"/>
                <w:szCs w:val="14"/>
                <w:color w:val="auto"/>
              </w:rPr>
              <w:t>1.4</w:t>
            </w:r>
          </w:p>
        </w:tc>
        <w:tc>
          <w:tcPr>
            <w:tcW w:w="1340" w:type="dxa"/>
            <w:vAlign w:val="bottom"/>
            <w:vMerge w:val="restart"/>
          </w:tcPr>
          <w:p>
            <w:pPr>
              <w:jc w:val="right"/>
              <w:ind w:right="448"/>
              <w:spacing w:after="0"/>
              <w:rPr>
                <w:sz w:val="20"/>
                <w:szCs w:val="20"/>
                <w:color w:val="auto"/>
              </w:rPr>
            </w:pPr>
            <w:r>
              <w:rPr>
                <w:rFonts w:ascii="Arial" w:cs="Arial" w:eastAsia="Arial" w:hAnsi="Arial"/>
                <w:sz w:val="14"/>
                <w:szCs w:val="14"/>
                <w:color w:val="auto"/>
              </w:rPr>
              <w:t>1.7</w:t>
            </w: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color w:val="auto"/>
              </w:rPr>
              <w:t>2.9</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68"/>
        </w:trPr>
        <w:tc>
          <w:tcPr>
            <w:tcW w:w="212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AUVs consist of average annualized sales of all company-operated restaurants over the fiscal quarter.</w:t>
      </w:r>
    </w:p>
    <w:p>
      <w:pPr>
        <w:spacing w:after="0" w:line="21" w:lineRule="exact"/>
        <w:rPr>
          <w:rFonts w:ascii="Arial" w:cs="Arial" w:eastAsia="Arial" w:hAnsi="Arial"/>
          <w:sz w:val="18"/>
          <w:szCs w:val="18"/>
          <w:color w:val="auto"/>
        </w:rPr>
      </w:pPr>
    </w:p>
    <w:p>
      <w:pPr>
        <w:ind w:left="660" w:right="140" w:hanging="652"/>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Due to the use of weighted average shares outstanding for each quarter of computing earnings per share, the sum of the quarterly per share amounts may not equal the per share amount for the year.</w:t>
      </w:r>
    </w:p>
    <w:p>
      <w:pPr>
        <w:ind w:left="660" w:hanging="652"/>
        <w:spacing w:after="0" w:line="290"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recorded a benefit for income taxes of $4.8 million in the fourth quarter of 2017 related to the enacted tax reform. The Tax Act had the following effects on our income tax expense for the year ended December 27, 2017, all of which impacted the fourth quarter:</w:t>
      </w:r>
    </w:p>
    <w:p>
      <w:pPr>
        <w:spacing w:after="0" w:line="26" w:lineRule="exact"/>
        <w:rPr>
          <w:rFonts w:ascii="Arial" w:cs="Arial" w:eastAsia="Arial" w:hAnsi="Arial"/>
          <w:sz w:val="17"/>
          <w:szCs w:val="17"/>
          <w:color w:val="auto"/>
        </w:rPr>
      </w:pPr>
    </w:p>
    <w:p>
      <w:pPr>
        <w:ind w:left="660" w:right="140" w:hanging="328"/>
        <w:spacing w:after="0" w:line="259"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Under ASC Topic 740 we are required to revalue any deferred tax assets or liabilities in the period of enactment of change in tax rates. The Tax Act lowers the corporate income tax rate from 35% to 21%. We have estimated the impact of the revaluation of our deferred tax assets and liabilities, which resulted in a decrease to our net deferred income tax liability by $1.4 million and is reflected as a decrease in our income tax expense in our results for fiscal 2017.</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reduced corporate tax rate, also resulted in a TRA benefit to the provision for income tax expense for fiscal 2017 in the amount of $2.0 million.</w:t>
      </w:r>
    </w:p>
    <w:p>
      <w:pPr>
        <w:spacing w:after="0" w:line="113" w:lineRule="exact"/>
        <w:rPr>
          <w:rFonts w:ascii="Arial" w:cs="Arial" w:eastAsia="Arial" w:hAnsi="Arial"/>
          <w:sz w:val="16"/>
          <w:szCs w:val="16"/>
          <w:color w:val="auto"/>
        </w:rPr>
      </w:pPr>
    </w:p>
    <w:p>
      <w:pPr>
        <w:ind w:left="660" w:right="340" w:hanging="328"/>
        <w:spacing w:after="0" w:line="258"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Tax Act is generally effective for tax years beginning after December 31, 2017. As such, the reduction in the corporate income tax rate from 35% to 21% is effective for the fiscal year ended December 26, 2018.</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Due to a loss for the period, zero incremental shares are included because the effect would be antidilutive.</w:t>
      </w:r>
    </w:p>
    <w:p>
      <w:pPr>
        <w:spacing w:after="0" w:line="9"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fiscal 2017, revenue is recognized under Topic 605. Beginning in fiscal 2018, the Company adopted Topic 606, with a date of initial application of December 28, 2017. As a result, the Company recognized revenue under Topic 606 in fiscal 2018.</w:t>
      </w: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from operations and net loss includes a $36.3 million legal settlement in the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29" w:right="239" w:bottom="1440" w:gutter="0" w:footer="0" w:header="0"/>
          <w:type w:val="continuous"/>
        </w:sectPr>
      </w:pPr>
    </w:p>
    <w:bookmarkStart w:id="94" w:name="page95"/>
    <w:bookmarkEnd w:id="94"/>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December 26,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2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internal control over financial reporting is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ind w:right="100" w:firstLine="8"/>
        <w:spacing w:after="0" w:line="281" w:lineRule="auto"/>
        <w:tabs>
          <w:tab w:leader="none" w:pos="2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 w:lineRule="exact"/>
        <w:rPr>
          <w:rFonts w:ascii="Arial" w:cs="Arial" w:eastAsia="Arial" w:hAnsi="Arial"/>
          <w:sz w:val="16"/>
          <w:szCs w:val="16"/>
          <w:color w:val="auto"/>
        </w:rPr>
      </w:pPr>
    </w:p>
    <w:p>
      <w:pPr>
        <w:ind w:firstLine="8"/>
        <w:spacing w:after="0" w:line="288" w:lineRule="auto"/>
        <w:tabs>
          <w:tab w:leader="none" w:pos="3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 The design of any system of control is based upon certain assumptions about the likelihood of future events, and there can be no assurance that any design will succeed in achieving its stated objectives under all future events, no matter how remote, or that the degree of compliance with the policies or procedures may not deteriorate. Because of its inherent limitations, internal control over financial reporting may not prevent or detect misstatements. Accordingly, even effective internal control over financial reporting can only provide reasonable assurance of achieving their control objectives.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carried out an evaluation of the effectiveness of our internal control over financial reporting as of December 26, 2018 based on the criteria in “Internal Control — Integrated Framework” (2013 Framework) issued by the Committee of Sponsoring Organizations of the Treadway Commission (“COSO”). Based on this evaluation, our management concluded that our internal control over financial reporting was effective as of December 26, 2018.</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as long as we are an “emerging growth company” pursuant to the provisions of the JOBS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changes in our internal control over financial reporting occurred during our most recent fiscal quarter that has materially affected, or is reasonably likely to materially affect, our internal control over financial reporting.</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any company have been detected.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688" w:right="259" w:bottom="1440" w:gutter="0" w:footer="0" w:header="0"/>
        </w:sectPr>
      </w:pPr>
    </w:p>
    <w:bookmarkStart w:id="95" w:name="page96"/>
    <w:bookmarkEnd w:id="95"/>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219"/>
          </w:cols>
          <w:pgMar w:left="240" w:top="1012" w:right="1440" w:bottom="1440" w:gutter="0" w:footer="0" w:header="0"/>
        </w:sectPr>
      </w:pPr>
    </w:p>
    <w:bookmarkStart w:id="96" w:name="page97"/>
    <w:bookmarkEnd w:id="96"/>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2018 fiscal year.</w:t>
      </w:r>
    </w:p>
    <w:p>
      <w:pPr>
        <w:spacing w:after="0" w:line="3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2018 fiscal year.</w:t>
      </w:r>
    </w:p>
    <w:p>
      <w:pPr>
        <w:spacing w:after="0" w:line="345"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2018 fiscal year.</w:t>
      </w:r>
    </w:p>
    <w:p>
      <w:pPr>
        <w:spacing w:after="0" w:line="345" w:lineRule="exact"/>
        <w:rPr>
          <w:sz w:val="20"/>
          <w:szCs w:val="20"/>
          <w:color w:val="auto"/>
        </w:rPr>
      </w:pPr>
    </w:p>
    <w:p>
      <w:pPr>
        <w:ind w:right="960"/>
        <w:spacing w:after="0" w:line="626"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Incorporated by reference from our definitive proxy statement to be filed not later than 120 days after the end of our 2018 fiscal year.</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Incorporated by reference from our definitive proxy statement to be filed not later than 120 days after the end of our 2018 fiscal year.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72" w:right="47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1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Financial Statements: Consolidated financial statements filed as part of this report are listed under Item 8. Financial Statements and Supplementary Data.</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6"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3"/>
              </w:rPr>
              <w:t>Incorporated by Reference</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gridSpan w:val="2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3"/>
                <w:szCs w:val="13"/>
                <w:color w:val="auto"/>
              </w:rPr>
            </w:pPr>
          </w:p>
        </w:tc>
        <w:tc>
          <w:tcPr>
            <w:tcW w:w="74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7"/>
              </w:rPr>
              <w:t>Filed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3"/>
                <w:szCs w:val="13"/>
                <w:color w:val="auto"/>
              </w:rPr>
            </w:pPr>
          </w:p>
        </w:tc>
        <w:tc>
          <w:tcPr>
            <w:tcW w:w="128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Period</w:t>
            </w: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3"/>
                <w:szCs w:val="13"/>
                <w:color w:val="auto"/>
              </w:rPr>
            </w:pPr>
          </w:p>
        </w:tc>
        <w:tc>
          <w:tcPr>
            <w:tcW w:w="128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Filing</w:t>
            </w:r>
          </w:p>
        </w:tc>
        <w:tc>
          <w:tcPr>
            <w:tcW w:w="1300" w:type="dxa"/>
            <w:vAlign w:val="bottom"/>
          </w:tcPr>
          <w:p>
            <w:pPr>
              <w:ind w:left="100"/>
              <w:spacing w:after="0" w:line="153" w:lineRule="exact"/>
              <w:rPr>
                <w:sz w:val="20"/>
                <w:szCs w:val="20"/>
                <w:color w:val="auto"/>
              </w:rPr>
            </w:pPr>
            <w:r>
              <w:rPr>
                <w:rFonts w:ascii="Arial" w:cs="Arial" w:eastAsia="Arial" w:hAnsi="Arial"/>
                <w:sz w:val="14"/>
                <w:szCs w:val="14"/>
                <w:b w:val="1"/>
                <w:bCs w:val="1"/>
                <w:color w:val="auto"/>
              </w:rPr>
              <w:t>SEC File Number</w:t>
            </w:r>
          </w:p>
        </w:tc>
        <w:tc>
          <w:tcPr>
            <w:tcW w:w="0" w:type="dxa"/>
            <w:vAlign w:val="bottom"/>
          </w:tcPr>
          <w:p>
            <w:pPr>
              <w:spacing w:after="0"/>
              <w:rPr>
                <w:sz w:val="1"/>
                <w:szCs w:val="1"/>
                <w:color w:val="auto"/>
              </w:rPr>
            </w:pPr>
          </w:p>
        </w:tc>
      </w:tr>
      <w:tr>
        <w:trPr>
          <w:trHeight w:val="192"/>
        </w:trPr>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26"/>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4"/>
              </w:rPr>
              <w:t>Herewith</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60" w:type="dxa"/>
            <w:vAlign w:val="bottom"/>
          </w:tcPr>
          <w:p>
            <w:pPr>
              <w:ind w:left="2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202" w:lineRule="exact"/>
              <w:rPr>
                <w:rFonts w:ascii="Arial" w:cs="Arial" w:eastAsia="Arial" w:hAnsi="Arial"/>
                <w:sz w:val="18"/>
                <w:szCs w:val="18"/>
                <w:color w:val="0000FF"/>
              </w:rPr>
            </w:pPr>
            <w:hyperlink r:id="rId51">
              <w:r>
                <w:rPr>
                  <w:rFonts w:ascii="Arial" w:cs="Arial" w:eastAsia="Arial" w:hAnsi="Arial"/>
                  <w:sz w:val="18"/>
                  <w:szCs w:val="18"/>
                  <w:color w:val="0000FF"/>
                </w:rPr>
                <w:t>Amended and Restated Certificate of</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10-Q</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6/25/2014</w:t>
            </w:r>
          </w:p>
        </w:tc>
        <w:tc>
          <w:tcPr>
            <w:tcW w:w="10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9/5/2014</w:t>
            </w:r>
          </w:p>
        </w:tc>
        <w:tc>
          <w:tcPr>
            <w:tcW w:w="10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FF"/>
            </w:tcBorders>
            <w:gridSpan w:val="15"/>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Incorporation of El Pollo Loco Holdings,</w:t>
              </w:r>
            </w:hyperlink>
          </w:p>
        </w:tc>
        <w:tc>
          <w:tcPr>
            <w:tcW w:w="42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Inc.</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0" w:type="dxa"/>
            <w:vAlign w:val="bottom"/>
            <w:tcBorders>
              <w:bottom w:val="single" w:sz="8" w:color="0000FF"/>
            </w:tcBorders>
            <w:gridSpan w:val="24"/>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Amended and Restated By-Laws of El Pollo</w:t>
              </w:r>
            </w:hyperlink>
          </w:p>
        </w:tc>
        <w:tc>
          <w:tcPr>
            <w:tcW w:w="200" w:type="dxa"/>
            <w:vAlign w:val="bottom"/>
            <w:gridSpan w:val="3"/>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10-Q</w:t>
            </w:r>
          </w:p>
        </w:tc>
        <w:tc>
          <w:tcPr>
            <w:tcW w:w="1180" w:type="dxa"/>
            <w:vAlign w:val="bottom"/>
          </w:tcPr>
          <w:p>
            <w:pPr>
              <w:jc w:val="right"/>
              <w:spacing w:after="0"/>
              <w:rPr>
                <w:sz w:val="20"/>
                <w:szCs w:val="20"/>
                <w:color w:val="auto"/>
              </w:rPr>
            </w:pPr>
            <w:r>
              <w:rPr>
                <w:rFonts w:ascii="Arial" w:cs="Arial" w:eastAsia="Arial" w:hAnsi="Arial"/>
                <w:sz w:val="18"/>
                <w:szCs w:val="18"/>
                <w:color w:val="auto"/>
              </w:rPr>
              <w:t>6/25/2014</w:t>
            </w:r>
          </w:p>
        </w:tc>
        <w:tc>
          <w:tcPr>
            <w:tcW w:w="1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9/5/2014</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Loco Holdings, Inc.</w:t>
              </w:r>
            </w:hyperlink>
          </w:p>
        </w:tc>
        <w:tc>
          <w:tcPr>
            <w:tcW w:w="1960" w:type="dxa"/>
            <w:vAlign w:val="bottom"/>
            <w:gridSpan w:val="22"/>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20" w:type="dxa"/>
            <w:vAlign w:val="bottom"/>
            <w:tcBorders>
              <w:bottom w:val="single" w:sz="8" w:color="0000FF"/>
            </w:tcBorders>
            <w:gridSpan w:val="17"/>
          </w:tcPr>
          <w:p>
            <w:pPr>
              <w:spacing w:after="0"/>
              <w:rPr>
                <w:rFonts w:ascii="Arial" w:cs="Arial" w:eastAsia="Arial" w:hAnsi="Arial"/>
                <w:sz w:val="18"/>
                <w:szCs w:val="18"/>
                <w:color w:val="0000FF"/>
                <w:w w:val="89"/>
              </w:rPr>
            </w:pPr>
            <w:hyperlink r:id="rId53">
              <w:r>
                <w:rPr>
                  <w:rFonts w:ascii="Arial" w:cs="Arial" w:eastAsia="Arial" w:hAnsi="Arial"/>
                  <w:sz w:val="18"/>
                  <w:szCs w:val="18"/>
                  <w:color w:val="0000FF"/>
                  <w:w w:val="89"/>
                </w:rPr>
                <w:t>Income Tax Receivable Agreement, dated</w:t>
              </w:r>
            </w:hyperlink>
          </w:p>
        </w:tc>
        <w:tc>
          <w:tcPr>
            <w:tcW w:w="380" w:type="dxa"/>
            <w:vAlign w:val="bottom"/>
            <w:gridSpan w:val="10"/>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10-Q</w:t>
            </w:r>
          </w:p>
        </w:tc>
        <w:tc>
          <w:tcPr>
            <w:tcW w:w="1180" w:type="dxa"/>
            <w:vAlign w:val="bottom"/>
          </w:tcPr>
          <w:p>
            <w:pPr>
              <w:jc w:val="right"/>
              <w:spacing w:after="0"/>
              <w:rPr>
                <w:sz w:val="20"/>
                <w:szCs w:val="20"/>
                <w:color w:val="auto"/>
              </w:rPr>
            </w:pPr>
            <w:r>
              <w:rPr>
                <w:rFonts w:ascii="Arial" w:cs="Arial" w:eastAsia="Arial" w:hAnsi="Arial"/>
                <w:sz w:val="18"/>
                <w:szCs w:val="18"/>
                <w:color w:val="auto"/>
              </w:rPr>
              <w:t>9/24/2014</w:t>
            </w:r>
          </w:p>
        </w:tc>
        <w:tc>
          <w:tcPr>
            <w:tcW w:w="1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11/7/2014</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July 30, 2014, between El Pollo Loco</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Holdings, Inc., and Trimaran Pollo Partners,</w:t>
              </w:r>
            </w:hyperlink>
          </w:p>
        </w:tc>
        <w:tc>
          <w:tcPr>
            <w:tcW w:w="20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L.L.C.</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60" w:type="dxa"/>
            <w:vAlign w:val="bottom"/>
            <w:tcBorders>
              <w:bottom w:val="single" w:sz="8" w:color="0000FF"/>
            </w:tcBorders>
            <w:gridSpan w:val="9"/>
          </w:tcPr>
          <w:p>
            <w:pPr>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Franchise Development Agreement</w:t>
              </w:r>
            </w:hyperlink>
          </w:p>
        </w:tc>
        <w:tc>
          <w:tcPr>
            <w:tcW w:w="840" w:type="dxa"/>
            <w:vAlign w:val="bottom"/>
            <w:gridSpan w:val="18"/>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8/22/2014</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(Exclusive), dated August 20, 2014, between</w:t>
              </w:r>
            </w:hyperlink>
          </w:p>
        </w:tc>
        <w:tc>
          <w:tcPr>
            <w:tcW w:w="1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El Pollo Loco, Inc., as franchisor, and Anil</w:t>
              </w:r>
            </w:hyperlink>
          </w:p>
        </w:tc>
        <w:tc>
          <w:tcPr>
            <w:tcW w:w="32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196"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Yadav and Atour Eyvazian, collectively, as</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developer</w:t>
              </w:r>
            </w:hyperlink>
          </w:p>
        </w:tc>
        <w:tc>
          <w:tcPr>
            <w:tcW w:w="32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0" w:type="dxa"/>
            <w:vAlign w:val="bottom"/>
            <w:tcBorders>
              <w:bottom w:val="single" w:sz="8" w:color="0000FF"/>
            </w:tcBorders>
            <w:gridSpan w:val="24"/>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Consent to and Assignment of Development</w:t>
              </w:r>
            </w:hyperlink>
          </w:p>
        </w:tc>
        <w:tc>
          <w:tcPr>
            <w:tcW w:w="200" w:type="dxa"/>
            <w:vAlign w:val="bottom"/>
            <w:gridSpan w:val="3"/>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8-K</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8/22/2014</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001-36556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Rights (Initial Change of Entity), dated</w:t>
              </w:r>
            </w:hyperlink>
          </w:p>
        </w:tc>
        <w:tc>
          <w:tcPr>
            <w:tcW w:w="560" w:type="dxa"/>
            <w:vAlign w:val="bottom"/>
            <w:gridSpan w:val="15"/>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August 20, 2014, between El Pollo Loco,</w:t>
              </w:r>
            </w:hyperlink>
          </w:p>
        </w:tc>
        <w:tc>
          <w:tcPr>
            <w:tcW w:w="42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Inc., as franchisor, and (i) Anil Yadav and</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Atour Eyvazian, collectively, as assignor,</w:t>
              </w:r>
            </w:hyperlink>
          </w:p>
        </w:tc>
        <w:tc>
          <w:tcPr>
            <w:tcW w:w="20" w:type="dxa"/>
            <w:vAlign w:val="bottom"/>
            <w:tcBorders>
              <w:top w:val="single" w:sz="8" w:color="0000FF"/>
            </w:tcBorders>
          </w:tcPr>
          <w:p>
            <w:pPr>
              <w:spacing w:after="0"/>
              <w:rPr>
                <w:sz w:val="17"/>
                <w:szCs w:val="17"/>
                <w:color w:val="auto"/>
              </w:rPr>
            </w:pPr>
          </w:p>
        </w:tc>
        <w:tc>
          <w:tcPr>
            <w:tcW w:w="40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and (ii) AA Pollo, Inc., as assignee</w:t>
              </w:r>
            </w:hyperlink>
          </w:p>
        </w:tc>
        <w:tc>
          <w:tcPr>
            <w:tcW w:w="880" w:type="dxa"/>
            <w:vAlign w:val="bottom"/>
            <w:gridSpan w:val="19"/>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27"/>
          </w:tcPr>
          <w:p>
            <w:pPr>
              <w:spacing w:after="0"/>
              <w:rPr>
                <w:rFonts w:ascii="Arial" w:cs="Arial" w:eastAsia="Arial" w:hAnsi="Arial"/>
                <w:sz w:val="18"/>
                <w:szCs w:val="18"/>
                <w:color w:val="0000FF"/>
                <w:w w:val="97"/>
              </w:rPr>
            </w:pPr>
            <w:hyperlink r:id="rId56">
              <w:r>
                <w:rPr>
                  <w:rFonts w:ascii="Arial" w:cs="Arial" w:eastAsia="Arial" w:hAnsi="Arial"/>
                  <w:sz w:val="18"/>
                  <w:szCs w:val="18"/>
                  <w:color w:val="0000FF"/>
                  <w:w w:val="97"/>
                </w:rPr>
                <w:t>Franchise Development Option Agreement,</w:t>
              </w:r>
            </w:hyperlink>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7/14/2014</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dated July 11, 2014, between El Pollo Loco,</w:t>
              </w:r>
            </w:hyperlink>
          </w:p>
        </w:tc>
        <w:tc>
          <w:tcPr>
            <w:tcW w:w="20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Inc., and Trimaran Pollo Partners, L.L.C.</w:t>
              </w:r>
            </w:hyperlink>
          </w:p>
        </w:tc>
        <w:tc>
          <w:tcPr>
            <w:tcW w:w="44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0" w:type="dxa"/>
            <w:vAlign w:val="bottom"/>
            <w:gridSpan w:val="27"/>
          </w:tcPr>
          <w:p>
            <w:pPr>
              <w:spacing w:after="0"/>
              <w:rPr>
                <w:rFonts w:ascii="Arial" w:cs="Arial" w:eastAsia="Arial" w:hAnsi="Arial"/>
                <w:sz w:val="18"/>
                <w:szCs w:val="18"/>
                <w:color w:val="0000FF"/>
              </w:rPr>
            </w:pPr>
            <w:hyperlink r:id="rId57">
              <w:r>
                <w:rPr>
                  <w:rFonts w:ascii="Arial" w:cs="Arial" w:eastAsia="Arial" w:hAnsi="Arial"/>
                  <w:sz w:val="18"/>
                  <w:szCs w:val="18"/>
                  <w:color w:val="0000FF"/>
                </w:rPr>
                <w:t>Stockholders Agreement, dated as of</w:t>
              </w:r>
            </w:hyperlink>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S-1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6/24/2014</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November 18, 2005, by and among El Pollo</w:t>
              </w:r>
            </w:hyperlink>
          </w:p>
        </w:tc>
        <w:tc>
          <w:tcPr>
            <w:tcW w:w="22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Loco Holdings, Inc. (formerly Chicken</w:t>
              </w:r>
            </w:hyperlink>
          </w:p>
        </w:tc>
        <w:tc>
          <w:tcPr>
            <w:tcW w:w="58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Acquisition Corp.) and the stockholders</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listed therein</w:t>
              </w:r>
            </w:hyperlink>
          </w:p>
        </w:tc>
        <w:tc>
          <w:tcPr>
            <w:tcW w:w="540" w:type="dxa"/>
            <w:vAlign w:val="bottom"/>
            <w:gridSpan w:val="14"/>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tcBorders>
              <w:bottom w:val="single" w:sz="8" w:color="0000FF"/>
            </w:tcBorders>
            <w:gridSpan w:val="7"/>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Amendment No. 1 to Stockholders</w:t>
              </w:r>
            </w:hyperlink>
          </w:p>
        </w:tc>
        <w:tc>
          <w:tcPr>
            <w:tcW w:w="900" w:type="dxa"/>
            <w:vAlign w:val="bottom"/>
            <w:gridSpan w:val="20"/>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S-1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6/24/2014</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Agreement, dated as of April 20, 2006, by</w:t>
              </w:r>
            </w:hyperlink>
          </w:p>
        </w:tc>
        <w:tc>
          <w:tcPr>
            <w:tcW w:w="36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and between El Pollo Loco Holdings, Inc.</w:t>
              </w:r>
            </w:hyperlink>
          </w:p>
        </w:tc>
        <w:tc>
          <w:tcPr>
            <w:tcW w:w="38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(formerly Chicken Acquisition Corp.) and</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Trimaran Pollo Partners, L.L.C.</w:t>
              </w:r>
            </w:hyperlink>
          </w:p>
        </w:tc>
        <w:tc>
          <w:tcPr>
            <w:tcW w:w="38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88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00" w:type="dxa"/>
            <w:vAlign w:val="bottom"/>
            <w:tcBorders>
              <w:bottom w:val="single" w:sz="8" w:color="0000FF"/>
            </w:tcBorders>
            <w:gridSpan w:val="7"/>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Amendment No. 2 to Stockholders</w:t>
              </w:r>
            </w:hyperlink>
          </w:p>
        </w:tc>
        <w:tc>
          <w:tcPr>
            <w:tcW w:w="900" w:type="dxa"/>
            <w:vAlign w:val="bottom"/>
            <w:gridSpan w:val="20"/>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S-1</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6/24/2014</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333-197001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19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Agreement, dated as of December 26, 2007,</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6"/>
            <w:shd w:val="clear" w:color="auto" w:fill="0000FF"/>
          </w:tcPr>
          <w:p>
            <w:pPr>
              <w:spacing w:after="0" w:line="20" w:lineRule="exact"/>
              <w:rPr>
                <w:sz w:val="1"/>
                <w:szCs w:val="1"/>
                <w:color w:val="auto"/>
              </w:rPr>
            </w:pPr>
          </w:p>
        </w:tc>
        <w:tc>
          <w:tcPr>
            <w:tcW w:w="880" w:type="dxa"/>
            <w:vAlign w:val="bottom"/>
            <w:gridSpan w:val="15"/>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by and between El Pollo Loco Holdings, Inc.</w:t>
              </w:r>
            </w:hyperlink>
          </w:p>
        </w:tc>
        <w:tc>
          <w:tcPr>
            <w:tcW w:w="1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27"/>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(formerly Chicken Acquisition Corp.) and</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Trimaran Pollo Partners, L.L.C.</w:t>
              </w:r>
            </w:hyperlink>
          </w:p>
        </w:tc>
        <w:tc>
          <w:tcPr>
            <w:tcW w:w="380" w:type="dxa"/>
            <w:vAlign w:val="bottom"/>
            <w:gridSpan w:val="10"/>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gridSpan w:val="3"/>
          </w:tcPr>
          <w:p>
            <w:pPr>
              <w:jc w:val="right"/>
              <w:ind w:right="552"/>
              <w:spacing w:after="0"/>
              <w:rPr>
                <w:sz w:val="20"/>
                <w:szCs w:val="20"/>
                <w:color w:val="auto"/>
              </w:rPr>
            </w:pPr>
            <w:r>
              <w:rPr>
                <w:rFonts w:ascii="Arial" w:cs="Arial" w:eastAsia="Arial" w:hAnsi="Arial"/>
                <w:sz w:val="18"/>
                <w:szCs w:val="18"/>
                <w:color w:val="auto"/>
                <w:w w:val="99"/>
              </w:rPr>
              <w:t>94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72" w:right="299" w:bottom="1440" w:gutter="0" w:footer="0" w:header="0"/>
        </w:sectPr>
      </w:pPr>
    </w:p>
    <w:bookmarkStart w:id="98" w:name="page99"/>
    <w:bookmarkEnd w:id="98"/>
    <w:p>
      <w:pPr>
        <w:ind w:left="880" w:right="1200" w:hanging="877"/>
        <w:spacing w:after="0" w:line="259"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60">
        <w:r>
          <w:rPr>
            <w:rFonts w:ascii="Arial" w:cs="Arial" w:eastAsia="Arial" w:hAnsi="Arial"/>
            <w:sz w:val="18"/>
            <w:szCs w:val="18"/>
            <w:u w:val="single" w:color="auto"/>
            <w:color w:val="0000FF"/>
          </w:rPr>
          <w:t>Second Amended and Restated Limited</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Liability Company Operating Agreement of</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Trimaran Pollo Partners, L.L.C., dated as of</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March 8, 2006</w:t>
        </w:r>
      </w:hyperlink>
    </w:p>
    <w:p>
      <w:pPr>
        <w:spacing w:after="0" w:line="25" w:lineRule="exact"/>
        <w:rPr>
          <w:rFonts w:ascii="Arial" w:cs="Arial" w:eastAsia="Arial" w:hAnsi="Arial"/>
          <w:sz w:val="18"/>
          <w:szCs w:val="18"/>
          <w:u w:val="single" w:color="auto"/>
          <w:color w:val="0000FF"/>
        </w:rPr>
      </w:pPr>
    </w:p>
    <w:p>
      <w:pPr>
        <w:ind w:left="880" w:right="1220" w:hanging="877"/>
        <w:spacing w:after="0" w:line="25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61">
        <w:r>
          <w:rPr>
            <w:rFonts w:ascii="Arial" w:cs="Arial" w:eastAsia="Arial" w:hAnsi="Arial"/>
            <w:sz w:val="18"/>
            <w:szCs w:val="18"/>
            <w:u w:val="single" w:color="auto"/>
            <w:color w:val="0000FF"/>
          </w:rPr>
          <w:t>Amendment No. 1 to Second Amended and</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Restated Limited Liability Company</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Operating Agreement of Trimaran Pollo</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Partners, L.L.C., dated as of December 26,</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2007</w:t>
        </w:r>
      </w:hyperlink>
    </w:p>
    <w:p>
      <w:pPr>
        <w:spacing w:after="0" w:line="26" w:lineRule="exact"/>
        <w:rPr>
          <w:rFonts w:ascii="Arial" w:cs="Arial" w:eastAsia="Arial" w:hAnsi="Arial"/>
          <w:sz w:val="18"/>
          <w:szCs w:val="18"/>
          <w:u w:val="single" w:color="auto"/>
          <w:color w:val="0000FF"/>
        </w:rPr>
      </w:pPr>
    </w:p>
    <w:p>
      <w:pPr>
        <w:ind w:left="880" w:right="1220" w:hanging="877"/>
        <w:spacing w:after="0" w:line="257"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62">
        <w:r>
          <w:rPr>
            <w:rFonts w:ascii="Arial" w:cs="Arial" w:eastAsia="Arial" w:hAnsi="Arial"/>
            <w:sz w:val="18"/>
            <w:szCs w:val="18"/>
            <w:u w:val="single" w:color="auto"/>
            <w:color w:val="0000FF"/>
          </w:rPr>
          <w:t>Amendment No. 2 to Second Amended and</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Restated Limited Liability Company</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Operating Agreement of Trimaran Pollo</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Partners, L.L.C., dated as of January 30,</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2008</w:t>
        </w:r>
      </w:hyperlink>
    </w:p>
    <w:p>
      <w:pPr>
        <w:spacing w:after="0" w:line="26" w:lineRule="exact"/>
        <w:rPr>
          <w:rFonts w:ascii="Arial" w:cs="Arial" w:eastAsia="Arial" w:hAnsi="Arial"/>
          <w:sz w:val="18"/>
          <w:szCs w:val="18"/>
          <w:u w:val="single" w:color="auto"/>
          <w:color w:val="0000FF"/>
        </w:rPr>
      </w:pPr>
    </w:p>
    <w:p>
      <w:pPr>
        <w:ind w:left="880" w:right="1220" w:hanging="877"/>
        <w:spacing w:after="0" w:line="299"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63">
        <w:r>
          <w:rPr>
            <w:rFonts w:ascii="Arial" w:cs="Arial" w:eastAsia="Arial" w:hAnsi="Arial"/>
            <w:sz w:val="16"/>
            <w:szCs w:val="16"/>
            <w:u w:val="single" w:color="auto"/>
            <w:color w:val="0000FF"/>
          </w:rPr>
          <w:t>Amendment No. 3 to Second Amended and</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Restated Limited Liability Company</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Operating Agreement of Trimaran Pollo</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Partners, L.L.C., dated as of July 14, 2011</w:t>
        </w:r>
      </w:hyperlink>
    </w:p>
    <w:p>
      <w:pPr>
        <w:spacing w:after="0" w:line="1" w:lineRule="exact"/>
        <w:rPr>
          <w:rFonts w:ascii="Arial" w:cs="Arial" w:eastAsia="Arial" w:hAnsi="Arial"/>
          <w:sz w:val="16"/>
          <w:szCs w:val="16"/>
          <w:u w:val="single" w:color="auto"/>
          <w:color w:val="0000FF"/>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64">
        <w:r>
          <w:rPr>
            <w:rFonts w:ascii="Arial" w:cs="Arial" w:eastAsia="Arial" w:hAnsi="Arial"/>
            <w:sz w:val="16"/>
            <w:szCs w:val="16"/>
            <w:u w:val="single" w:color="auto"/>
            <w:color w:val="0000FF"/>
          </w:rPr>
          <w:t>Form of Franchise Agreement</w:t>
        </w:r>
      </w:hyperlink>
    </w:p>
    <w:p>
      <w:pPr>
        <w:spacing w:after="0" w:line="63" w:lineRule="exact"/>
        <w:rPr>
          <w:rFonts w:ascii="Arial" w:cs="Arial" w:eastAsia="Arial" w:hAnsi="Arial"/>
          <w:sz w:val="16"/>
          <w:szCs w:val="16"/>
          <w:u w:val="single" w:color="auto"/>
          <w:color w:val="0000FF"/>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65">
        <w:r>
          <w:rPr>
            <w:rFonts w:ascii="Arial" w:cs="Arial" w:eastAsia="Arial" w:hAnsi="Arial"/>
            <w:sz w:val="16"/>
            <w:szCs w:val="16"/>
            <w:u w:val="single" w:color="auto"/>
            <w:color w:val="0000FF"/>
          </w:rPr>
          <w:t>Form of Franchise Development Agreement</w:t>
        </w:r>
      </w:hyperlink>
    </w:p>
    <w:p>
      <w:pPr>
        <w:spacing w:after="0" w:line="63" w:lineRule="exact"/>
        <w:rPr>
          <w:rFonts w:ascii="Arial" w:cs="Arial" w:eastAsia="Arial" w:hAnsi="Arial"/>
          <w:sz w:val="16"/>
          <w:szCs w:val="16"/>
          <w:u w:val="single" w:color="auto"/>
          <w:color w:val="0000FF"/>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66">
        <w:r>
          <w:rPr>
            <w:rFonts w:ascii="Arial" w:cs="Arial" w:eastAsia="Arial" w:hAnsi="Arial"/>
            <w:sz w:val="16"/>
            <w:szCs w:val="16"/>
            <w:u w:val="single" w:color="auto"/>
            <w:color w:val="0000FF"/>
          </w:rPr>
          <w:t>Employment Agreement between Laurance</w:t>
        </w:r>
      </w:hyperlink>
    </w:p>
    <w:p>
      <w:pPr>
        <w:spacing w:after="0" w:line="23" w:lineRule="exact"/>
        <w:rPr>
          <w:rFonts w:ascii="Arial" w:cs="Arial" w:eastAsia="Arial" w:hAnsi="Arial"/>
          <w:sz w:val="16"/>
          <w:szCs w:val="16"/>
          <w:u w:val="single" w:color="auto"/>
          <w:color w:val="0000FF"/>
        </w:rPr>
      </w:pPr>
    </w:p>
    <w:p>
      <w:pPr>
        <w:ind w:left="880"/>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Roberts and El Pollo Loco, Inc.</w:t>
        </w:r>
      </w:hyperlink>
    </w:p>
    <w:p>
      <w:pPr>
        <w:spacing w:after="0" w:line="49" w:lineRule="exact"/>
        <w:rPr>
          <w:rFonts w:ascii="Arial" w:cs="Arial" w:eastAsia="Arial" w:hAnsi="Arial"/>
          <w:sz w:val="16"/>
          <w:szCs w:val="16"/>
          <w:u w:val="single" w:color="auto"/>
          <w:color w:val="0000FF"/>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hyperlink r:id="rId67">
        <w:r>
          <w:rPr>
            <w:rFonts w:ascii="Arial" w:cs="Arial" w:eastAsia="Arial" w:hAnsi="Arial"/>
            <w:sz w:val="16"/>
            <w:szCs w:val="16"/>
            <w:u w:val="single" w:color="auto"/>
            <w:color w:val="0000FF"/>
          </w:rPr>
          <w:t>2012 Stock Option Plan</w:t>
        </w:r>
      </w:hyperlink>
    </w:p>
    <w:p>
      <w:pPr>
        <w:spacing w:after="0" w:line="63" w:lineRule="exact"/>
        <w:rPr>
          <w:rFonts w:ascii="Arial" w:cs="Arial" w:eastAsia="Arial" w:hAnsi="Arial"/>
          <w:sz w:val="16"/>
          <w:szCs w:val="16"/>
          <w:u w:val="single" w:color="auto"/>
          <w:color w:val="0000FF"/>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r:id="rId68">
        <w:r>
          <w:rPr>
            <w:rFonts w:ascii="Arial" w:cs="Arial" w:eastAsia="Arial" w:hAnsi="Arial"/>
            <w:sz w:val="16"/>
            <w:szCs w:val="16"/>
            <w:u w:val="single" w:color="auto"/>
            <w:color w:val="0000FF"/>
          </w:rPr>
          <w:t>2014 Omnibus Equity Incentive Plan</w:t>
        </w:r>
      </w:hyperlink>
    </w:p>
    <w:p>
      <w:pPr>
        <w:spacing w:after="0" w:line="63" w:lineRule="exact"/>
        <w:rPr>
          <w:rFonts w:ascii="Arial" w:cs="Arial" w:eastAsia="Arial" w:hAnsi="Arial"/>
          <w:sz w:val="16"/>
          <w:szCs w:val="16"/>
          <w:u w:val="single" w:color="auto"/>
          <w:color w:val="0000FF"/>
        </w:rPr>
      </w:pPr>
    </w:p>
    <w:p>
      <w:pPr>
        <w:jc w:val="both"/>
        <w:ind w:left="880" w:right="1400" w:hanging="877"/>
        <w:spacing w:after="0" w:line="26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69">
        <w:r>
          <w:rPr>
            <w:rFonts w:ascii="Arial" w:cs="Arial" w:eastAsia="Arial" w:hAnsi="Arial"/>
            <w:sz w:val="18"/>
            <w:szCs w:val="18"/>
            <w:u w:val="single" w:color="auto"/>
            <w:color w:val="0000FF"/>
          </w:rPr>
          <w:t>Form of Option Award Agreement (Fair</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Market Value Options) under 2012 Stock</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Option Plan</w:t>
        </w:r>
      </w:hyperlink>
    </w:p>
    <w:p>
      <w:pPr>
        <w:spacing w:after="0" w:line="19" w:lineRule="exact"/>
        <w:rPr>
          <w:rFonts w:ascii="Arial" w:cs="Arial" w:eastAsia="Arial" w:hAnsi="Arial"/>
          <w:sz w:val="18"/>
          <w:szCs w:val="18"/>
          <w:u w:val="single" w:color="auto"/>
          <w:color w:val="0000FF"/>
        </w:rPr>
      </w:pPr>
    </w:p>
    <w:p>
      <w:pPr>
        <w:ind w:left="880" w:right="1100" w:hanging="877"/>
        <w:spacing w:after="0" w:line="317"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70">
        <w:r>
          <w:rPr>
            <w:rFonts w:ascii="Arial" w:cs="Arial" w:eastAsia="Arial" w:hAnsi="Arial"/>
            <w:sz w:val="16"/>
            <w:szCs w:val="16"/>
            <w:u w:val="single" w:color="auto"/>
            <w:color w:val="0000FF"/>
          </w:rPr>
          <w:t>Form of Option Award Agreement (Premium</w:t>
        </w:r>
      </w:hyperlink>
      <w:r>
        <w:rPr>
          <w:rFonts w:ascii="Arial" w:cs="Arial" w:eastAsia="Arial" w:hAnsi="Arial"/>
          <w:sz w:val="16"/>
          <w:szCs w:val="16"/>
          <w:u w:val="single" w:color="auto"/>
          <w:color w:val="0000FF"/>
        </w:rPr>
        <w:t xml:space="preserve"> </w:t>
      </w:r>
      <w:hyperlink r:id="rId70">
        <w:r>
          <w:rPr>
            <w:rFonts w:ascii="Arial" w:cs="Arial" w:eastAsia="Arial" w:hAnsi="Arial"/>
            <w:sz w:val="16"/>
            <w:szCs w:val="16"/>
            <w:u w:val="single" w:color="auto"/>
            <w:color w:val="0000FF"/>
          </w:rPr>
          <w:t>Options) under 2012 Stock Option Plan</w:t>
        </w:r>
      </w:hyperlink>
    </w:p>
    <w:p>
      <w:pPr>
        <w:ind w:left="880" w:right="1160" w:hanging="877"/>
        <w:spacing w:after="0" w:line="26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71">
        <w:r>
          <w:rPr>
            <w:rFonts w:ascii="Arial" w:cs="Arial" w:eastAsia="Arial" w:hAnsi="Arial"/>
            <w:sz w:val="18"/>
            <w:szCs w:val="18"/>
            <w:u w:val="single" w:color="auto"/>
            <w:color w:val="0000FF"/>
          </w:rPr>
          <w:t>Form of Option Award Agreement (Fair</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Market Value Options) under 2014 Omnibus</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Equity Incentive Plan</w:t>
        </w:r>
      </w:hyperlink>
    </w:p>
    <w:p>
      <w:pPr>
        <w:spacing w:after="0" w:line="19" w:lineRule="exact"/>
        <w:rPr>
          <w:rFonts w:ascii="Arial" w:cs="Arial" w:eastAsia="Arial" w:hAnsi="Arial"/>
          <w:sz w:val="18"/>
          <w:szCs w:val="18"/>
          <w:u w:val="single" w:color="auto"/>
          <w:color w:val="0000FF"/>
        </w:rPr>
      </w:pPr>
    </w:p>
    <w:p>
      <w:pPr>
        <w:ind w:left="880" w:right="1440" w:hanging="877"/>
        <w:spacing w:after="0" w:line="264" w:lineRule="auto"/>
        <w:tabs>
          <w:tab w:leader="none" w:pos="86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72">
        <w:r>
          <w:rPr>
            <w:rFonts w:ascii="Arial" w:cs="Arial" w:eastAsia="Arial" w:hAnsi="Arial"/>
            <w:sz w:val="18"/>
            <w:szCs w:val="18"/>
            <w:u w:val="single" w:color="auto"/>
            <w:color w:val="0000FF"/>
          </w:rPr>
          <w:t>Form of Non-Officer Director Restricted</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Share Agreement under 2014 Omnibus</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Equity Incentive Plan</w:t>
        </w:r>
      </w:hyperlink>
    </w:p>
    <w:p>
      <w:pPr>
        <w:spacing w:after="0" w:line="19" w:lineRule="exact"/>
        <w:rPr>
          <w:rFonts w:ascii="Arial" w:cs="Arial" w:eastAsia="Arial" w:hAnsi="Arial"/>
          <w:sz w:val="18"/>
          <w:szCs w:val="18"/>
          <w:u w:val="single" w:color="auto"/>
          <w:color w:val="0000FF"/>
        </w:rPr>
      </w:pPr>
    </w:p>
    <w:p>
      <w:pPr>
        <w:ind w:left="880" w:right="1320" w:hanging="877"/>
        <w:spacing w:after="0" w:line="305" w:lineRule="auto"/>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10.21*</w:t>
      </w:r>
      <w:r>
        <w:rPr>
          <w:sz w:val="20"/>
          <w:szCs w:val="20"/>
          <w:color w:val="auto"/>
        </w:rPr>
        <w:tab/>
      </w:r>
      <w:hyperlink r:id="rId73">
        <w:r>
          <w:rPr>
            <w:rFonts w:ascii="Arial" w:cs="Arial" w:eastAsia="Arial" w:hAnsi="Arial"/>
            <w:sz w:val="16"/>
            <w:szCs w:val="16"/>
            <w:u w:val="single" w:color="auto"/>
            <w:color w:val="0000FF"/>
          </w:rPr>
          <w:t>Form of Indemnification Agreement</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between El Pollo Loco Holdings, Inc. and</w:t>
        </w:r>
      </w:hyperlink>
      <w:r>
        <w:rPr>
          <w:rFonts w:ascii="Arial" w:cs="Arial" w:eastAsia="Arial" w:hAnsi="Arial"/>
          <w:sz w:val="16"/>
          <w:szCs w:val="16"/>
          <w:u w:val="single" w:color="auto"/>
          <w:color w:val="0000FF"/>
        </w:rPr>
        <w:t xml:space="preserve"> </w:t>
      </w:r>
      <w:hyperlink r:id="rId73">
        <w:r>
          <w:rPr>
            <w:rFonts w:ascii="Arial" w:cs="Arial" w:eastAsia="Arial" w:hAnsi="Arial"/>
            <w:sz w:val="16"/>
            <w:szCs w:val="16"/>
            <w:u w:val="single" w:color="auto"/>
            <w:color w:val="0000FF"/>
          </w:rPr>
          <w:t>each of its directors and executive officers</w:t>
        </w:r>
      </w:hyperlink>
    </w:p>
    <w:p>
      <w:pPr>
        <w:spacing w:after="0" w:line="1" w:lineRule="exact"/>
        <w:rPr>
          <w:rFonts w:ascii="Arial" w:cs="Arial" w:eastAsia="Arial" w:hAnsi="Arial"/>
          <w:sz w:val="16"/>
          <w:szCs w:val="16"/>
          <w:u w:val="single" w:color="auto"/>
          <w:color w:val="0000FF"/>
        </w:rPr>
      </w:pPr>
    </w:p>
    <w:p>
      <w:pPr>
        <w:ind w:left="880" w:right="1160" w:hanging="877"/>
        <w:spacing w:after="0" w:line="271" w:lineRule="auto"/>
        <w:tabs>
          <w:tab w:leader="none" w:pos="860" w:val="left"/>
        </w:tabs>
        <w:rPr>
          <w:rFonts w:ascii="Arial" w:cs="Arial" w:eastAsia="Arial" w:hAnsi="Arial"/>
          <w:sz w:val="17"/>
          <w:szCs w:val="17"/>
          <w:u w:val="single" w:color="auto"/>
          <w:color w:val="0000FF"/>
        </w:rPr>
      </w:pPr>
      <w:r>
        <w:rPr>
          <w:rFonts w:ascii="Arial" w:cs="Arial" w:eastAsia="Arial" w:hAnsi="Arial"/>
          <w:sz w:val="18"/>
          <w:szCs w:val="18"/>
          <w:color w:val="auto"/>
        </w:rPr>
        <w:t>10.22</w:t>
      </w:r>
      <w:r>
        <w:rPr>
          <w:sz w:val="20"/>
          <w:szCs w:val="20"/>
          <w:color w:val="auto"/>
        </w:rPr>
        <w:tab/>
      </w:r>
      <w:hyperlink r:id="rId74">
        <w:r>
          <w:rPr>
            <w:rFonts w:ascii="Arial" w:cs="Arial" w:eastAsia="Arial" w:hAnsi="Arial"/>
            <w:sz w:val="17"/>
            <w:szCs w:val="17"/>
            <w:u w:val="single" w:color="auto"/>
            <w:color w:val="0000FF"/>
          </w:rPr>
          <w:t>Credit Agreement, dated as of December 11,</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2014, among El Pollo Loco, Inc., as</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borrower, El Pollo Loco Holdings, Inc., and</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EPL Intermediate, Inc., as guarantors, Bank</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of America, N.A., as administrative agent,</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swingline lender and letter of credit issuer,</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the lenders party thereto, and the other</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parties thereto</w:t>
        </w:r>
      </w:hyperlink>
    </w:p>
    <w:p>
      <w:pPr>
        <w:spacing w:after="0" w:line="341" w:lineRule="exact"/>
        <w:rPr>
          <w:rFonts w:ascii="Arial" w:cs="Arial" w:eastAsia="Arial" w:hAnsi="Arial"/>
          <w:sz w:val="17"/>
          <w:szCs w:val="17"/>
          <w:u w:val="single" w:color="auto"/>
          <w:color w:val="0000FF"/>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10.6</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918"/>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10.7</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1134"/>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10.8</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1134"/>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918"/>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10.12</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27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10.13</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27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10.15</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486"/>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10.18</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270"/>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S-1/A</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10.22</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7/22/2014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27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10.19</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702"/>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S-1</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10.20</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486"/>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S-1/A</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10.25</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7/22/2014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70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S-1/A</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10.26</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7/22/2014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70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S-1/A</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10.27</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7/22/2014</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333-197001</w:t>
            </w:r>
          </w:p>
        </w:tc>
      </w:tr>
      <w:tr>
        <w:trPr>
          <w:trHeight w:val="702"/>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8-K</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12/16/2014</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0"/>
              </w:rPr>
              <w:t>001-36556</w:t>
            </w:r>
          </w:p>
        </w:tc>
      </w:tr>
    </w:tbl>
    <w:p>
      <w:pPr>
        <w:sectPr>
          <w:pgSz w:w="11900" w:h="16838" w:orient="portrait"/>
          <w:cols w:equalWidth="0" w:num="2">
            <w:col w:w="5240" w:space="180"/>
            <w:col w:w="5040"/>
          </w:cols>
          <w:pgMar w:left="800" w:top="746" w:right="6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2920" w:type="dxa"/>
            <w:vAlign w:val="bottom"/>
            <w:tcBorders>
              <w:bottom w:val="single" w:sz="8" w:color="0000FF"/>
            </w:tcBorders>
            <w:gridSpan w:val="16"/>
          </w:tcPr>
          <w:p>
            <w:pPr>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Form of Option Award Agreement (Fair</w:t>
              </w:r>
            </w:hyperlink>
          </w:p>
        </w:tc>
        <w:tc>
          <w:tcPr>
            <w:tcW w:w="72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22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Market Value Options) under 2014 Omnibus</w:t>
              </w:r>
            </w:hyperlink>
          </w:p>
        </w:tc>
        <w:tc>
          <w:tcPr>
            <w:tcW w:w="42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40" w:type="dxa"/>
            <w:vAlign w:val="bottom"/>
            <w:gridSpan w:val="27"/>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Equity Incentive Plan (Time Vesting Only)</w:t>
              </w:r>
            </w:hyperlink>
          </w:p>
        </w:tc>
        <w:tc>
          <w:tcPr>
            <w:tcW w:w="58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3080" w:type="dxa"/>
            <w:vAlign w:val="bottom"/>
            <w:tcBorders>
              <w:top w:val="single" w:sz="8" w:color="0000FF"/>
            </w:tcBorders>
            <w:gridSpan w:val="21"/>
          </w:tcPr>
          <w:p>
            <w:pPr>
              <w:spacing w:after="0"/>
              <w:rPr>
                <w:rFonts w:ascii="Arial" w:cs="Arial" w:eastAsia="Arial" w:hAnsi="Arial"/>
                <w:sz w:val="18"/>
                <w:szCs w:val="18"/>
                <w:color w:val="0000FF"/>
              </w:rPr>
            </w:pPr>
            <w:hyperlink r:id="rId76">
              <w:r>
                <w:rPr>
                  <w:rFonts w:ascii="Arial" w:cs="Arial" w:eastAsia="Arial" w:hAnsi="Arial"/>
                  <w:sz w:val="18"/>
                  <w:szCs w:val="18"/>
                  <w:color w:val="0000FF"/>
                </w:rPr>
                <w:t>Form of Employee Restricted Share</w:t>
              </w:r>
            </w:hyperlink>
          </w:p>
        </w:tc>
        <w:tc>
          <w:tcPr>
            <w:tcW w:w="56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9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Agreement under 2014 Omnibus Equity</w:t>
              </w:r>
            </w:hyperlink>
          </w:p>
        </w:tc>
        <w:tc>
          <w:tcPr>
            <w:tcW w:w="720" w:type="dxa"/>
            <w:vAlign w:val="bottom"/>
            <w:gridSpan w:val="11"/>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40" w:type="dxa"/>
            <w:vAlign w:val="bottom"/>
            <w:gridSpan w:val="27"/>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Incentive Plan</w:t>
              </w:r>
            </w:hyperlink>
          </w:p>
        </w:tc>
        <w:tc>
          <w:tcPr>
            <w:tcW w:w="5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3040" w:type="dxa"/>
            <w:vAlign w:val="bottom"/>
            <w:tcBorders>
              <w:bottom w:val="single" w:sz="8" w:color="0000FF"/>
            </w:tcBorders>
            <w:gridSpan w:val="19"/>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Employment Agreement between Bernard</w:t>
              </w:r>
            </w:hyperlink>
          </w:p>
        </w:tc>
        <w:tc>
          <w:tcPr>
            <w:tcW w:w="600" w:type="dxa"/>
            <w:vAlign w:val="bottom"/>
            <w:gridSpan w:val="8"/>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3640" w:type="dxa"/>
            <w:vAlign w:val="bottom"/>
            <w:gridSpan w:val="27"/>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Acoca and El Pollo Loco, Inc.</w:t>
              </w:r>
            </w:hyperlink>
          </w:p>
        </w:tc>
        <w:tc>
          <w:tcPr>
            <w:tcW w:w="5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3640" w:type="dxa"/>
            <w:vAlign w:val="bottom"/>
            <w:gridSpan w:val="27"/>
          </w:tcPr>
          <w:p>
            <w:pPr>
              <w:spacing w:after="0"/>
              <w:rPr>
                <w:rFonts w:ascii="Arial" w:cs="Arial" w:eastAsia="Arial" w:hAnsi="Arial"/>
                <w:sz w:val="18"/>
                <w:szCs w:val="18"/>
                <w:color w:val="0000FF"/>
              </w:rPr>
            </w:pPr>
            <w:hyperlink r:id="rId78">
              <w:r>
                <w:rPr>
                  <w:rFonts w:ascii="Arial" w:cs="Arial" w:eastAsia="Arial" w:hAnsi="Arial"/>
                  <w:sz w:val="18"/>
                  <w:szCs w:val="18"/>
                  <w:color w:val="0000FF"/>
                </w:rPr>
                <w:t>Retirement Agreement between Stephen J.</w:t>
              </w:r>
            </w:hyperlink>
          </w:p>
        </w:tc>
        <w:tc>
          <w:tcPr>
            <w:tcW w:w="58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Sather and El Pollo Loco, Inc. and</w:t>
              </w:r>
            </w:hyperlink>
          </w:p>
        </w:tc>
        <w:tc>
          <w:tcPr>
            <w:tcW w:w="580" w:type="dxa"/>
            <w:vAlign w:val="bottom"/>
            <w:tcBorders>
              <w:top w:val="single" w:sz="8" w:color="0000FF"/>
            </w:tcBorders>
            <w:gridSpan w:val="12"/>
          </w:tcPr>
          <w:p>
            <w:pPr>
              <w:spacing w:after="0"/>
              <w:rPr>
                <w:sz w:val="17"/>
                <w:szCs w:val="17"/>
                <w:color w:val="auto"/>
              </w:rPr>
            </w:pPr>
          </w:p>
        </w:tc>
        <w:tc>
          <w:tcPr>
            <w:tcW w:w="58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06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78">
              <w:r>
                <w:rPr>
                  <w:rFonts w:ascii="Arial" w:cs="Arial" w:eastAsia="Arial" w:hAnsi="Arial"/>
                  <w:sz w:val="18"/>
                  <w:szCs w:val="18"/>
                  <w:color w:val="0000FF"/>
                  <w:w w:val="89"/>
                </w:rPr>
                <w:t>Executive’s Waiver and Release of Claims</w:t>
              </w:r>
            </w:hyperlink>
          </w:p>
        </w:tc>
        <w:tc>
          <w:tcPr>
            <w:tcW w:w="58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20" w:type="dxa"/>
            <w:vAlign w:val="bottom"/>
            <w:tcBorders>
              <w:bottom w:val="single" w:sz="8" w:color="0000FF"/>
            </w:tcBorders>
            <w:gridSpan w:val="13"/>
          </w:tcPr>
          <w:p>
            <w:pPr>
              <w:spacing w:after="0" w:line="196" w:lineRule="exact"/>
              <w:rPr>
                <w:rFonts w:ascii="Arial" w:cs="Arial" w:eastAsia="Arial" w:hAnsi="Arial"/>
                <w:sz w:val="18"/>
                <w:szCs w:val="18"/>
                <w:color w:val="0000FF"/>
                <w:w w:val="87"/>
              </w:rPr>
            </w:pPr>
            <w:hyperlink r:id="rId78">
              <w:r>
                <w:rPr>
                  <w:rFonts w:ascii="Arial" w:cs="Arial" w:eastAsia="Arial" w:hAnsi="Arial"/>
                  <w:sz w:val="18"/>
                  <w:szCs w:val="18"/>
                  <w:color w:val="0000FF"/>
                  <w:w w:val="87"/>
                </w:rPr>
                <w:t>between Stephen J. Sather and El Pollo</w:t>
              </w:r>
            </w:hyperlink>
          </w:p>
        </w:tc>
        <w:tc>
          <w:tcPr>
            <w:tcW w:w="82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40" w:type="dxa"/>
            <w:vAlign w:val="bottom"/>
            <w:gridSpan w:val="27"/>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Loco, Inc.</w:t>
              </w:r>
            </w:hyperlink>
          </w:p>
        </w:tc>
        <w:tc>
          <w:tcPr>
            <w:tcW w:w="5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2680" w:type="dxa"/>
            <w:vAlign w:val="bottom"/>
            <w:tcBorders>
              <w:bottom w:val="single" w:sz="8" w:color="0000FF"/>
            </w:tcBorders>
            <w:gridSpan w:val="11"/>
          </w:tcPr>
          <w:p>
            <w:pPr>
              <w:spacing w:after="0"/>
              <w:rPr>
                <w:rFonts w:ascii="Arial" w:cs="Arial" w:eastAsia="Arial" w:hAnsi="Arial"/>
                <w:sz w:val="18"/>
                <w:szCs w:val="18"/>
                <w:color w:val="0000FF"/>
                <w:w w:val="93"/>
              </w:rPr>
            </w:pPr>
            <w:hyperlink r:id="rId79">
              <w:r>
                <w:rPr>
                  <w:rFonts w:ascii="Arial" w:cs="Arial" w:eastAsia="Arial" w:hAnsi="Arial"/>
                  <w:sz w:val="18"/>
                  <w:szCs w:val="18"/>
                  <w:color w:val="0000FF"/>
                  <w:w w:val="93"/>
                </w:rPr>
                <w:t>Form of Non-Qualified Stock Option</w:t>
              </w:r>
            </w:hyperlink>
          </w:p>
        </w:tc>
        <w:tc>
          <w:tcPr>
            <w:tcW w:w="960" w:type="dxa"/>
            <w:vAlign w:val="bottom"/>
            <w:gridSpan w:val="16"/>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32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Agreement between El Pollo Loco Holdings,</w:t>
              </w:r>
            </w:hyperlink>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40" w:type="dxa"/>
            <w:vAlign w:val="bottom"/>
            <w:gridSpan w:val="27"/>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Inc. and Bernard Acoca</w:t>
              </w:r>
            </w:hyperlink>
          </w:p>
        </w:tc>
        <w:tc>
          <w:tcPr>
            <w:tcW w:w="5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2700" w:type="dxa"/>
            <w:vAlign w:val="bottom"/>
            <w:tcBorders>
              <w:bottom w:val="single" w:sz="8" w:color="0000FF"/>
            </w:tcBorders>
            <w:gridSpan w:val="12"/>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Form of Restricted Share Unit Award</w:t>
              </w:r>
            </w:hyperlink>
          </w:p>
        </w:tc>
        <w:tc>
          <w:tcPr>
            <w:tcW w:w="940" w:type="dxa"/>
            <w:vAlign w:val="bottom"/>
            <w:gridSpan w:val="15"/>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32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Agreement between El Pollo Loco Holdings,</w:t>
              </w:r>
            </w:hyperlink>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40" w:type="dxa"/>
            <w:vAlign w:val="bottom"/>
            <w:gridSpan w:val="27"/>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Inc. and Bernard Acoca</w:t>
              </w:r>
            </w:hyperlink>
          </w:p>
        </w:tc>
        <w:tc>
          <w:tcPr>
            <w:tcW w:w="5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2900" w:type="dxa"/>
            <w:vAlign w:val="bottom"/>
            <w:tcBorders>
              <w:bottom w:val="single" w:sz="8" w:color="0000FF"/>
            </w:tcBorders>
            <w:gridSpan w:val="15"/>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Form of Performance Share Unit Award</w:t>
              </w:r>
            </w:hyperlink>
          </w:p>
        </w:tc>
        <w:tc>
          <w:tcPr>
            <w:tcW w:w="740" w:type="dxa"/>
            <w:vAlign w:val="bottom"/>
            <w:gridSpan w:val="12"/>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32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Agreement between El Pollo Loco Holdings,</w:t>
              </w:r>
            </w:hyperlink>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40" w:type="dxa"/>
            <w:vAlign w:val="bottom"/>
            <w:gridSpan w:val="27"/>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Inc. and Bernard Acoca</w:t>
              </w:r>
            </w:hyperlink>
          </w:p>
        </w:tc>
        <w:tc>
          <w:tcPr>
            <w:tcW w:w="5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3640" w:type="dxa"/>
            <w:vAlign w:val="bottom"/>
            <w:gridSpan w:val="27"/>
          </w:tcPr>
          <w:p>
            <w:pPr>
              <w:spacing w:after="0"/>
              <w:rPr>
                <w:rFonts w:ascii="Arial" w:cs="Arial" w:eastAsia="Arial" w:hAnsi="Arial"/>
                <w:sz w:val="18"/>
                <w:szCs w:val="18"/>
                <w:color w:val="0000FF"/>
              </w:rPr>
            </w:pPr>
            <w:hyperlink r:id="rId82">
              <w:r>
                <w:rPr>
                  <w:rFonts w:ascii="Arial" w:cs="Arial" w:eastAsia="Arial" w:hAnsi="Arial"/>
                  <w:sz w:val="18"/>
                  <w:szCs w:val="18"/>
                  <w:color w:val="0000FF"/>
                </w:rPr>
                <w:t>2018 Omnibus Equity Incentive Plan</w:t>
              </w:r>
            </w:hyperlink>
          </w:p>
        </w:tc>
        <w:tc>
          <w:tcPr>
            <w:tcW w:w="580" w:type="dxa"/>
            <w:vAlign w:val="bottom"/>
          </w:tcPr>
          <w:p>
            <w:pPr>
              <w:spacing w:after="0"/>
              <w:rPr>
                <w:sz w:val="21"/>
                <w:szCs w:val="2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3200" w:type="dxa"/>
            <w:vAlign w:val="bottom"/>
            <w:tcBorders>
              <w:bottom w:val="single" w:sz="8" w:color="0000FF"/>
            </w:tcBorders>
            <w:gridSpan w:val="24"/>
          </w:tcPr>
          <w:p>
            <w:pPr>
              <w:spacing w:after="0"/>
              <w:rPr>
                <w:rFonts w:ascii="Arial" w:cs="Arial" w:eastAsia="Arial" w:hAnsi="Arial"/>
                <w:sz w:val="18"/>
                <w:szCs w:val="18"/>
                <w:color w:val="0000FF"/>
                <w:w w:val="92"/>
              </w:rPr>
            </w:pPr>
            <w:hyperlink r:id="rId83">
              <w:r>
                <w:rPr>
                  <w:rFonts w:ascii="Arial" w:cs="Arial" w:eastAsia="Arial" w:hAnsi="Arial"/>
                  <w:sz w:val="18"/>
                  <w:szCs w:val="18"/>
                  <w:color w:val="0000FF"/>
                  <w:w w:val="92"/>
                </w:rPr>
                <w:t>Subsidiaries of El Pollo Loco Holdings, Inc.</w:t>
              </w:r>
            </w:hyperlink>
          </w:p>
        </w:tc>
        <w:tc>
          <w:tcPr>
            <w:tcW w:w="44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20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104">
              <w:r>
                <w:rPr>
                  <w:rFonts w:ascii="Arial" w:cs="Arial" w:eastAsia="Arial" w:hAnsi="Arial"/>
                  <w:sz w:val="18"/>
                  <w:szCs w:val="18"/>
                  <w:color w:val="0000FF"/>
                  <w:w w:val="92"/>
                </w:rPr>
                <w:t>Consent of BDO USA, LLP</w:t>
              </w:r>
            </w:hyperlink>
          </w:p>
        </w:tc>
        <w:tc>
          <w:tcPr>
            <w:tcW w:w="1620" w:type="dxa"/>
            <w:vAlign w:val="bottom"/>
            <w:gridSpan w:val="22"/>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24.1</w:t>
            </w:r>
          </w:p>
        </w:tc>
        <w:tc>
          <w:tcPr>
            <w:tcW w:w="3640" w:type="dxa"/>
            <w:vAlign w:val="bottom"/>
            <w:gridSpan w:val="2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Power of Attorney (included on signature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196"/>
        </w:trPr>
        <w:tc>
          <w:tcPr>
            <w:tcW w:w="880" w:type="dxa"/>
            <w:vAlign w:val="bottom"/>
          </w:tcPr>
          <w:p>
            <w:pPr>
              <w:spacing w:after="0"/>
              <w:rPr>
                <w:sz w:val="17"/>
                <w:szCs w:val="17"/>
                <w:color w:val="auto"/>
              </w:rPr>
            </w:pPr>
          </w:p>
        </w:tc>
        <w:tc>
          <w:tcPr>
            <w:tcW w:w="29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page hereto)</w:t>
              </w:r>
            </w:hyperlink>
          </w:p>
        </w:tc>
        <w:tc>
          <w:tcPr>
            <w:tcW w:w="660" w:type="dxa"/>
            <w:vAlign w:val="bottom"/>
            <w:gridSpan w:val="9"/>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3120" w:type="dxa"/>
            <w:vAlign w:val="bottom"/>
            <w:tcBorders>
              <w:bottom w:val="single" w:sz="8" w:color="0000FF"/>
            </w:tcBorders>
            <w:gridSpan w:val="22"/>
          </w:tcPr>
          <w:p>
            <w:pPr>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Certification of Principal Executive Officer</w:t>
              </w:r>
            </w:hyperlink>
          </w:p>
        </w:tc>
        <w:tc>
          <w:tcPr>
            <w:tcW w:w="520" w:type="dxa"/>
            <w:vAlign w:val="bottom"/>
            <w:gridSpan w:val="5"/>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196"/>
        </w:trPr>
        <w:tc>
          <w:tcPr>
            <w:tcW w:w="880" w:type="dxa"/>
            <w:vAlign w:val="bottom"/>
          </w:tcPr>
          <w:p>
            <w:pPr>
              <w:spacing w:after="0"/>
              <w:rPr>
                <w:sz w:val="17"/>
                <w:szCs w:val="17"/>
                <w:color w:val="auto"/>
              </w:rPr>
            </w:pPr>
          </w:p>
        </w:tc>
        <w:tc>
          <w:tcPr>
            <w:tcW w:w="2960" w:type="dxa"/>
            <w:vAlign w:val="bottom"/>
            <w:tcBorders>
              <w:bottom w:val="single" w:sz="8" w:color="0000FF"/>
            </w:tcBorders>
            <w:gridSpan w:val="17"/>
          </w:tcPr>
          <w:p>
            <w:pPr>
              <w:spacing w:after="0" w:line="196" w:lineRule="exact"/>
              <w:rPr>
                <w:rFonts w:ascii="Arial" w:cs="Arial" w:eastAsia="Arial" w:hAnsi="Arial"/>
                <w:sz w:val="18"/>
                <w:szCs w:val="18"/>
                <w:color w:val="0000FF"/>
                <w:w w:val="88"/>
              </w:rPr>
            </w:pPr>
            <w:hyperlink w:anchor="page105">
              <w:r>
                <w:rPr>
                  <w:rFonts w:ascii="Arial" w:cs="Arial" w:eastAsia="Arial" w:hAnsi="Arial"/>
                  <w:sz w:val="18"/>
                  <w:szCs w:val="18"/>
                  <w:color w:val="0000FF"/>
                  <w:w w:val="88"/>
                </w:rPr>
                <w:t>under section 302 of the Sarbanes–Oxley</w:t>
              </w:r>
            </w:hyperlink>
          </w:p>
        </w:tc>
        <w:tc>
          <w:tcPr>
            <w:tcW w:w="68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8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105">
              <w:r>
                <w:rPr>
                  <w:rFonts w:ascii="Arial" w:cs="Arial" w:eastAsia="Arial" w:hAnsi="Arial"/>
                  <w:sz w:val="18"/>
                  <w:szCs w:val="18"/>
                  <w:color w:val="0000FF"/>
                  <w:w w:val="92"/>
                </w:rPr>
                <w:t>Act of 2002</w:t>
              </w:r>
            </w:hyperlink>
          </w:p>
        </w:tc>
        <w:tc>
          <w:tcPr>
            <w:tcW w:w="2760" w:type="dxa"/>
            <w:vAlign w:val="bottom"/>
            <w:gridSpan w:val="25"/>
          </w:tcPr>
          <w:p>
            <w:pPr>
              <w:spacing w:after="0"/>
              <w:rPr>
                <w:sz w:val="17"/>
                <w:szCs w:val="17"/>
                <w:color w:val="auto"/>
              </w:rPr>
            </w:pPr>
          </w:p>
        </w:tc>
        <w:tc>
          <w:tcPr>
            <w:tcW w:w="58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3640" w:type="dxa"/>
            <w:vAlign w:val="bottom"/>
            <w:gridSpan w:val="27"/>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Certification of Principal Financial Officer</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196"/>
        </w:trPr>
        <w:tc>
          <w:tcPr>
            <w:tcW w:w="880" w:type="dxa"/>
            <w:vAlign w:val="bottom"/>
          </w:tcPr>
          <w:p>
            <w:pPr>
              <w:spacing w:after="0"/>
              <w:rPr>
                <w:sz w:val="17"/>
                <w:szCs w:val="17"/>
                <w:color w:val="auto"/>
              </w:rPr>
            </w:pPr>
          </w:p>
        </w:tc>
        <w:tc>
          <w:tcPr>
            <w:tcW w:w="29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88"/>
              </w:rPr>
            </w:pPr>
            <w:hyperlink w:anchor="page106">
              <w:r>
                <w:rPr>
                  <w:rFonts w:ascii="Arial" w:cs="Arial" w:eastAsia="Arial" w:hAnsi="Arial"/>
                  <w:sz w:val="18"/>
                  <w:szCs w:val="18"/>
                  <w:color w:val="0000FF"/>
                  <w:w w:val="88"/>
                </w:rPr>
                <w:t>under section 302 of the Sarbanes–Oxley</w:t>
              </w:r>
            </w:hyperlink>
          </w:p>
        </w:tc>
        <w:tc>
          <w:tcPr>
            <w:tcW w:w="100" w:type="dxa"/>
            <w:vAlign w:val="bottom"/>
            <w:tcBorders>
              <w:top w:val="single" w:sz="8" w:color="0000FF"/>
            </w:tcBorders>
            <w:gridSpan w:val="3"/>
          </w:tcPr>
          <w:p>
            <w:pPr>
              <w:spacing w:after="0"/>
              <w:rPr>
                <w:sz w:val="17"/>
                <w:szCs w:val="17"/>
                <w:color w:val="auto"/>
              </w:rPr>
            </w:pPr>
          </w:p>
        </w:tc>
        <w:tc>
          <w:tcPr>
            <w:tcW w:w="58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88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106">
              <w:r>
                <w:rPr>
                  <w:rFonts w:ascii="Arial" w:cs="Arial" w:eastAsia="Arial" w:hAnsi="Arial"/>
                  <w:sz w:val="18"/>
                  <w:szCs w:val="18"/>
                  <w:color w:val="0000FF"/>
                  <w:w w:val="92"/>
                </w:rPr>
                <w:t>Act of 2002</w:t>
              </w:r>
            </w:hyperlink>
          </w:p>
        </w:tc>
        <w:tc>
          <w:tcPr>
            <w:tcW w:w="2760" w:type="dxa"/>
            <w:vAlign w:val="bottom"/>
            <w:gridSpan w:val="25"/>
          </w:tcPr>
          <w:p>
            <w:pPr>
              <w:spacing w:after="0"/>
              <w:rPr>
                <w:sz w:val="17"/>
                <w:szCs w:val="17"/>
                <w:color w:val="auto"/>
              </w:rPr>
            </w:pPr>
          </w:p>
        </w:tc>
        <w:tc>
          <w:tcPr>
            <w:tcW w:w="58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3180" w:type="dxa"/>
            <w:vAlign w:val="bottom"/>
            <w:tcBorders>
              <w:bottom w:val="single" w:sz="8" w:color="0000FF"/>
            </w:tcBorders>
            <w:gridSpan w:val="23"/>
          </w:tcPr>
          <w:p>
            <w:pPr>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Certification of Chief Executive Officer and</w:t>
              </w:r>
            </w:hyperlink>
          </w:p>
        </w:tc>
        <w:tc>
          <w:tcPr>
            <w:tcW w:w="460" w:type="dxa"/>
            <w:vAlign w:val="bottom"/>
            <w:gridSpan w:val="4"/>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880" w:type="dxa"/>
            <w:vAlign w:val="bottom"/>
          </w:tcPr>
          <w:p>
            <w:pPr>
              <w:spacing w:after="0"/>
              <w:rPr>
                <w:sz w:val="17"/>
                <w:szCs w:val="17"/>
                <w:color w:val="auto"/>
              </w:rPr>
            </w:pPr>
          </w:p>
        </w:tc>
        <w:tc>
          <w:tcPr>
            <w:tcW w:w="28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w:anchor="page107">
              <w:r>
                <w:rPr>
                  <w:rFonts w:ascii="Arial" w:cs="Arial" w:eastAsia="Arial" w:hAnsi="Arial"/>
                  <w:sz w:val="18"/>
                  <w:szCs w:val="18"/>
                  <w:color w:val="0000FF"/>
                  <w:w w:val="91"/>
                </w:rPr>
                <w:t>Chief Financial Officer under 18 U.S.C.</w:t>
              </w:r>
            </w:hyperlink>
          </w:p>
        </w:tc>
        <w:tc>
          <w:tcPr>
            <w:tcW w:w="760" w:type="dxa"/>
            <w:vAlign w:val="bottom"/>
            <w:gridSpan w:val="13"/>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40" w:type="dxa"/>
            <w:vAlign w:val="bottom"/>
            <w:gridSpan w:val="27"/>
          </w:tcPr>
          <w:p>
            <w:pPr>
              <w:spacing w:after="0" w:line="196" w:lineRule="exact"/>
              <w:rPr>
                <w:rFonts w:ascii="Arial" w:cs="Arial" w:eastAsia="Arial" w:hAnsi="Arial"/>
                <w:sz w:val="18"/>
                <w:szCs w:val="18"/>
                <w:color w:val="0000FF"/>
              </w:rPr>
            </w:pPr>
            <w:hyperlink w:anchor="page107">
              <w:r>
                <w:rPr>
                  <w:rFonts w:ascii="Arial" w:cs="Arial" w:eastAsia="Arial" w:hAnsi="Arial"/>
                  <w:sz w:val="18"/>
                  <w:szCs w:val="18"/>
                  <w:color w:val="0000FF"/>
                </w:rPr>
                <w:t>section 1350, adopted by section 906 of the</w:t>
              </w:r>
            </w:hyperlink>
          </w:p>
        </w:tc>
        <w:tc>
          <w:tcPr>
            <w:tcW w:w="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w:anchor="page107">
              <w:r>
                <w:rPr>
                  <w:rFonts w:ascii="Arial" w:cs="Arial" w:eastAsia="Arial" w:hAnsi="Arial"/>
                  <w:sz w:val="18"/>
                  <w:szCs w:val="18"/>
                  <w:color w:val="0000FF"/>
                  <w:w w:val="89"/>
                </w:rPr>
                <w:t>Sarbanes–Oxley Act of 2002</w:t>
              </w:r>
            </w:hyperlink>
          </w:p>
        </w:tc>
        <w:tc>
          <w:tcPr>
            <w:tcW w:w="1040" w:type="dxa"/>
            <w:vAlign w:val="bottom"/>
            <w:tcBorders>
              <w:top w:val="single" w:sz="8" w:color="0000FF"/>
            </w:tcBorders>
            <w:gridSpan w:val="16"/>
          </w:tcPr>
          <w:p>
            <w:pPr>
              <w:spacing w:after="0"/>
              <w:rPr>
                <w:sz w:val="17"/>
                <w:szCs w:val="17"/>
                <w:color w:val="auto"/>
              </w:rPr>
            </w:pPr>
          </w:p>
        </w:tc>
        <w:tc>
          <w:tcPr>
            <w:tcW w:w="52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3640" w:type="dxa"/>
            <w:vAlign w:val="bottom"/>
            <w:gridSpan w:val="27"/>
          </w:tcPr>
          <w:p>
            <w:pPr>
              <w:spacing w:after="0"/>
              <w:rPr>
                <w:sz w:val="20"/>
                <w:szCs w:val="20"/>
                <w:color w:val="auto"/>
              </w:rPr>
            </w:pPr>
            <w:r>
              <w:rPr>
                <w:rFonts w:ascii="Arial" w:cs="Arial" w:eastAsia="Arial" w:hAnsi="Arial"/>
                <w:sz w:val="18"/>
                <w:szCs w:val="18"/>
                <w:color w:val="auto"/>
              </w:rPr>
              <w:t>XBRL Instance Document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3640" w:type="dxa"/>
            <w:vAlign w:val="bottom"/>
            <w:gridSpan w:val="27"/>
          </w:tcPr>
          <w:p>
            <w:pPr>
              <w:spacing w:after="0"/>
              <w:rPr>
                <w:sz w:val="20"/>
                <w:szCs w:val="20"/>
                <w:color w:val="auto"/>
              </w:rPr>
            </w:pPr>
            <w:r>
              <w:rPr>
                <w:rFonts w:ascii="Arial" w:cs="Arial" w:eastAsia="Arial" w:hAnsi="Arial"/>
                <w:sz w:val="18"/>
                <w:szCs w:val="18"/>
                <w:color w:val="auto"/>
              </w:rPr>
              <w:t>XBRL Taxonomy Extension Schema</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30"/>
        </w:trPr>
        <w:tc>
          <w:tcPr>
            <w:tcW w:w="880" w:type="dxa"/>
            <w:vAlign w:val="bottom"/>
          </w:tcPr>
          <w:p>
            <w:pPr>
              <w:spacing w:after="0"/>
              <w:rPr>
                <w:sz w:val="20"/>
                <w:szCs w:val="20"/>
                <w:color w:val="auto"/>
              </w:rPr>
            </w:pPr>
          </w:p>
        </w:tc>
        <w:tc>
          <w:tcPr>
            <w:tcW w:w="364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3640" w:type="dxa"/>
            <w:vAlign w:val="bottom"/>
            <w:gridSpan w:val="27"/>
          </w:tcPr>
          <w:p>
            <w:pPr>
              <w:spacing w:after="0"/>
              <w:rPr>
                <w:sz w:val="20"/>
                <w:szCs w:val="20"/>
                <w:color w:val="auto"/>
              </w:rPr>
            </w:pPr>
            <w:r>
              <w:rPr>
                <w:rFonts w:ascii="Arial" w:cs="Arial" w:eastAsia="Arial" w:hAnsi="Arial"/>
                <w:sz w:val="18"/>
                <w:szCs w:val="18"/>
                <w:color w:val="auto"/>
              </w:rPr>
              <w:t>XBRL Taxonomy Extension Calculation</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30"/>
        </w:trPr>
        <w:tc>
          <w:tcPr>
            <w:tcW w:w="880" w:type="dxa"/>
            <w:vAlign w:val="bottom"/>
          </w:tcPr>
          <w:p>
            <w:pPr>
              <w:spacing w:after="0"/>
              <w:rPr>
                <w:sz w:val="20"/>
                <w:szCs w:val="20"/>
                <w:color w:val="auto"/>
              </w:rPr>
            </w:pPr>
          </w:p>
        </w:tc>
        <w:tc>
          <w:tcPr>
            <w:tcW w:w="3640" w:type="dxa"/>
            <w:vAlign w:val="bottom"/>
            <w:gridSpan w:val="27"/>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3640" w:type="dxa"/>
            <w:vAlign w:val="bottom"/>
            <w:gridSpan w:val="27"/>
          </w:tcPr>
          <w:p>
            <w:pPr>
              <w:spacing w:after="0"/>
              <w:rPr>
                <w:sz w:val="20"/>
                <w:szCs w:val="20"/>
                <w:color w:val="auto"/>
              </w:rPr>
            </w:pPr>
            <w:r>
              <w:rPr>
                <w:rFonts w:ascii="Arial" w:cs="Arial" w:eastAsia="Arial" w:hAnsi="Arial"/>
                <w:sz w:val="18"/>
                <w:szCs w:val="18"/>
                <w:color w:val="auto"/>
              </w:rPr>
              <w:t>XBRL Taxonomy Extension Definition</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30"/>
        </w:trPr>
        <w:tc>
          <w:tcPr>
            <w:tcW w:w="880" w:type="dxa"/>
            <w:vAlign w:val="bottom"/>
          </w:tcPr>
          <w:p>
            <w:pPr>
              <w:spacing w:after="0"/>
              <w:rPr>
                <w:sz w:val="20"/>
                <w:szCs w:val="20"/>
                <w:color w:val="auto"/>
              </w:rPr>
            </w:pPr>
          </w:p>
        </w:tc>
        <w:tc>
          <w:tcPr>
            <w:tcW w:w="3640" w:type="dxa"/>
            <w:vAlign w:val="bottom"/>
            <w:gridSpan w:val="27"/>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364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30"/>
        </w:trPr>
        <w:tc>
          <w:tcPr>
            <w:tcW w:w="880" w:type="dxa"/>
            <w:vAlign w:val="bottom"/>
          </w:tcPr>
          <w:p>
            <w:pPr>
              <w:spacing w:after="0"/>
              <w:rPr>
                <w:sz w:val="20"/>
                <w:szCs w:val="20"/>
                <w:color w:val="auto"/>
              </w:rPr>
            </w:pPr>
          </w:p>
        </w:tc>
        <w:tc>
          <w:tcPr>
            <w:tcW w:w="364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364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30"/>
        </w:trPr>
        <w:tc>
          <w:tcPr>
            <w:tcW w:w="880" w:type="dxa"/>
            <w:vAlign w:val="bottom"/>
          </w:tcPr>
          <w:p>
            <w:pPr>
              <w:spacing w:after="0"/>
              <w:rPr>
                <w:sz w:val="20"/>
                <w:szCs w:val="20"/>
                <w:color w:val="auto"/>
              </w:rPr>
            </w:pPr>
          </w:p>
        </w:tc>
        <w:tc>
          <w:tcPr>
            <w:tcW w:w="3640" w:type="dxa"/>
            <w:vAlign w:val="bottom"/>
            <w:gridSpan w:val="27"/>
          </w:tcPr>
          <w:p>
            <w:pPr>
              <w:spacing w:after="0"/>
              <w:rPr>
                <w:sz w:val="20"/>
                <w:szCs w:val="20"/>
                <w:color w:val="auto"/>
              </w:rPr>
            </w:pPr>
            <w:r>
              <w:rPr>
                <w:rFonts w:ascii="Arial" w:cs="Arial" w:eastAsia="Arial" w:hAnsi="Arial"/>
                <w:sz w:val="18"/>
                <w:szCs w:val="18"/>
                <w:color w:val="auto"/>
              </w:rPr>
              <w:t>Linkbase Document</w:t>
            </w:r>
          </w:p>
        </w:tc>
        <w:tc>
          <w:tcPr>
            <w:tcW w:w="580" w:type="dxa"/>
            <w:vAlign w:val="bottom"/>
          </w:tcPr>
          <w:p>
            <w:pPr>
              <w:spacing w:after="0"/>
              <w:rPr>
                <w:sz w:val="20"/>
                <w:szCs w:val="20"/>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10-Q</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6/29/2016</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10.27</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8/5/2016</w:t>
            </w:r>
          </w:p>
        </w:tc>
        <w:tc>
          <w:tcPr>
            <w:tcW w:w="1120" w:type="dxa"/>
            <w:vAlign w:val="bottom"/>
          </w:tcPr>
          <w:p>
            <w:pPr>
              <w:jc w:val="right"/>
              <w:spacing w:after="0"/>
              <w:rPr>
                <w:sz w:val="20"/>
                <w:szCs w:val="20"/>
                <w:color w:val="auto"/>
              </w:rPr>
            </w:pPr>
            <w:r>
              <w:rPr>
                <w:rFonts w:ascii="Arial" w:cs="Arial" w:eastAsia="Arial" w:hAnsi="Arial"/>
                <w:sz w:val="18"/>
                <w:szCs w:val="18"/>
                <w:color w:val="auto"/>
              </w:rPr>
              <w:t>001-36556</w:t>
            </w:r>
          </w:p>
        </w:tc>
      </w:tr>
      <w:tr>
        <w:trPr>
          <w:trHeight w:val="720"/>
        </w:trPr>
        <w:tc>
          <w:tcPr>
            <w:tcW w:w="600" w:type="dxa"/>
            <w:vAlign w:val="bottom"/>
          </w:tcPr>
          <w:p>
            <w:pPr>
              <w:spacing w:after="0"/>
              <w:rPr>
                <w:sz w:val="20"/>
                <w:szCs w:val="20"/>
                <w:color w:val="auto"/>
              </w:rPr>
            </w:pPr>
            <w:r>
              <w:rPr>
                <w:rFonts w:ascii="Arial" w:cs="Arial" w:eastAsia="Arial" w:hAnsi="Arial"/>
                <w:sz w:val="18"/>
                <w:szCs w:val="18"/>
                <w:color w:val="auto"/>
              </w:rPr>
              <w:t>10-Q</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9/28/2016</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10.28</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11/4/2016</w:t>
            </w:r>
          </w:p>
        </w:tc>
        <w:tc>
          <w:tcPr>
            <w:tcW w:w="1120" w:type="dxa"/>
            <w:vAlign w:val="bottom"/>
          </w:tcPr>
          <w:p>
            <w:pPr>
              <w:jc w:val="right"/>
              <w:spacing w:after="0"/>
              <w:rPr>
                <w:sz w:val="20"/>
                <w:szCs w:val="20"/>
                <w:color w:val="auto"/>
              </w:rPr>
            </w:pPr>
            <w:r>
              <w:rPr>
                <w:rFonts w:ascii="Arial" w:cs="Arial" w:eastAsia="Arial" w:hAnsi="Arial"/>
                <w:sz w:val="20"/>
                <w:szCs w:val="20"/>
                <w:color w:val="auto"/>
              </w:rPr>
              <w:t>001-36556</w:t>
            </w:r>
          </w:p>
        </w:tc>
      </w:tr>
      <w:tr>
        <w:trPr>
          <w:trHeight w:val="702"/>
        </w:trPr>
        <w:tc>
          <w:tcPr>
            <w:tcW w:w="600" w:type="dxa"/>
            <w:vAlign w:val="bottom"/>
          </w:tcPr>
          <w:p>
            <w:pPr>
              <w:spacing w:after="0"/>
              <w:rPr>
                <w:sz w:val="20"/>
                <w:szCs w:val="20"/>
                <w:color w:val="auto"/>
              </w:rPr>
            </w:pPr>
            <w:r>
              <w:rPr>
                <w:rFonts w:ascii="Arial" w:cs="Arial" w:eastAsia="Arial" w:hAnsi="Arial"/>
                <w:sz w:val="18"/>
                <w:szCs w:val="18"/>
                <w:color w:val="auto"/>
              </w:rPr>
              <w:t>10-K</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12/27/2017</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10.29</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3/9/2018</w:t>
            </w:r>
          </w:p>
        </w:tc>
        <w:tc>
          <w:tcPr>
            <w:tcW w:w="1120" w:type="dxa"/>
            <w:vAlign w:val="bottom"/>
          </w:tcPr>
          <w:p>
            <w:pPr>
              <w:jc w:val="right"/>
              <w:spacing w:after="0"/>
              <w:rPr>
                <w:sz w:val="20"/>
                <w:szCs w:val="20"/>
                <w:color w:val="auto"/>
              </w:rPr>
            </w:pPr>
            <w:r>
              <w:rPr>
                <w:rFonts w:ascii="Arial" w:cs="Arial" w:eastAsia="Arial" w:hAnsi="Arial"/>
                <w:sz w:val="20"/>
                <w:szCs w:val="20"/>
                <w:color w:val="auto"/>
              </w:rPr>
              <w:t>001-36556</w:t>
            </w:r>
          </w:p>
        </w:tc>
      </w:tr>
      <w:tr>
        <w:trPr>
          <w:trHeight w:val="486"/>
        </w:trPr>
        <w:tc>
          <w:tcPr>
            <w:tcW w:w="600" w:type="dxa"/>
            <w:vAlign w:val="bottom"/>
          </w:tcPr>
          <w:p>
            <w:pPr>
              <w:spacing w:after="0"/>
              <w:rPr>
                <w:sz w:val="20"/>
                <w:szCs w:val="20"/>
                <w:color w:val="auto"/>
              </w:rPr>
            </w:pPr>
            <w:r>
              <w:rPr>
                <w:rFonts w:ascii="Arial" w:cs="Arial" w:eastAsia="Arial" w:hAnsi="Arial"/>
                <w:sz w:val="18"/>
                <w:szCs w:val="18"/>
                <w:color w:val="auto"/>
              </w:rPr>
              <w:t>10-K</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12/27/2017</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10.30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3/9/2018</w:t>
            </w:r>
          </w:p>
        </w:tc>
        <w:tc>
          <w:tcPr>
            <w:tcW w:w="1120" w:type="dxa"/>
            <w:vAlign w:val="bottom"/>
          </w:tcPr>
          <w:p>
            <w:pPr>
              <w:jc w:val="right"/>
              <w:spacing w:after="0"/>
              <w:rPr>
                <w:sz w:val="20"/>
                <w:szCs w:val="20"/>
                <w:color w:val="auto"/>
              </w:rPr>
            </w:pPr>
            <w:r>
              <w:rPr>
                <w:rFonts w:ascii="Arial" w:cs="Arial" w:eastAsia="Arial" w:hAnsi="Arial"/>
                <w:sz w:val="20"/>
                <w:szCs w:val="20"/>
                <w:color w:val="auto"/>
              </w:rPr>
              <w:t>001-36556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S-8</w:t>
            </w:r>
          </w:p>
        </w:tc>
        <w:tc>
          <w:tcPr>
            <w:tcW w:w="1040" w:type="dxa"/>
            <w:vAlign w:val="bottom"/>
          </w:tcPr>
          <w:p>
            <w:pPr>
              <w:ind w:left="50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5/8/2018</w:t>
            </w:r>
          </w:p>
        </w:tc>
        <w:tc>
          <w:tcPr>
            <w:tcW w:w="1040" w:type="dxa"/>
            <w:vAlign w:val="bottom"/>
          </w:tcPr>
          <w:p>
            <w:pPr>
              <w:jc w:val="right"/>
              <w:spacing w:after="0"/>
              <w:rPr>
                <w:sz w:val="20"/>
                <w:szCs w:val="20"/>
                <w:color w:val="auto"/>
              </w:rPr>
            </w:pPr>
            <w:r>
              <w:rPr>
                <w:rFonts w:ascii="Arial" w:cs="Arial" w:eastAsia="Arial" w:hAnsi="Arial"/>
                <w:sz w:val="18"/>
                <w:szCs w:val="18"/>
                <w:color w:val="auto"/>
              </w:rPr>
              <w:t>333-224730</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S-8</w:t>
            </w:r>
          </w:p>
        </w:tc>
        <w:tc>
          <w:tcPr>
            <w:tcW w:w="1040" w:type="dxa"/>
            <w:vAlign w:val="bottom"/>
          </w:tcPr>
          <w:p>
            <w:pPr>
              <w:ind w:left="50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5/8/2018</w:t>
            </w:r>
          </w:p>
        </w:tc>
        <w:tc>
          <w:tcPr>
            <w:tcW w:w="1040" w:type="dxa"/>
            <w:vAlign w:val="bottom"/>
          </w:tcPr>
          <w:p>
            <w:pPr>
              <w:jc w:val="right"/>
              <w:spacing w:after="0"/>
              <w:rPr>
                <w:sz w:val="20"/>
                <w:szCs w:val="20"/>
                <w:color w:val="auto"/>
              </w:rPr>
            </w:pPr>
            <w:r>
              <w:rPr>
                <w:rFonts w:ascii="Arial" w:cs="Arial" w:eastAsia="Arial" w:hAnsi="Arial"/>
                <w:sz w:val="18"/>
                <w:szCs w:val="18"/>
                <w:color w:val="auto"/>
              </w:rPr>
              <w:t>333-224730</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S-8</w:t>
            </w:r>
          </w:p>
        </w:tc>
        <w:tc>
          <w:tcPr>
            <w:tcW w:w="1040" w:type="dxa"/>
            <w:vAlign w:val="bottom"/>
          </w:tcPr>
          <w:p>
            <w:pPr>
              <w:ind w:left="50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5/8/2018</w:t>
            </w:r>
          </w:p>
        </w:tc>
        <w:tc>
          <w:tcPr>
            <w:tcW w:w="1040" w:type="dxa"/>
            <w:vAlign w:val="bottom"/>
          </w:tcPr>
          <w:p>
            <w:pPr>
              <w:jc w:val="right"/>
              <w:spacing w:after="0"/>
              <w:rPr>
                <w:sz w:val="20"/>
                <w:szCs w:val="20"/>
                <w:color w:val="auto"/>
              </w:rPr>
            </w:pPr>
            <w:r>
              <w:rPr>
                <w:rFonts w:ascii="Arial" w:cs="Arial" w:eastAsia="Arial" w:hAnsi="Arial"/>
                <w:sz w:val="18"/>
                <w:szCs w:val="18"/>
                <w:color w:val="auto"/>
              </w:rPr>
              <w:t>333-224730</w:t>
            </w:r>
          </w:p>
        </w:tc>
      </w:tr>
      <w:tr>
        <w:trPr>
          <w:trHeight w:val="702"/>
        </w:trPr>
        <w:tc>
          <w:tcPr>
            <w:tcW w:w="720" w:type="dxa"/>
            <w:vAlign w:val="bottom"/>
          </w:tcPr>
          <w:p>
            <w:pPr>
              <w:spacing w:after="0"/>
              <w:rPr>
                <w:sz w:val="20"/>
                <w:szCs w:val="20"/>
                <w:color w:val="auto"/>
              </w:rPr>
            </w:pPr>
            <w:r>
              <w:rPr>
                <w:rFonts w:ascii="Arial" w:cs="Arial" w:eastAsia="Arial" w:hAnsi="Arial"/>
                <w:sz w:val="18"/>
                <w:szCs w:val="18"/>
                <w:color w:val="auto"/>
              </w:rPr>
              <w:t>S-8</w:t>
            </w:r>
          </w:p>
        </w:tc>
        <w:tc>
          <w:tcPr>
            <w:tcW w:w="1040" w:type="dxa"/>
            <w:vAlign w:val="bottom"/>
          </w:tcPr>
          <w:p>
            <w:pPr>
              <w:ind w:left="50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8/6/2018</w:t>
            </w:r>
          </w:p>
        </w:tc>
        <w:tc>
          <w:tcPr>
            <w:tcW w:w="1040" w:type="dxa"/>
            <w:vAlign w:val="bottom"/>
          </w:tcPr>
          <w:p>
            <w:pPr>
              <w:jc w:val="right"/>
              <w:spacing w:after="0"/>
              <w:rPr>
                <w:sz w:val="20"/>
                <w:szCs w:val="20"/>
                <w:color w:val="auto"/>
              </w:rPr>
            </w:pPr>
            <w:r>
              <w:rPr>
                <w:rFonts w:ascii="Arial" w:cs="Arial" w:eastAsia="Arial" w:hAnsi="Arial"/>
                <w:sz w:val="18"/>
                <w:szCs w:val="18"/>
                <w:color w:val="auto"/>
              </w:rPr>
              <w:t>333-226621</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S-1</w:t>
            </w:r>
          </w:p>
        </w:tc>
        <w:tc>
          <w:tcPr>
            <w:tcW w:w="1040" w:type="dxa"/>
            <w:vAlign w:val="bottom"/>
          </w:tcPr>
          <w:p>
            <w:pPr>
              <w:ind w:left="500"/>
              <w:spacing w:after="0"/>
              <w:rPr>
                <w:sz w:val="20"/>
                <w:szCs w:val="20"/>
                <w:color w:val="auto"/>
              </w:rPr>
            </w:pPr>
            <w:r>
              <w:rPr>
                <w:rFonts w:ascii="Arial" w:cs="Arial" w:eastAsia="Arial" w:hAnsi="Arial"/>
                <w:sz w:val="18"/>
                <w:szCs w:val="18"/>
                <w:color w:val="auto"/>
              </w:rPr>
              <w:t>N/A</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21.1</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6/24/2014</w:t>
            </w:r>
          </w:p>
        </w:tc>
        <w:tc>
          <w:tcPr>
            <w:tcW w:w="1040" w:type="dxa"/>
            <w:vAlign w:val="bottom"/>
          </w:tcPr>
          <w:p>
            <w:pPr>
              <w:jc w:val="right"/>
              <w:spacing w:after="0"/>
              <w:rPr>
                <w:sz w:val="20"/>
                <w:szCs w:val="20"/>
                <w:color w:val="auto"/>
              </w:rPr>
            </w:pPr>
            <w:r>
              <w:rPr>
                <w:rFonts w:ascii="Arial" w:cs="Arial" w:eastAsia="Arial" w:hAnsi="Arial"/>
                <w:sz w:val="18"/>
                <w:szCs w:val="18"/>
                <w:color w:val="auto"/>
              </w:rPr>
              <w:t>333-197001</w:t>
            </w:r>
          </w:p>
        </w:tc>
      </w:tr>
    </w:tbl>
    <w:p>
      <w:pPr>
        <w:sectPr>
          <w:pgSz w:w="11900" w:h="16838" w:orient="portrait"/>
          <w:cols w:equalWidth="0" w:num="2">
            <w:col w:w="5240" w:space="240"/>
            <w:col w:w="5160"/>
          </w:cols>
          <w:pgMar w:left="800" w:top="729" w:right="459" w:bottom="1440" w:gutter="0" w:footer="0" w:header="0"/>
        </w:sectPr>
      </w:pPr>
    </w:p>
    <w:bookmarkStart w:id="100" w:name="page101"/>
    <w:bookmarkEnd w:id="100"/>
    <w:p>
      <w:pPr>
        <w:ind w:left="1060" w:hanging="67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a management contract or a compensatory plan or arrangement.</w:t>
      </w:r>
    </w:p>
    <w:p>
      <w:pPr>
        <w:spacing w:after="0" w:line="63" w:lineRule="exact"/>
        <w:rPr>
          <w:sz w:val="20"/>
          <w:szCs w:val="20"/>
          <w:color w:val="auto"/>
        </w:rPr>
      </w:pPr>
    </w:p>
    <w:p>
      <w:pPr>
        <w:ind w:left="1060" w:hanging="674"/>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Furnished herewith. 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00"/>
          </w:cols>
          <w:pgMar w:left="240" w:top="746" w:right="35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EL POLLO LOCO HOLDINGS, INC.</w:t>
      </w:r>
    </w:p>
    <w:p>
      <w:pPr>
        <w:spacing w:after="0" w:line="360"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Bernard Acoca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Date:</w:t>
        <w:tab/>
        <w:t>March 8, 2019</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 AND POWER OF ATTORNEY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undersigned, hereby severally constitute Bernard Acoca and Laurance Roberts, and each of them singly, our true and lawful attorneys with full power to them and each of them to sign for us, and in our names in the capacities indicated below, any and all amendments to this report, and file the same, with all exhibits thereto, and other documents in connection therewith, hereby ratifying and confirming all that said attorney may lawfully do or cause to be done by virtue hereof.</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72" w:right="279" w:bottom="1440" w:gutter="0" w:footer="0" w:header="0"/>
        </w:sectPr>
      </w:pPr>
    </w:p>
    <w:bookmarkStart w:id="102" w:name="page103"/>
    <w:bookmarkEnd w:id="102"/>
    <w:p>
      <w:pPr>
        <w:spacing w:after="0"/>
        <w:tabs>
          <w:tab w:leader="none" w:pos="6560" w:val="left"/>
          <w:tab w:leader="none" w:pos="103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0760"/>
          </w:cols>
          <w:pgMar w:left="280" w:top="630" w:right="859" w:bottom="1440"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Bernard Acoca</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39370</wp:posOffset>
            </wp:positionV>
            <wp:extent cx="23926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Laurance Roberts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/s/ Michael G. Maselli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23926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Michael G. Maselli</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Dean C. Kehler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Dean C. Kehler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John M.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John M. Roth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Douglas J. Babb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Douglas J. Babb</w:t>
      </w: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/s/ Samuel N. Borgese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53975</wp:posOffset>
            </wp:positionV>
            <wp:extent cx="23926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Samuel N. Borgese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Mark Buller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Mark Buller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William 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William R. Floyd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Carol Lynton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3926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Carol Lynton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Director, President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Chairman and 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8, 2019</w:t>
      </w:r>
    </w:p>
    <w:p>
      <w:pPr>
        <w:sectPr>
          <w:pgSz w:w="11900" w:h="16838" w:orient="portrait"/>
          <w:cols w:equalWidth="0" w:num="3">
            <w:col w:w="3160" w:space="720"/>
            <w:col w:w="5500" w:space="320"/>
            <w:col w:w="1060"/>
          </w:cols>
          <w:pgMar w:left="280" w:top="630" w:right="85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 Pollo Loco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333-197698) of El Pollo Loco Holdings, Inc. of our report dated March 8, 2019, relating to the consolidated financial statements, which appears in this Form 10-K. Our report contains an explanatory paragraph regarding change in accounting policy related to revenue recognition.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2019</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25"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4"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500" w:firstLine="8"/>
        <w:spacing w:after="0" w:line="264"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2019</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8"/>
        <w:spacing w:after="0" w:line="264"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500" w:firstLine="8"/>
        <w:spacing w:after="0" w:line="264"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2019</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2019</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upperLetter"/>
      <w:start w:val="1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lowerRoman"/>
      <w:start w:val="3"/>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3"/>
    </w:lvl>
  </w:abstractNum>
  <w:abstractNum w:abstractNumId="23">
    <w:nsid w:val="3804823E"/>
    <w:multiLevelType w:val="hybridMultilevel"/>
    <w:lvl w:ilvl="0">
      <w:lvlJc w:val="left"/>
      <w:lvlText w:val="(%1)"/>
      <w:numFmt w:val="lowerLetter"/>
      <w:start w:val="11"/>
    </w:lvl>
  </w:abstractNum>
  <w:abstractNum w:abstractNumId="24">
    <w:nsid w:val="77465F01"/>
    <w:multiLevelType w:val="hybridMultilevel"/>
    <w:lvl w:ilvl="0">
      <w:lvlJc w:val="left"/>
      <w:lvlText w:val="%1."/>
      <w:numFmt w:val="decimal"/>
      <w:start w:val="2"/>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lowerRoman"/>
      <w:start w:val="3"/>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Roman"/>
      <w:start w:val="1"/>
    </w:lvl>
  </w:abstractNum>
  <w:abstractNum w:abstractNumId="32">
    <w:nsid w:val="153EA438"/>
    <w:multiLevelType w:val="hybridMultilevel"/>
    <w:lvl w:ilvl="0">
      <w:lvlJc w:val="left"/>
      <w:lvlText w:val="(%1)"/>
      <w:numFmt w:val="decimal"/>
      <w:start w:val="2"/>
    </w:lvl>
  </w:abstractNum>
  <w:abstractNum w:abstractNumId="33">
    <w:nsid w:val="3855585C"/>
    <w:multiLevelType w:val="hybridMultilevel"/>
    <w:lvl w:ilvl="0">
      <w:lvlJc w:val="left"/>
      <w:lvlText w:val="%1."/>
      <w:numFmt w:val="decimal"/>
      <w:start w:val="15"/>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lvl w:ilvl="1">
      <w:lvlJc w:val="left"/>
      <w:lvlText w:val="•"/>
      <w:numFmt w:val="bullet"/>
      <w:start w:val="1"/>
    </w:lvl>
  </w:abstractNum>
  <w:abstractNum w:abstractNumId="37">
    <w:nsid w:val="1D4ED43B"/>
    <w:multiLevelType w:val="hybridMultilevel"/>
    <w:lvl w:ilvl="0">
      <w:lvlJc w:val="left"/>
      <w:lvlText w:val="(%1)"/>
      <w:numFmt w:val="lowerRoman"/>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5"/>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5"/>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51" Type="http://schemas.openxmlformats.org/officeDocument/2006/relationships/hyperlink" Target="http://www.sec.gov/Archives/edgar/data/1606366/000119312514332367/d779664dex31.htm" TargetMode="External"/><Relationship Id="rId52" Type="http://schemas.openxmlformats.org/officeDocument/2006/relationships/hyperlink" Target="http://www.sec.gov/Archives/edgar/data/1606366/000119312514332367/d779664dex32.htm" TargetMode="External"/><Relationship Id="rId53" Type="http://schemas.openxmlformats.org/officeDocument/2006/relationships/hyperlink" Target="http://www.sec.gov/Archives/edgar/data/1606366/000119312514403640/d809146dex101.htm" TargetMode="External"/><Relationship Id="rId54" Type="http://schemas.openxmlformats.org/officeDocument/2006/relationships/hyperlink" Target="http://www.sec.gov/Archives/edgar/data/1606366/000119312514317829/d778193dex101.htm" TargetMode="External"/><Relationship Id="rId55" Type="http://schemas.openxmlformats.org/officeDocument/2006/relationships/hyperlink" Target="http://www.sec.gov/Archives/edgar/data/1606366/000119312514317829/d778193dex102.htm" TargetMode="External"/><Relationship Id="rId56" Type="http://schemas.openxmlformats.org/officeDocument/2006/relationships/hyperlink" Target="http://www.sec.gov/Archives/edgar/data/1606366/000119312514267807/d714963dex1014.htm" TargetMode="External"/><Relationship Id="rId57" Type="http://schemas.openxmlformats.org/officeDocument/2006/relationships/hyperlink" Target="http://www.sec.gov/Archives/edgar/data/1606366/000119312514247412/d714963dex103.htm" TargetMode="External"/><Relationship Id="rId58" Type="http://schemas.openxmlformats.org/officeDocument/2006/relationships/hyperlink" Target="http://www.sec.gov/Archives/edgar/data/1606366/000119312514247412/d714963dex104.htm" TargetMode="External"/><Relationship Id="rId59" Type="http://schemas.openxmlformats.org/officeDocument/2006/relationships/hyperlink" Target="http://www.sec.gov/Archives/edgar/data/1606366/000119312514247412/d714963dex105.htm" TargetMode="External"/><Relationship Id="rId60" Type="http://schemas.openxmlformats.org/officeDocument/2006/relationships/hyperlink" Target="http://www.sec.gov/Archives/edgar/data/1606366/000119312514247412/d714963dex106.htm" TargetMode="External"/><Relationship Id="rId61" Type="http://schemas.openxmlformats.org/officeDocument/2006/relationships/hyperlink" Target="http://www.sec.gov/Archives/edgar/data/1606366/000119312514247412/d714963dex107.htm" TargetMode="External"/><Relationship Id="rId62" Type="http://schemas.openxmlformats.org/officeDocument/2006/relationships/hyperlink" Target="http://www.sec.gov/Archives/edgar/data/1606366/000119312514247412/d714963dex108.htm" TargetMode="External"/><Relationship Id="rId63" Type="http://schemas.openxmlformats.org/officeDocument/2006/relationships/hyperlink" Target="http://www.sec.gov/Archives/edgar/data/1606366/000119312514247412/d714963dex109.htm" TargetMode="External"/><Relationship Id="rId64" Type="http://schemas.openxmlformats.org/officeDocument/2006/relationships/hyperlink" Target="http://www.sec.gov/Archives/edgar/data/1606366/000119312514247412/d714963dex1012.htm" TargetMode="External"/><Relationship Id="rId65" Type="http://schemas.openxmlformats.org/officeDocument/2006/relationships/hyperlink" Target="http://www.sec.gov/Archives/edgar/data/1606366/000119312514247412/d714963dex1013.htm" TargetMode="External"/><Relationship Id="rId66" Type="http://schemas.openxmlformats.org/officeDocument/2006/relationships/hyperlink" Target="http://www.sec.gov/Archives/edgar/data/1606366/000119312514247412/d714963dex1015.htm" TargetMode="External"/><Relationship Id="rId67" Type="http://schemas.openxmlformats.org/officeDocument/2006/relationships/hyperlink" Target="http://www.sec.gov/Archives/edgar/data/1606366/000119312514247412/d714963dex1018.htm" TargetMode="External"/><Relationship Id="rId68" Type="http://schemas.openxmlformats.org/officeDocument/2006/relationships/hyperlink" Target="http://www.sec.gov/Archives/edgar/data/1606366/000119312514275282/d714963dex1022.htm" TargetMode="External"/><Relationship Id="rId69" Type="http://schemas.openxmlformats.org/officeDocument/2006/relationships/hyperlink" Target="http://www.sec.gov/Archives/edgar/data/1606366/000119312514247412/d714963dex1019.htm" TargetMode="External"/><Relationship Id="rId70" Type="http://schemas.openxmlformats.org/officeDocument/2006/relationships/hyperlink" Target="http://www.sec.gov/Archives/edgar/data/1606366/000119312514247412/d714963dex1020.htm" TargetMode="External"/><Relationship Id="rId71" Type="http://schemas.openxmlformats.org/officeDocument/2006/relationships/hyperlink" Target="http://www.sec.gov/Archives/edgar/data/1606366/000119312514275282/d714963dex1025.htm" TargetMode="External"/><Relationship Id="rId72" Type="http://schemas.openxmlformats.org/officeDocument/2006/relationships/hyperlink" Target="http://www.sec.gov/Archives/edgar/data/1606366/000119312514275282/d714963dex1026.htm" TargetMode="External"/><Relationship Id="rId73" Type="http://schemas.openxmlformats.org/officeDocument/2006/relationships/hyperlink" Target="http://www.sec.gov/Archives/edgar/data/1606366/000119312514275282/d714963dex1027.htm" TargetMode="External"/><Relationship Id="rId74" Type="http://schemas.openxmlformats.org/officeDocument/2006/relationships/hyperlink" Target="http://www.sec.gov/Archives/edgar/data/1606366/000119312514443996/d838272dex101.htm" TargetMode="External"/><Relationship Id="rId75" Type="http://schemas.openxmlformats.org/officeDocument/2006/relationships/hyperlink" Target="http://www.sec.gov/Archives/edgar/data/1606366/000156459016022809/loco-ex1027_237.htm" TargetMode="External"/><Relationship Id="rId76" Type="http://schemas.openxmlformats.org/officeDocument/2006/relationships/hyperlink" Target="http://www.sec.gov/Archives/edgar/data/1606366/000156459016027675/loco-ex1028_191.htm" TargetMode="External"/><Relationship Id="rId77" Type="http://schemas.openxmlformats.org/officeDocument/2006/relationships/hyperlink" Target="http://www.sec.gov/Archives/edgar/data/1606366/000160636618000006/exhibit1029employmentagree.htm" TargetMode="External"/><Relationship Id="rId78" Type="http://schemas.openxmlformats.org/officeDocument/2006/relationships/hyperlink" Target="http://www.sec.gov/Archives/edgar/data/1606366/000160636618000006/exhibit1030retirementagree.htm" TargetMode="External"/><Relationship Id="rId79" Type="http://schemas.openxmlformats.org/officeDocument/2006/relationships/hyperlink" Target="http://www.sec.gov/Archives/edgar/data/1606366/000160636618000017/exhibit43epl_inducementxop.htm" TargetMode="External"/><Relationship Id="rId80" Type="http://schemas.openxmlformats.org/officeDocument/2006/relationships/hyperlink" Target="http://www.sec.gov/Archives/edgar/data/1606366/000160636618000017/exhibit44eplinducementrsu.htm" TargetMode="External"/><Relationship Id="rId81" Type="http://schemas.openxmlformats.org/officeDocument/2006/relationships/hyperlink" Target="http://www.sec.gov/Archives/edgar/data/1606366/000160636618000017/exhibit45epl_inducementxpsu.htm" TargetMode="External"/><Relationship Id="rId82" Type="http://schemas.openxmlformats.org/officeDocument/2006/relationships/hyperlink" Target="http://www.sec.gov/Archives/edgar/data/1606366/000119312518239777/d521839dex43.htm" TargetMode="External"/><Relationship Id="rId83" Type="http://schemas.openxmlformats.org/officeDocument/2006/relationships/hyperlink" Target="http://www.sec.gov/Archives/edgar/data/1606366/000119312514247412/d71496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2019-12-28T15:01:08Z</dcterms:created>
  <dcterms:modified xsi:type="dcterms:W3CDTF">2019-12-28T15:01:08Z</dcterms:modified>
</cp:coreProperties>
</file>