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612140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629285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219075</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247015</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2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25, 2019</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2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240665</wp:posOffset>
            </wp:positionV>
            <wp:extent cx="1551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6760" w:type="dxa"/>
            <w:vAlign w:val="bottom"/>
          </w:tcPr>
          <w:p>
            <w:pPr>
              <w:jc w:val="center"/>
              <w:ind w:right="259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218"/>
        </w:trPr>
        <w:tc>
          <w:tcPr>
            <w:tcW w:w="6760" w:type="dxa"/>
            <w:vAlign w:val="bottom"/>
          </w:tcPr>
          <w:p>
            <w:pPr>
              <w:jc w:val="center"/>
              <w:ind w:right="259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0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0"/>
        </w:trPr>
        <w:tc>
          <w:tcPr>
            <w:tcW w:w="6760" w:type="dxa"/>
            <w:vAlign w:val="bottom"/>
          </w:tcPr>
          <w:p>
            <w:pPr>
              <w:jc w:val="center"/>
              <w:ind w:right="2579"/>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300" w:type="dxa"/>
            <w:vAlign w:val="bottom"/>
          </w:tcPr>
          <w:p>
            <w:pPr>
              <w:jc w:val="right"/>
              <w:ind w:right="779"/>
              <w:spacing w:after="0"/>
              <w:rPr>
                <w:sz w:val="20"/>
                <w:szCs w:val="20"/>
                <w:color w:val="auto"/>
              </w:rPr>
            </w:pPr>
            <w:r>
              <w:rPr>
                <w:rFonts w:ascii="Arial" w:cs="Arial" w:eastAsia="Arial" w:hAnsi="Arial"/>
                <w:sz w:val="18"/>
                <w:szCs w:val="18"/>
                <w:b w:val="1"/>
                <w:bCs w:val="1"/>
                <w:color w:val="auto"/>
              </w:rPr>
              <w:t>92626</w:t>
            </w:r>
          </w:p>
        </w:tc>
      </w:tr>
      <w:tr>
        <w:trPr>
          <w:trHeight w:val="218"/>
        </w:trPr>
        <w:tc>
          <w:tcPr>
            <w:tcW w:w="6760" w:type="dxa"/>
            <w:vAlign w:val="bottom"/>
          </w:tcPr>
          <w:p>
            <w:pPr>
              <w:jc w:val="center"/>
              <w:ind w:right="2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760" w:type="dxa"/>
            <w:vAlign w:val="bottom"/>
          </w:tcPr>
          <w:p>
            <w:pPr>
              <w:jc w:val="right"/>
              <w:ind w:right="1099"/>
              <w:spacing w:after="0"/>
              <w:rPr>
                <w:sz w:val="20"/>
                <w:szCs w:val="20"/>
                <w:color w:val="auto"/>
              </w:rPr>
            </w:pPr>
            <w:r>
              <w:rPr>
                <w:rFonts w:ascii="Arial" w:cs="Arial" w:eastAsia="Arial" w:hAnsi="Arial"/>
                <w:sz w:val="18"/>
                <w:szCs w:val="18"/>
                <w:b w:val="1"/>
                <w:bCs w:val="1"/>
                <w:color w:val="auto"/>
              </w:rPr>
              <w:t>(714) 599-5000</w:t>
            </w:r>
          </w:p>
        </w:tc>
        <w:tc>
          <w:tcPr>
            <w:tcW w:w="2300" w:type="dxa"/>
            <w:vAlign w:val="bottom"/>
          </w:tcPr>
          <w:p>
            <w:pPr>
              <w:spacing w:after="0"/>
              <w:rPr>
                <w:sz w:val="24"/>
                <w:szCs w:val="24"/>
                <w:color w:val="auto"/>
              </w:rPr>
            </w:pPr>
          </w:p>
        </w:tc>
      </w:tr>
      <w:tr>
        <w:trPr>
          <w:trHeight w:val="186"/>
        </w:trPr>
        <w:tc>
          <w:tcPr>
            <w:tcW w:w="6760" w:type="dxa"/>
            <w:vAlign w:val="bottom"/>
          </w:tcPr>
          <w:p>
            <w:pPr>
              <w:jc w:val="center"/>
              <w:ind w:left="31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00" w:type="dxa"/>
            <w:vAlign w:val="bottom"/>
          </w:tcPr>
          <w:p>
            <w:pPr>
              <w:spacing w:after="0"/>
              <w:rPr>
                <w:sz w:val="16"/>
                <w:szCs w:val="16"/>
                <w:color w:val="auto"/>
              </w:rPr>
            </w:pPr>
          </w:p>
        </w:tc>
      </w:tr>
    </w:tbl>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7"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LOCO</w:t>
            </w: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222885</wp:posOffset>
            </wp:positionV>
            <wp:extent cx="1551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26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right="60" w:firstLine="50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files).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08" w:lineRule="exact"/>
        <w:rPr>
          <w:sz w:val="24"/>
          <w:szCs w:val="24"/>
          <w:color w:val="auto"/>
        </w:rPr>
      </w:pPr>
    </w:p>
    <w:p>
      <w:pPr>
        <w:jc w:val="both"/>
        <w:ind w:right="60"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1044" w:right="21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46"/>
        </w:trPr>
        <w:tc>
          <w:tcPr>
            <w:tcW w:w="18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vMerge w:val="restart"/>
          </w:tcPr>
          <w:p>
            <w:pPr>
              <w:ind w:left="29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3400" w:type="dxa"/>
            <w:vAlign w:val="bottom"/>
            <w:vMerge w:val="continue"/>
          </w:tcPr>
          <w:p>
            <w:pPr>
              <w:spacing w:after="0"/>
              <w:rPr>
                <w:sz w:val="18"/>
                <w:szCs w:val="18"/>
                <w:color w:val="auto"/>
              </w:rPr>
            </w:pPr>
          </w:p>
        </w:tc>
        <w:tc>
          <w:tcPr>
            <w:tcW w:w="52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4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firstLine="500"/>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500" w:right="12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October 25, 2019, there were 34,882,844 shares of the issuer’s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180340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240"/>
          </w:cols>
          <w:pgMar w:left="240" w:top="714"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9"/>
              </w:rPr>
              <w:t>Table of Contents</w:t>
            </w:r>
          </w:p>
        </w:tc>
        <w:tc>
          <w:tcPr>
            <w:tcW w:w="7900" w:type="dxa"/>
            <w:vAlign w:val="bottom"/>
            <w:gridSpan w:val="16"/>
          </w:tcPr>
          <w:p>
            <w:pPr>
              <w:spacing w:after="0"/>
              <w:rPr>
                <w:sz w:val="14"/>
                <w:szCs w:val="14"/>
                <w:color w:val="auto"/>
              </w:rPr>
            </w:pPr>
          </w:p>
        </w:tc>
        <w:tc>
          <w:tcPr>
            <w:tcW w:w="23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Page</w:t>
            </w:r>
          </w:p>
        </w:tc>
      </w:tr>
      <w:tr>
        <w:trPr>
          <w:trHeight w:val="20"/>
        </w:trPr>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9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2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50"/>
        </w:trPr>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3"/>
          </w:tcPr>
          <w:p>
            <w:pPr>
              <w:spacing w:after="0"/>
              <w:rPr>
                <w:sz w:val="21"/>
                <w:szCs w:val="21"/>
                <w:color w:val="auto"/>
              </w:rPr>
            </w:pPr>
          </w:p>
        </w:tc>
        <w:tc>
          <w:tcPr>
            <w:tcW w:w="6020" w:type="dxa"/>
            <w:vAlign w:val="bottom"/>
            <w:gridSpan w:val="9"/>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9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3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(Unaudited)</w:t>
              </w:r>
            </w:hyperlink>
          </w:p>
        </w:tc>
        <w:tc>
          <w:tcPr>
            <w:tcW w:w="4660" w:type="dxa"/>
            <w:vAlign w:val="bottom"/>
            <w:gridSpan w:val="7"/>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55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(Unaudited)</w:t>
              </w:r>
            </w:hyperlink>
          </w:p>
        </w:tc>
        <w:tc>
          <w:tcPr>
            <w:tcW w:w="3480" w:type="dxa"/>
            <w:vAlign w:val="bottom"/>
            <w:gridSpan w:val="3"/>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89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Changes in Stockholders' Equity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120" w:type="dxa"/>
            <w:vAlign w:val="bottom"/>
            <w:gridSpan w:val="1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(Unaudited)</w:t>
              </w:r>
            </w:hyperlink>
          </w:p>
        </w:tc>
        <w:tc>
          <w:tcPr>
            <w:tcW w:w="2860" w:type="dxa"/>
            <w:vAlign w:val="bottom"/>
            <w:gridSpan w:val="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8980" w:type="dxa"/>
            <w:vAlign w:val="bottom"/>
            <w:gridSpan w:val="1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Condensed Consolidated Financial Statements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7060" w:type="dxa"/>
            <w:vAlign w:val="bottom"/>
            <w:gridSpan w:val="17"/>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2. Management’s Discussion and Analysis of Financial Condition and Results of Operations.</w:t>
              </w:r>
            </w:hyperlink>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4"/>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Item 3. Quantitative and Qualitative Disclosures About Market Risk.</w:t>
              </w:r>
            </w:hyperlink>
          </w:p>
        </w:tc>
        <w:tc>
          <w:tcPr>
            <w:tcW w:w="2120" w:type="dxa"/>
            <w:vAlign w:val="bottom"/>
            <w:gridSpan w:val="3"/>
          </w:tcPr>
          <w:p>
            <w:pPr>
              <w:spacing w:after="0"/>
              <w:rPr>
                <w:sz w:val="21"/>
                <w:szCs w:val="21"/>
                <w:color w:val="auto"/>
              </w:rPr>
            </w:pPr>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4040" w:type="dxa"/>
            <w:vAlign w:val="bottom"/>
            <w:tcBorders>
              <w:left w:val="single" w:sz="8" w:color="0000EE"/>
            </w:tcBorders>
            <w:gridSpan w:val="4"/>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Item 4. Controls and Procedures.</w:t>
              </w:r>
            </w:hyperlink>
          </w:p>
        </w:tc>
        <w:tc>
          <w:tcPr>
            <w:tcW w:w="2580" w:type="dxa"/>
            <w:vAlign w:val="bottom"/>
            <w:gridSpan w:val="7"/>
          </w:tcPr>
          <w:p>
            <w:pPr>
              <w:spacing w:after="0"/>
              <w:rPr>
                <w:sz w:val="21"/>
                <w:szCs w:val="21"/>
                <w:color w:val="auto"/>
              </w:rPr>
            </w:pPr>
          </w:p>
        </w:tc>
        <w:tc>
          <w:tcPr>
            <w:tcW w:w="4040" w:type="dxa"/>
            <w:vAlign w:val="bottom"/>
            <w:gridSpan w:val="4"/>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PART II—OTHER INFORMATION</w:t>
              </w:r>
            </w:hyperlink>
          </w:p>
        </w:tc>
        <w:tc>
          <w:tcPr>
            <w:tcW w:w="6320" w:type="dxa"/>
            <w:vAlign w:val="bottom"/>
            <w:gridSpan w:val="10"/>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 Legal Proceedings.</w:t>
              </w:r>
            </w:hyperlink>
          </w:p>
        </w:tc>
        <w:tc>
          <w:tcPr>
            <w:tcW w:w="6320" w:type="dxa"/>
            <w:vAlign w:val="bottom"/>
            <w:gridSpan w:val="10"/>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640" w:type="dxa"/>
            <w:vAlign w:val="bottom"/>
            <w:gridSpan w:val="4"/>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Item 1A. Risk Factors.</w:t>
              </w:r>
            </w:hyperlink>
          </w:p>
        </w:tc>
        <w:tc>
          <w:tcPr>
            <w:tcW w:w="260" w:type="dxa"/>
            <w:vAlign w:val="bottom"/>
          </w:tcPr>
          <w:p>
            <w:pPr>
              <w:spacing w:after="0"/>
              <w:rPr>
                <w:sz w:val="21"/>
                <w:szCs w:val="21"/>
                <w:color w:val="auto"/>
              </w:rPr>
            </w:pPr>
          </w:p>
        </w:tc>
        <w:tc>
          <w:tcPr>
            <w:tcW w:w="7080" w:type="dxa"/>
            <w:vAlign w:val="bottom"/>
            <w:gridSpan w:val="13"/>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898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2. Unregistered Sales of Equity Securities and Use of Proceeds.</w:t>
              </w:r>
            </w:hyperlink>
          </w:p>
        </w:tc>
        <w:tc>
          <w:tcPr>
            <w:tcW w:w="23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3. Defaults of Senior Securities.</w:t>
              </w:r>
            </w:hyperlink>
          </w:p>
        </w:tc>
        <w:tc>
          <w:tcPr>
            <w:tcW w:w="4040" w:type="dxa"/>
            <w:vAlign w:val="bottom"/>
            <w:gridSpan w:val="4"/>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320" w:type="dxa"/>
            <w:vAlign w:val="bottom"/>
            <w:gridSpan w:val="10"/>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4. Mine Safety Disclosures.</w:t>
              </w:r>
            </w:hyperlink>
          </w:p>
        </w:tc>
        <w:tc>
          <w:tcPr>
            <w:tcW w:w="6320" w:type="dxa"/>
            <w:vAlign w:val="bottom"/>
            <w:gridSpan w:val="10"/>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620" w:type="dxa"/>
            <w:vAlign w:val="bottom"/>
            <w:gridSpan w:val="11"/>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5. Other Information.</w:t>
              </w:r>
            </w:hyperlink>
          </w:p>
        </w:tc>
        <w:tc>
          <w:tcPr>
            <w:tcW w:w="6620" w:type="dxa"/>
            <w:vAlign w:val="bottom"/>
            <w:gridSpan w:val="11"/>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200" w:type="dxa"/>
            <w:vAlign w:val="bottom"/>
            <w:gridSpan w:val="3"/>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Item 6. Exhibits.</w:t>
              </w:r>
            </w:hyperlink>
          </w:p>
        </w:tc>
        <w:tc>
          <w:tcPr>
            <w:tcW w:w="700" w:type="dxa"/>
            <w:vAlign w:val="bottom"/>
            <w:gridSpan w:val="2"/>
          </w:tcPr>
          <w:p>
            <w:pPr>
              <w:spacing w:after="0"/>
              <w:rPr>
                <w:sz w:val="21"/>
                <w:szCs w:val="21"/>
                <w:color w:val="auto"/>
              </w:rPr>
            </w:pPr>
          </w:p>
        </w:tc>
        <w:tc>
          <w:tcPr>
            <w:tcW w:w="7080" w:type="dxa"/>
            <w:vAlign w:val="bottom"/>
            <w:gridSpan w:val="13"/>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780" w:type="dxa"/>
            <w:vAlign w:val="bottom"/>
            <w:gridSpan w:val="15"/>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Signatures</w:t>
              </w:r>
            </w:hyperlink>
          </w:p>
        </w:tc>
        <w:tc>
          <w:tcPr>
            <w:tcW w:w="440" w:type="dxa"/>
            <w:vAlign w:val="bottom"/>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723"/>
        </w:trPr>
        <w:tc>
          <w:tcPr>
            <w:tcW w:w="760" w:type="dxa"/>
            <w:vAlign w:val="bottom"/>
            <w:tcBorders>
              <w:top w:val="single" w:sz="8" w:color="0000EE"/>
            </w:tcBorders>
          </w:tcPr>
          <w:p>
            <w:pPr>
              <w:spacing w:after="0"/>
              <w:rPr>
                <w:sz w:val="24"/>
                <w:szCs w:val="24"/>
                <w:color w:val="auto"/>
              </w:rPr>
            </w:pPr>
          </w:p>
        </w:tc>
        <w:tc>
          <w:tcPr>
            <w:tcW w:w="5360" w:type="dxa"/>
            <w:vAlign w:val="bottom"/>
            <w:gridSpan w:val="15"/>
          </w:tcPr>
          <w:p>
            <w:pPr>
              <w:jc w:val="right"/>
              <w:ind w:right="400"/>
              <w:spacing w:after="0"/>
              <w:rPr>
                <w:sz w:val="20"/>
                <w:szCs w:val="20"/>
                <w:color w:val="auto"/>
              </w:rPr>
            </w:pPr>
            <w:r>
              <w:rPr>
                <w:rFonts w:ascii="Arial" w:cs="Arial" w:eastAsia="Arial" w:hAnsi="Arial"/>
                <w:sz w:val="18"/>
                <w:szCs w:val="18"/>
                <w:color w:val="auto"/>
              </w:rPr>
              <w:t>3</w:t>
            </w: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735" w:right="259" w:bottom="1440" w:gutter="0" w:footer="0" w:header="0"/>
        </w:sectPr>
      </w:pPr>
    </w:p>
    <w:bookmarkStart w:id="3" w:name="page4"/>
    <w:bookmarkEnd w:id="3"/>
    <w:p>
      <w:pPr>
        <w:jc w:val="right"/>
        <w:ind w:right="291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580" w:right="1440"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2019</w:t>
            </w:r>
          </w:p>
        </w:tc>
        <w:tc>
          <w:tcPr>
            <w:tcW w:w="140" w:type="dxa"/>
            <w:vAlign w:val="bottom"/>
          </w:tcPr>
          <w:p>
            <w:pPr>
              <w:spacing w:after="0"/>
              <w:rPr>
                <w:sz w:val="16"/>
                <w:szCs w:val="16"/>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b w:val="1"/>
                <w:bCs w:val="1"/>
                <w:color w:val="auto"/>
                <w:w w:val="91"/>
              </w:rPr>
              <w:t>December 26, 2018</w:t>
            </w: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Accounts and other receivables, net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9,599</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2,998</w:t>
            </w:r>
          </w:p>
        </w:tc>
      </w:tr>
      <w:tr>
        <w:trPr>
          <w:trHeight w:val="27"/>
        </w:trPr>
        <w:tc>
          <w:tcPr>
            <w:tcW w:w="8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Property and equipment owned, net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104,145</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held under finance leases, net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Property held under operating leases, net ("ROU Asset")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198,659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248,674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61,888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61,888</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11,709</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r>
      <w:tr>
        <w:trPr>
          <w:trHeight w:val="297"/>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635,428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450,226</w:t>
            </w:r>
          </w:p>
        </w:tc>
      </w:tr>
      <w:tr>
        <w:trPr>
          <w:trHeight w:val="23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obligations under finance leases</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Current portion of obligations under operating leases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Accrued salaries and vacation</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7,574</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Accrued income taxes payable</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Current portion of income tax receivable agreement payable</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6,637</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51,764</w:t>
            </w: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82,903</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 loan</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74,000</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Obligations under finance leases, net of current portion</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operating leases, net of current portion</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liabilities, net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Income tax receivable agreement payable, net of current portion</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7,305</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20,024</w:t>
            </w: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395,414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184,990</w:t>
            </w:r>
          </w:p>
        </w:tc>
      </w:tr>
      <w:tr>
        <w:trPr>
          <w:trHeight w:val="27"/>
        </w:trPr>
        <w:tc>
          <w:tcPr>
            <w:tcW w:w="8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value, 100,000,000 shares authorized; none issued or</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tcPr>
          <w:p>
            <w:pPr>
              <w:ind w:left="40"/>
              <w:spacing w:after="0"/>
              <w:rPr>
                <w:sz w:val="20"/>
                <w:szCs w:val="20"/>
                <w:color w:val="auto"/>
              </w:rPr>
            </w:pPr>
            <w:r>
              <w:rPr>
                <w:rFonts w:ascii="Arial" w:cs="Arial" w:eastAsia="Arial" w:hAnsi="Arial"/>
                <w:sz w:val="18"/>
                <w:szCs w:val="18"/>
                <w:color w:val="auto"/>
              </w:rPr>
              <w:t>Common stock, $0.01 par value—200,000,000 shares authorized; 34,893,716</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and 39,004,451 shares issued and outstanding</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375,734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(110,888)</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240,014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265,236</w:t>
            </w:r>
          </w:p>
        </w:tc>
      </w:tr>
      <w:tr>
        <w:trPr>
          <w:trHeight w:val="27"/>
        </w:trPr>
        <w:tc>
          <w:tcPr>
            <w:tcW w:w="8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635,428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450,226</w:t>
            </w:r>
          </w:p>
        </w:tc>
      </w:tr>
      <w:tr>
        <w:trPr>
          <w:trHeight w:val="20"/>
        </w:trPr>
        <w:tc>
          <w:tcPr>
            <w:tcW w:w="8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360"/>
          </w:cols>
          <w:pgMar w:left="240" w:top="580" w:right="299" w:bottom="989"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580" w:right="299" w:bottom="989"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2019</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2018</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26, 2018</w:t>
            </w:r>
          </w:p>
        </w:tc>
      </w:tr>
      <w:tr>
        <w:trPr>
          <w:trHeight w:val="236"/>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Company-operated restaurant revenue</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99,052</w:t>
            </w:r>
          </w:p>
        </w:tc>
        <w:tc>
          <w:tcPr>
            <w:tcW w:w="12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100,024</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296,341</w:t>
            </w:r>
          </w:p>
        </w:tc>
        <w:tc>
          <w:tcPr>
            <w:tcW w:w="12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294,204</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Franchise advertising fee revenue</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16,808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16,039</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329,567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Cost of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paper cost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84,265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Labor and related expenses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29,292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88,140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84,682</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69,019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81,700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240,793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237,966</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20,692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18,424</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6,629</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disposition of restaurants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101,949</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102,686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301,794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308,038</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21,529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2,688</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9,342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30,356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19,618</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5,202</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6,402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6,835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21,402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14,416</w:t>
            </w: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0.37</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w w:val="97"/>
              </w:rPr>
              <w:t>Weighted-average shares used in computing net income per share</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35,859,502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38,602,658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37,484,372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38,516,792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36,397,368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39,205,090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38,173,097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39,102,130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25, 2019</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26, 2018</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25, 2019</w:t>
            </w:r>
          </w:p>
        </w:tc>
        <w:tc>
          <w:tcPr>
            <w:tcW w:w="140" w:type="dxa"/>
            <w:vAlign w:val="bottom"/>
          </w:tcPr>
          <w:p>
            <w:pPr>
              <w:spacing w:after="0"/>
              <w:rPr>
                <w:sz w:val="22"/>
                <w:szCs w:val="22"/>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26,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w w:val="93"/>
              </w:rPr>
              <w:t>Unrealized gains arising during the period from interest rate swap</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Reclassifications of gains into 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Income tax</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6,506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14,416</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986"/>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8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Thirteen Weeks Ended September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2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Accumulated Other</w:t>
            </w:r>
          </w:p>
        </w:tc>
        <w:tc>
          <w:tcPr>
            <w:tcW w:w="160" w:type="dxa"/>
            <w:vAlign w:val="bottom"/>
          </w:tcPr>
          <w:p>
            <w:pPr>
              <w:spacing w:after="0"/>
              <w:rPr>
                <w:sz w:val="14"/>
                <w:szCs w:val="14"/>
                <w:color w:val="auto"/>
              </w:rPr>
            </w:pPr>
          </w:p>
        </w:tc>
        <w:tc>
          <w:tcPr>
            <w:tcW w:w="11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3100" w:type="dxa"/>
            <w:vAlign w:val="bottom"/>
          </w:tcPr>
          <w:p>
            <w:pPr>
              <w:spacing w:after="0"/>
              <w:rPr>
                <w:sz w:val="10"/>
                <w:szCs w:val="10"/>
                <w:color w:val="auto"/>
              </w:rPr>
            </w:pPr>
          </w:p>
        </w:tc>
        <w:tc>
          <w:tcPr>
            <w:tcW w:w="12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0"/>
                <w:szCs w:val="10"/>
                <w:color w:val="auto"/>
              </w:rPr>
            </w:pPr>
          </w:p>
        </w:tc>
        <w:tc>
          <w:tcPr>
            <w:tcW w:w="1100" w:type="dxa"/>
            <w:vAlign w:val="bottom"/>
          </w:tcPr>
          <w:p>
            <w:pPr>
              <w:jc w:val="center"/>
              <w:ind w:right="75"/>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Balance, June 26, 2019</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37,732,948</w:t>
            </w:r>
          </w:p>
        </w:tc>
        <w:tc>
          <w:tcPr>
            <w:tcW w:w="100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377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358,335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(95,888)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262,824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Shares repurchased for employee tax</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withholdings</w:t>
            </w:r>
          </w:p>
        </w:tc>
        <w:tc>
          <w:tcPr>
            <w:tcW w:w="1280" w:type="dxa"/>
            <w:vAlign w:val="bottom"/>
          </w:tcPr>
          <w:p>
            <w:pPr>
              <w:jc w:val="right"/>
              <w:spacing w:after="0"/>
              <w:rPr>
                <w:sz w:val="20"/>
                <w:szCs w:val="20"/>
                <w:color w:val="auto"/>
              </w:rPr>
            </w:pPr>
            <w:r>
              <w:rPr>
                <w:rFonts w:ascii="Arial" w:cs="Arial" w:eastAsia="Arial" w:hAnsi="Arial"/>
                <w:sz w:val="18"/>
                <w:szCs w:val="18"/>
                <w:color w:val="auto"/>
              </w:rPr>
              <w:t>(4,176)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Forfeiture of common stock related to</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(2,825,896)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(29,938)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net of tax</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6,402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September 25, 2019</w:t>
            </w: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34,893,716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329,047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240,014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3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92"/>
              </w:rPr>
              <w:t>Thirteen Weeks Ended September 26, 2018</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2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Accumulated Other</w:t>
            </w:r>
          </w:p>
        </w:tc>
        <w:tc>
          <w:tcPr>
            <w:tcW w:w="160" w:type="dxa"/>
            <w:vAlign w:val="bottom"/>
          </w:tcPr>
          <w:p>
            <w:pPr>
              <w:spacing w:after="0"/>
              <w:rPr>
                <w:sz w:val="18"/>
                <w:szCs w:val="18"/>
                <w:color w:val="auto"/>
              </w:rPr>
            </w:pPr>
          </w:p>
        </w:tc>
        <w:tc>
          <w:tcPr>
            <w:tcW w:w="11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3100" w:type="dxa"/>
            <w:vAlign w:val="bottom"/>
          </w:tcPr>
          <w:p>
            <w:pPr>
              <w:spacing w:after="0"/>
              <w:rPr>
                <w:sz w:val="10"/>
                <w:szCs w:val="10"/>
                <w:color w:val="auto"/>
              </w:rPr>
            </w:pPr>
          </w:p>
        </w:tc>
        <w:tc>
          <w:tcPr>
            <w:tcW w:w="12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0"/>
                <w:szCs w:val="10"/>
                <w:color w:val="auto"/>
              </w:rPr>
            </w:pPr>
          </w:p>
        </w:tc>
        <w:tc>
          <w:tcPr>
            <w:tcW w:w="1100" w:type="dxa"/>
            <w:vAlign w:val="bottom"/>
          </w:tcPr>
          <w:p>
            <w:pPr>
              <w:jc w:val="center"/>
              <w:ind w:right="75"/>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27, 2018</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38,608,810</w:t>
            </w:r>
          </w:p>
        </w:tc>
        <w:tc>
          <w:tcPr>
            <w:tcW w:w="100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374,081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280,128</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related to</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211,060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2"/>
              </w:rPr>
              <w:t>Issuance of common stock upon exercise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of stock options</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249,091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repurchased for employee tax</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withholdings</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Forfeiture of common stock related to</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Balance, September 26, 2018</w:t>
            </w: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39,066,736</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391</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376,163</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(87,505)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289,049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Thirty-Nine Weeks Ended September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28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240" w:type="dxa"/>
            <w:vAlign w:val="bottom"/>
          </w:tcPr>
          <w:p>
            <w:pPr>
              <w:spacing w:after="0"/>
              <w:rPr>
                <w:sz w:val="14"/>
                <w:szCs w:val="14"/>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ind w:right="93"/>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0"/>
                <w:szCs w:val="10"/>
                <w:color w:val="auto"/>
              </w:rPr>
            </w:pPr>
          </w:p>
        </w:tc>
        <w:tc>
          <w:tcPr>
            <w:tcW w:w="1100" w:type="dxa"/>
            <w:vAlign w:val="bottom"/>
          </w:tcPr>
          <w:p>
            <w:pPr>
              <w:jc w:val="center"/>
              <w:ind w:right="74"/>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2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Balance, December 26, 2018</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39,009,451</w:t>
            </w:r>
          </w:p>
        </w:tc>
        <w:tc>
          <w:tcPr>
            <w:tcW w:w="120" w:type="dxa"/>
            <w:vAlign w:val="bottom"/>
          </w:tcPr>
          <w:p>
            <w:pPr>
              <w:spacing w:after="0"/>
              <w:rPr>
                <w:sz w:val="21"/>
                <w:szCs w:val="21"/>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390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375,734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(110,888)</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265,236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Issuance of common stock related to</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restricted shares, net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292,211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Issuance of common stock upon exercise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stock options</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6,709</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Shares repurchased for employee tax</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withholdings</w:t>
            </w:r>
          </w:p>
        </w:tc>
        <w:tc>
          <w:tcPr>
            <w:tcW w:w="1280" w:type="dxa"/>
            <w:vAlign w:val="bottom"/>
          </w:tcPr>
          <w:p>
            <w:pPr>
              <w:jc w:val="right"/>
              <w:spacing w:after="0"/>
              <w:rPr>
                <w:sz w:val="20"/>
                <w:szCs w:val="20"/>
                <w:color w:val="auto"/>
              </w:rPr>
            </w:pPr>
            <w:r>
              <w:rPr>
                <w:rFonts w:ascii="Arial" w:cs="Arial" w:eastAsia="Arial" w:hAnsi="Arial"/>
                <w:sz w:val="18"/>
                <w:szCs w:val="18"/>
                <w:color w:val="auto"/>
              </w:rPr>
              <w:t>(29,923)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(4,384,732)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(48,264)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w w:val="98"/>
              </w:rPr>
              <w:t>Other comprehensive income, net of tax</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21,402</w:t>
            </w: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Balance, September 25, 2019</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34,893,716</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349</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329,047</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(89,486)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240,014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32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8"/>
          </w:tcPr>
          <w:p>
            <w:pPr>
              <w:ind w:left="1100"/>
              <w:spacing w:after="0"/>
              <w:rPr>
                <w:sz w:val="20"/>
                <w:szCs w:val="20"/>
                <w:color w:val="auto"/>
              </w:rPr>
            </w:pPr>
            <w:r>
              <w:rPr>
                <w:rFonts w:ascii="Arial" w:cs="Arial" w:eastAsia="Arial" w:hAnsi="Arial"/>
                <w:sz w:val="14"/>
                <w:szCs w:val="14"/>
                <w:b w:val="1"/>
                <w:bCs w:val="1"/>
                <w:color w:val="auto"/>
                <w:w w:val="98"/>
              </w:rPr>
              <w:t>Thirty-Nine Weeks Ended September 26, 2018</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28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8"/>
                <w:szCs w:val="18"/>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24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ind w:right="93"/>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0"/>
                <w:szCs w:val="10"/>
                <w:color w:val="auto"/>
              </w:rPr>
            </w:pPr>
          </w:p>
        </w:tc>
        <w:tc>
          <w:tcPr>
            <w:tcW w:w="1100" w:type="dxa"/>
            <w:vAlign w:val="bottom"/>
          </w:tcPr>
          <w:p>
            <w:pPr>
              <w:jc w:val="center"/>
              <w:ind w:right="74"/>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2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27, 2017</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38,661,850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274,950</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9"/>
              </w:rPr>
              <w:t>Cumulative effect of accounting change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(See Note 10)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Issuance of common stock related to</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211,060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Issuance of common stock upon exercise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stock options</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249,091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Shares repurchased for employee tax</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withholdings</w:t>
            </w:r>
          </w:p>
        </w:tc>
        <w:tc>
          <w:tcPr>
            <w:tcW w:w="1280" w:type="dxa"/>
            <w:vAlign w:val="bottom"/>
          </w:tcPr>
          <w:p>
            <w:pPr>
              <w:jc w:val="right"/>
              <w:spacing w:after="0"/>
              <w:rPr>
                <w:sz w:val="20"/>
                <w:szCs w:val="20"/>
                <w:color w:val="auto"/>
              </w:rPr>
            </w:pPr>
            <w:r>
              <w:rPr>
                <w:rFonts w:ascii="Arial" w:cs="Arial" w:eastAsia="Arial" w:hAnsi="Arial"/>
                <w:sz w:val="18"/>
                <w:szCs w:val="18"/>
                <w:color w:val="auto"/>
              </w:rPr>
              <w:t>(7,730)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Forfeiture of common stock related to</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(47,535)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14,416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14,416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September 26, 2018</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39,066,736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376,163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289,049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4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8580" w:type="dxa"/>
            <w:vAlign w:val="bottom"/>
          </w:tcPr>
          <w:p>
            <w:pPr>
              <w:spacing w:after="0"/>
              <w:rPr>
                <w:sz w:val="22"/>
                <w:szCs w:val="22"/>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2019</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26, 2018</w:t>
            </w:r>
          </w:p>
        </w:tc>
      </w:tr>
      <w:tr>
        <w:trPr>
          <w:trHeight w:val="243"/>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7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21,402</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14,416</w:t>
            </w: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1,547</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Loss on disposition of restaurants</w:t>
            </w: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Impairment of property and equipment</w:t>
            </w: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1,791</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Closed-store reserve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favorable and unfavorable leases, net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8,583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3,825</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and other receivables, net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(1,675)</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(2,206)</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salaries and vacation</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insurance</w:t>
            </w: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895</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accrued expenses and liabilities</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2,596</w:t>
            </w:r>
          </w:p>
        </w:tc>
      </w:tr>
      <w:tr>
        <w:trPr>
          <w:trHeight w:val="27"/>
        </w:trPr>
        <w:tc>
          <w:tcPr>
            <w:tcW w:w="8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31,895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41,601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restaurants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(20,711)</w:t>
            </w:r>
          </w:p>
        </w:tc>
      </w:tr>
      <w:tr>
        <w:trPr>
          <w:trHeight w:val="27"/>
        </w:trPr>
        <w:tc>
          <w:tcPr>
            <w:tcW w:w="8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tax withholdings related to net share 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Payments on revolver and swingline loan</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(29,000)</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on revolver and swingline loan</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financing costs on revolver loan</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upon exercise of stock options, net of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 of obligations under finance leases</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buybacks</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(47,395)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(21,298)</w:t>
            </w:r>
          </w:p>
        </w:tc>
      </w:tr>
      <w:tr>
        <w:trPr>
          <w:trHeight w:val="27"/>
        </w:trPr>
        <w:tc>
          <w:tcPr>
            <w:tcW w:w="8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8,550</w:t>
            </w:r>
          </w:p>
        </w:tc>
      </w:tr>
      <w:tr>
        <w:trPr>
          <w:trHeight w:val="27"/>
        </w:trPr>
        <w:tc>
          <w:tcPr>
            <w:tcW w:w="8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12,069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8,142</w:t>
            </w:r>
          </w:p>
        </w:tc>
      </w:tr>
      <w:tr>
        <w:trPr>
          <w:trHeight w:val="20"/>
        </w:trPr>
        <w:tc>
          <w:tcPr>
            <w:tcW w:w="8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88" w:right="239" w:bottom="1440" w:gutter="0" w:footer="0" w:header="0"/>
          <w:type w:val="continuous"/>
        </w:sectPr>
      </w:pPr>
    </w:p>
    <w:bookmarkStart w:id="10" w:name="page11"/>
    <w:bookmarkEnd w:id="10"/>
    <w:p>
      <w:pPr>
        <w:ind w:left="9100"/>
        <w:spacing w:after="0"/>
        <w:rPr>
          <w:sz w:val="20"/>
          <w:szCs w:val="20"/>
          <w:color w:val="auto"/>
        </w:rPr>
      </w:pPr>
      <w:r>
        <w:rPr>
          <w:rFonts w:ascii="Arial" w:cs="Arial" w:eastAsia="Arial" w:hAnsi="Arial"/>
          <w:sz w:val="14"/>
          <w:szCs w:val="14"/>
          <w:b w:val="1"/>
          <w:bCs w:val="1"/>
          <w:color w:val="auto"/>
        </w:rPr>
        <w:t>Thirty-Nine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25, 2019</w:t>
            </w:r>
          </w:p>
        </w:tc>
        <w:tc>
          <w:tcPr>
            <w:tcW w:w="140" w:type="dxa"/>
            <w:vAlign w:val="bottom"/>
          </w:tcPr>
          <w:p>
            <w:pPr>
              <w:spacing w:after="0"/>
              <w:rPr>
                <w:sz w:val="16"/>
                <w:szCs w:val="16"/>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26, 2018</w:t>
            </w:r>
          </w:p>
        </w:tc>
      </w:tr>
      <w:tr>
        <w:trPr>
          <w:trHeight w:val="26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2,623</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Unpaid purchases of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1,449</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Unpaid stock buybacks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03"/>
        </w:trPr>
        <w:tc>
          <w:tcPr>
            <w:tcW w:w="8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31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Schedule of Non-cash Transactions</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44"/>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Borrowing on Revolver for Financing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6"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66" w:lineRule="exact"/>
        <w:rPr>
          <w:sz w:val="20"/>
          <w:szCs w:val="20"/>
          <w:color w:val="auto"/>
        </w:rPr>
      </w:pPr>
    </w:p>
    <w:p>
      <w:pPr>
        <w:ind w:right="380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120"/>
        <w:spacing w:after="0" w:line="302"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referred to herein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September 25, 2019, the Company operated 201 and franchised 284 El Pollo Loco restaurants.</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August 2, 2018, the Company announced that the Board of Directors had authorized a stock repurchase program. The Company entered into a stock repurchase plan on August 28, 2018 (the “2018 Stock Repurchase Plan”), which allowed for the repurchase of up to $20.0 million of the Company’s common stock. The 2018 Stock Repurchase Plan commenced on November 6, 2018 and terminated on June 26, 2019.</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April 30, 2019, as part of the Company’s focus on stockholder returns, the Board of Directors approved a new stock repurchase program. The Company entered into a stock repurchase plan May 17, 2019 (the “2019 Stock Repurchase Plan”), which allowed for the repurchase up to $30.0 million of the Company's common stock. The 2019 Stock Repurchase Plan commenced on June 27, 2019, and will terminate on March 25, 2020, if not exhausted or terminated sooner pursuant to the provisions of the 2019 Stock Repurchase Plan.</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the 2019 Stock Repurchase Plan, the Company may repurchase its common stock from time to time, in amounts and at prices that the Company deems appropriate, subject to market conditions and other considerations. The Company’s repurchases may be executed using open market purchases, including pursuant to Rule 10b5-1 trading plans, and/or through privately negotiated transactions.</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thirteen weeks ended September 25, 2019, the Company repurchased 2,825,896 shares of common stock under the 2019 Stock Repurchase Plan, using open market purchases, for total consideration of approximately $29.9 million. For the thirty-nine weeks ended September 25, 2019, the Company repurchased 1,558,836 shares of common stock under the 2018 Stock Repurchase Plan and 2,825,896 shares of common stock under the 2019 Stock Repurchase Plan, using open market purchases, for total consideration of approximately $48.3 million. The common stock repurchased under both the 2018 Stock Repurchase Plan and the 2019 Stock Repurchase Plan was retired upon repurchase.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26, 2018.</w:t>
      </w:r>
    </w:p>
    <w:p>
      <w:pPr>
        <w:spacing w:after="0" w:line="19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2019 and 2018 are both 52-week years, ending on December 25, 2019 and December 26, 2018, respectively. Revenues, expenses, and other financial and operational figures may be elevated in a 53-week year.</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Holdings has no material assets or operations. Holdings and Holdings’ direct subsidiary, EPL Intermediate, Inc. (“Intermediate”), guarantee EPL’s 2018 Revolver (as defined below) on a full and unconditional basis (see Note 4), and Intermediate has no subsidiaries other than EPL. EPL is a separate and distinct legal entity and has no obligation to make funds available to Intermediate. EPL and Intermediate may pay dividends to Intermediate and to Holdings, respectively, subject to the terms of the 2018 Revolver.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closed-store reserves, stock-based compensation, income tax receivable agreement liability, contingent liabilities and income tax valuation allowances.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highly-liquid instruments with an original maturity of three months or less at the date of purchase to be cash equivalents.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principal liquidity and capital requirements are new restaurants, existing restaurant capital investments (remodels and maintenance), interest payments on our debt, lease obligations and working capital and general corporate needs. At September 25, 2019, the Company’s total debt was $101.0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$12.1 million at September 25, 2019, and available borrowings under the 2018 Revolver (see Note 4) will be adequate to meet the Company’s liquidity needs for the next twelve months from the filing of these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Securities Class Action Legal Expense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thirty-nine weeks ended September 25, 2019, the Company received insurance proceeds of $10.0 million related to the settlement of a securities class action lawsuit. During the thirteen and thirty-nine weeks ended September 26, 2018, the Company received insurance proceeds of $2.0 million and $6.1 million, respectively, related to the reimbursement of certain legal expenses paid in prior years for the defense of securities lawsuits. See Note 7, Commitments and Contingencies, Legal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Disposition of Restaurants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thirty-nine weeks ended September 25, 2019, the Company completed the sale of four company-operated restaurants within the San Francisco area to an existing franchisee and seven company-operated restaurants in the Phoenix area to another existing franchisee. The Company has determined that these restaurant dispositions represent multiple element arrangements, and as a result, the cash consideration received was allocated to the separate elements based on their relative selling price. Cash proceeds included upfront consideration for the sale of the restaurants and franchise fees, as well as future cash consideration for royalties and lease payments. The Company considered the future lease payments in allocating the initial cash consideration received. The cash consideration per restaurant for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These sales resulted in cash proceeds of $4.8 million and a net loss on sale of restaurants of $5.1 million for the thirty-nine weeks ended September 25,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restaurants are now included in the total number of franchised El Pollo Loco restaurants.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August 2018, the SEC adopted the final rule under SEC Release No. 33-10532, “Disclosure Update and Simplification,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amending certain disclosure requirements that were redundant, duplicative, overlapping, outdated or superseded. In addition,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15" w:right="259" w:bottom="1440" w:gutter="0" w:footer="0" w:header="0"/>
        </w:sectPr>
      </w:pPr>
    </w:p>
    <w:bookmarkStart w:id="13" w:name="page14"/>
    <w:bookmarkEnd w:id="13"/>
    <w:p>
      <w:pPr>
        <w:spacing w:after="0" w:line="257" w:lineRule="auto"/>
        <w:rPr>
          <w:sz w:val="20"/>
          <w:szCs w:val="20"/>
          <w:color w:val="auto"/>
        </w:rPr>
      </w:pPr>
      <w:r>
        <w:rPr>
          <w:rFonts w:ascii="Arial" w:cs="Arial" w:eastAsia="Arial" w:hAnsi="Arial"/>
          <w:sz w:val="18"/>
          <w:szCs w:val="18"/>
          <w:color w:val="auto"/>
        </w:rPr>
        <w:t>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The Company adopted SEC Release No. 33-10532 as of December 27, 2018. See “Condensed Consolidated Statements of Changes in Stockholders’ Equity” above.</w:t>
      </w:r>
    </w:p>
    <w:p>
      <w:pPr>
        <w:spacing w:after="0" w:line="8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June 2018, the Financial Accounting Standards Board (“FASB”) issued Accounting Standards Update (“ASU”) No. 2018-07, “Compensation—Stock Compensation (Topic 718): Improvements to Nonemployee Share-Based Payment Accounting”, (“ASU 2018-07”) which expands the scope of Topic 718 to include share-based payment transactions for acquiring goods and services from non-employees. ASU 2018-07 is effective for financial statements issued for annual periods beginning after December 15, 2018, and for the interim periods therein. The Company adopted ASU 2018-07 as of December 27, 2018 and it did not have a significant impact on the Company’s consolidated financial position or results of operations.</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August 2017, the FASB issued ASU 2017-12, "Derivatives and Hedging," which refines and expands existing hedge accounting guidance. The Company adopted ASU 2017-12 as of December 27, 2019. The adoption of this standard did not have a material impact on the condensed consolidated financial statements.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No. 2016-02, “Leases”, (“Topic 842”). Topic 842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was effective for fiscal years beginning after December 15, 2018, including interim periods therein.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adopted Topic 842, and all related ASU’s as of December 27, 2018. See “Changes in Accounting Policies” below for further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Subsequent to September 25, 2019, the Company completed the sale of five company-operated restaurants within the Dallas area to an existing franchisee.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sale did not result in any cash proceeds or gain or loss on sale of restaurants, as the fixed assets of all five locations were fully impaired in prior periods.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Company closed one restaurant in Texas, which is expected to result in closed-store reserve expense of $0.8 million.</w:t>
      </w:r>
    </w:p>
    <w:p>
      <w:pPr>
        <w:spacing w:after="0" w:line="103"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evaluated subsequent events that have occurred after September 25, 2019, and determined that there were no other events or transactions occurring during this reporting period that require recognition or disclosure in the condensed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these balances may exceed federally-insured limits. The Company has never experienced any losses related to these balances.</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had two suppliers for which amounts due totaled 14.6% and 10.2% of the Company’s accounts payable at September 25, 2019. As of December 26, 2018, the Company had one supplier for which amounts due totaled 36.0% of the Company’s accounts payable. Purchases from the Company’s largest supplier totaled 29.0% and 28.9% of total expenses for the thirteen and thirty-nine weeks ended September 25, 2019, respectively, and 29.4% and 28.8% of total expenses for the thirteen and thirty-nine weeks ended September 26, 2018, respectively.</w:t>
      </w:r>
    </w:p>
    <w:p>
      <w:pPr>
        <w:spacing w:after="0" w:line="6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Company-operated and franchised restaurants in the greater Los Angeles area generated, in the aggregate, approximately 71.5% and 70.0% of total revenue for the thirteen and thirty-nine weeks ended September 25, 2019, respectively, and 69.3% and 69.0% for the thirteen and thirty-nine weeks ended September 26,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first quarter of 2018 the Company implemented Topic 606 "Revenue from Contracts with Customers". Revenue is measured based on a consideration specified in a contract with a customer. The Company recognizes revenue when it satisfies a performance obligation by transferring control over a product or service to a customer. Topic 606 defines a five-step process to achieve this core principle. Refer to Note 10, “Revenue From Contracts With Customers” for further details on the Company’s revenue recognition policy.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92" w:right="259" w:bottom="1440" w:gutter="0" w:footer="0" w:header="0"/>
        </w:sectPr>
      </w:pPr>
    </w:p>
    <w:bookmarkStart w:id="14" w:name="page15"/>
    <w:bookmarkEnd w:id="14"/>
    <w:p>
      <w:pPr>
        <w:ind w:right="20"/>
        <w:spacing w:after="0" w:line="264"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determined there was no decrement of goodwill related to the disposition of restaurants during the thirty-nine weeks ended September 25, 2019.</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8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3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did not identify any indicators of potential impairment of its goodwill or indefinite-lived intangible assets during the thirteen and thirty-nine weeks ended September 25, 2019 or September 26, 2018, and therefore did not record any impairment during the respective periods.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thirteen and thirty-nine weeks ended September 25,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The key inputs for the valuation models are observable market prices, discount rates, and forward yield curves. See Note 4 for further discussion regarding our interest rate swaps. The following table presents fair value for the interest rate swap at September 25, 2019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center"/>
              <w:ind w:left="782"/>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16"/>
                <w:szCs w:val="16"/>
                <w:color w:val="auto"/>
              </w:rPr>
            </w:pPr>
          </w:p>
        </w:tc>
      </w:tr>
      <w:tr>
        <w:trPr>
          <w:trHeight w:val="264"/>
        </w:trPr>
        <w:tc>
          <w:tcPr>
            <w:tcW w:w="376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ind w:right="45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18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2"/>
              </w:rPr>
              <w:t>Level 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43"/>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 - Interest rate swap</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The Company had no assets or liabilities required to be measured at fair value on a recurring basis as of December 26, 2018 or any prior interim period.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ind w:right="160"/>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38"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following non-financial instruments were measured at fair value, on a nonrecurring basis, as of and for the thirteen and thirty-nine weeks ended September 25, 2019, reflecting certain property and equipment assets for which an impairment loss was recognized during the corresponding periods, as discussed immediately below under "Impairment of Long-Lived Assets." Amounts in the table below are presented in thousands.</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at September</w:t>
            </w: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Thirteen Weeks Ended</w:t>
            </w:r>
          </w:p>
        </w:tc>
        <w:tc>
          <w:tcPr>
            <w:tcW w:w="120" w:type="dxa"/>
            <w:vAlign w:val="bottom"/>
          </w:tcPr>
          <w:p>
            <w:pPr>
              <w:spacing w:after="0"/>
              <w:rPr>
                <w:sz w:val="14"/>
                <w:szCs w:val="14"/>
                <w:color w:val="auto"/>
              </w:rPr>
            </w:pPr>
          </w:p>
        </w:tc>
        <w:tc>
          <w:tcPr>
            <w:tcW w:w="176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Thirty-Nine Weeks Ended</w:t>
            </w:r>
          </w:p>
        </w:tc>
      </w:tr>
      <w:tr>
        <w:trPr>
          <w:trHeight w:val="192"/>
        </w:trPr>
        <w:tc>
          <w:tcPr>
            <w:tcW w:w="2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25, 2019 Using</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September 25, 2019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September 25, 2019</w:t>
            </w:r>
          </w:p>
        </w:tc>
      </w:tr>
      <w:tr>
        <w:trPr>
          <w:trHeight w:val="264"/>
        </w:trPr>
        <w:tc>
          <w:tcPr>
            <w:tcW w:w="29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92"/>
              </w:rPr>
              <w:t>Level 2</w:t>
            </w: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1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Impairment Losses</w:t>
            </w: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Impairment Losses</w:t>
            </w:r>
          </w:p>
        </w:tc>
      </w:tr>
      <w:tr>
        <w:trPr>
          <w:trHeight w:val="24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owned, net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283</w:t>
            </w:r>
          </w:p>
        </w:tc>
      </w:tr>
      <w:tr>
        <w:trPr>
          <w:trHeight w:val="27"/>
        </w:trPr>
        <w:tc>
          <w:tcPr>
            <w:tcW w:w="29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following non-financial instruments were measured at fair value on a nonrecurring basis as of and for the thirteen and thirty-nine weeks ended September 26, 2018, reflecting certain property and equipment assets for which an impairment loss was recognized during the corresponding periods, as discussed immediately below under "Impairment of Long-Lived Assets." Amounts in the table below are presented in thousands.</w:t>
      </w:r>
    </w:p>
    <w:p>
      <w:pPr>
        <w:spacing w:after="0" w:line="19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Fair Value Measurements at June</w:t>
            </w: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Thirteen Weeks Ended</w:t>
            </w:r>
          </w:p>
        </w:tc>
        <w:tc>
          <w:tcPr>
            <w:tcW w:w="120" w:type="dxa"/>
            <w:vAlign w:val="bottom"/>
          </w:tcPr>
          <w:p>
            <w:pPr>
              <w:spacing w:after="0"/>
              <w:rPr>
                <w:sz w:val="14"/>
                <w:szCs w:val="14"/>
                <w:color w:val="auto"/>
              </w:rPr>
            </w:pPr>
          </w:p>
        </w:tc>
        <w:tc>
          <w:tcPr>
            <w:tcW w:w="176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Thirty-Nine Weeks Ended</w:t>
            </w:r>
          </w:p>
        </w:tc>
      </w:tr>
      <w:tr>
        <w:trPr>
          <w:trHeight w:val="192"/>
        </w:trPr>
        <w:tc>
          <w:tcPr>
            <w:tcW w:w="2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w w:val="92"/>
              </w:rPr>
              <w:t>27,2018 Using</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September 26, 2018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September 26, 2018</w:t>
            </w:r>
          </w:p>
        </w:tc>
      </w:tr>
      <w:tr>
        <w:trPr>
          <w:trHeight w:val="264"/>
        </w:trPr>
        <w:tc>
          <w:tcPr>
            <w:tcW w:w="29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92"/>
              </w:rPr>
              <w:t>Level 2</w:t>
            </w: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1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Impairment Losses</w:t>
            </w: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Impairment Losses</w:t>
            </w:r>
          </w:p>
        </w:tc>
      </w:tr>
      <w:tr>
        <w:trPr>
          <w:trHeight w:val="24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owned, net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1,791</w:t>
            </w:r>
          </w:p>
        </w:tc>
      </w:tr>
      <w:tr>
        <w:trPr>
          <w:trHeight w:val="27"/>
        </w:trPr>
        <w:tc>
          <w:tcPr>
            <w:tcW w:w="29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loss is recorded to reduce the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estimates and assumptions used change in the future, the Company may be required to recognize impairment charges in future periods, and such charges could be material. Based on the results of the analysis, the Company recorded a non-cash impairment charge of $0.1 million and $0.3 million for the thirteen and thirty-nine weeks ended September 25, 2019, respectively, primarily related to the carrying value of the assets of one restaurant in California. The Company recorded a non-cash impairment charge of $0.1 million and $1.8 million for the thirteen and thirty-nine weeks ended September 26, 2018, respectively, primarily related to the carrying value of the assets of one restaurant in Arizona. Given the difficulty in projecting results for newer restaurants in newer markets, we are monitoring the recoverability of the carrying value of the assets of several restaurants on an ongoing basis. For these restaurants, if expected performance improvements are not realized, an impairment charge may be recognized in future periods, and such charge could be material.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2"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Closed-Store Reserves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Prior to the adoption of Topic 842 “Leases,” when the Company closed a restaurant, it reviewed the future minimum lease payments and related ancillary costs from the date of the restaurant closure to the end of the remaining lease term and recorded a lease charge for the lease liabilities to be incurred, net of any estimated sublease recoveries. The estimates of future closed-store reserves were re-evaluated and adjusted each period based on information available as of the period. In addition, an impairment charge was recognized for any remaining carrying value of certain restaurant assets. During the thirteen weeks ended September 26, 2018, the Company closed one restaurant in California and one restaurant in Arizona. During the thirty-nine weeks ended September 26, 2018, the Company closed six restaurants, including four locations in Texas, one in California and one in Arizona, and decided not to move forward with the development of a third location in Texas. All four Texas locations were previously impaired during the third quarter of 2017. This resulted in a closed-store reserve recovery expense of $0.2 million for the thirteen weeks ended September 26, 2018 and $4.8 million for the thirty-nine weeks ended September 26, 2018.</w:t>
      </w:r>
    </w:p>
    <w:p>
      <w:pPr>
        <w:spacing w:after="0" w:line="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Subsequent to the adoption of Topic 842, the Company no longer recognizes a closed-store reserve when the Company closes a restaurant, as a lease liability related to the future lease payments is already recognized. Rather, when a restaurant is closed, the Company will evaluate the ROU Asset for impairment, based on anticipated sublease recoveries. The remaining value of the ROU Asset is amortized on a straight-line basis, with the expense recognized in closed-store reserve expense. During the thirty-nine weeks ended September 25, 2019, the Company closed one restaurant in California and one in Texas and recognized $0.3 million and $1.0 million of closed-store reserve expense for the thirteen and thirty-nine weeks ended September 25, 2019, respectively, primarily related to the amortization of ROU Assets for the two closed stores.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uses an interest rate swap, a derivative instrument, to hedge interest rate risk and are not used for trading purposes. The derivative contract is entered into with financial institutions.</w:t>
      </w:r>
    </w:p>
    <w:p>
      <w:pPr>
        <w:spacing w:after="0" w:line="6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records the derivative instrument on its condensed consolidated balance sheet at fair value. The derivative instrument qualifies as a hedging instrument in a qualifying cash flow hedge relationship, the gain or loss on the derivative instrument is reported as a component of accumulated other comprehensive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reclassed to earnings immediately.</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the use of an interest rate swap, the Company is exposed to risk that the counterparty will fail to meet their contractual obligations. To mitigate the counterparty credit risk, the Company will only enter into contracts with major financial institutions, based upon their credit ratings and other factors, and will continue to assess the creditworthiness of the counterparty. As of September 25, 2019, the counterparty to the Company's interest rate swap has performed in accordance with their contractual obligation.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adjustments to recorded amounts and may affect the Company’s consolidated financial position, results of operations, and cash flows.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September 25, 2019 or at December 26, 2018, and did not recognize interest or penalties during the thirteen or thirty-nine weeks ended September 25, 2019 or September 26, 2018, since there were no material unrecognized tax benefits. Management believes no material changes to the amount of unrecognized tax benefits will occur within the next twelve months.</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July 30, 2014, the Company entered into the income tax receivable agreement (the "TRA"), which calls for the Company to pay to its pre-IPO stockholders 85% of the savings in cash that the Company realizes in its income taxes as a result of utilizing its net operating losses and other tax attributes attributable to preceding periods. For the thirteen and thirty-nine weeks ended September 25, 2019, the Company recorded income tax receivable agreement income of $0.2 million and $0.1 million, respectively, and for the thirteen and thirty-nine weeks ended September 26, 2018, we recorded income tax receivable agreement income of $0.6 million and $0.8 million, respectively, related to the amortization of interest expense related to our total expected TRA payments and changes in estimates for actual tax returns filed and future forecasted taxable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for the changes below, the Company has consistently applied the accounting policies to all periods presented in these condensed consolidated financial statements.</w:t>
      </w:r>
    </w:p>
    <w:p>
      <w:pPr>
        <w:spacing w:after="0" w:line="3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adopted Topic 842 with a date of initial application of December 27, 2018. As a result, the Company has changed its accounting policy for leases as detailed below.</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Company’s operations utilize property, facilities, equipment and vehicles owned by the Company or leased from others, the majority of which are operating leases. Additionally, the Company has various contracts with vendors that have been determined to contain an embedded lease in accordance with Topic 842. As of the date of adoption, the Company recognized a ROU Asset and lease liability equal to the present value of these leases within its consolidated balance sheet for any leases with terms longer than 12 months. The Company also has three finance leases, subleases facilities to certain franchises and is the lessor for certain property, facilities and equipment owned by the Company. The adoption of Topic 842 did not have an impact on our current accounting policies for these items. Furthermore, the adoption of this standard did not have any impact on the Company’s consolidated statement of operations or the consolidated statement of cash flows.</w:t>
      </w:r>
    </w:p>
    <w:p>
      <w:pPr>
        <w:spacing w:after="0" w:line="3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applied Topic 842 using the effective date method, which allowed the Company to apply the standard as of the adoption date, and to recognize the cumulative effect of initially applying Topic 842 as an adjustment to retained earnings at December 27, 2018, if applicable. Therefore, the comparative information has not been adjusted and continues to be reported under Topic 840. However, the Company did not have any impact to its retained earnings.</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Additionally, the Company elected to apply the package of practical expedients, which allowed for carryforwards of 1) historical lease classifications, 2) determination of whether a contract contains a lease under the new definition of a lease and 3) whether previously capitalized initial direct costs qualify for capitalization. See Note 11, "Leases," for further details.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September 25,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26, 2018</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149,474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156,806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3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76,061</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248,179</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(144,034)</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0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104,145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8" w:name="page19"/>
    <w:bookmarkEnd w:id="18"/>
    <w:p>
      <w:pPr>
        <w:ind w:right="240"/>
        <w:spacing w:after="0" w:line="277" w:lineRule="auto"/>
        <w:rPr>
          <w:sz w:val="20"/>
          <w:szCs w:val="20"/>
          <w:color w:val="auto"/>
        </w:rPr>
      </w:pPr>
      <w:r>
        <w:rPr>
          <w:rFonts w:ascii="Arial" w:cs="Arial" w:eastAsia="Arial" w:hAnsi="Arial"/>
          <w:sz w:val="18"/>
          <w:szCs w:val="18"/>
          <w:color w:val="auto"/>
        </w:rPr>
        <w:t>Depreciation expense was $4.3 million and $4.5 million for the thirteen weeks ended September 25, 2019 and September 26, 2018, respectively, and $13.6 million and $13.1 million for the thirty-nine weeks ended September 25, 2019 and September 26, 2018, respectively.</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Based on the Company's review of its long-lived assets for impairment, the Company recorded non-cash impairment charges of $0.1 million and $0.3 million for the thirteen and thirty-nine weeks ended September 25, 2019, respectively, and $0.1 million and $1.8 million for the thirteen and thirty-nine weeks ended September 26,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September 25, 2019, options to purchase 2,302,225 shares of common stock were outstanding, including 1,746,164 vested and 556,061 unvested. Unvested options vest over time; however, upon a change in control, the board may accelerate vesting. At September 25, 2019, 1,381,010 premium options, options granted above the stock price at date of grant, remained outstanding. A summary of stock option activity as of September 25, 2019 and changes during the thirty-nine weeks ended September 25, 2019 is as follows: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0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680" w:type="dxa"/>
            <w:vAlign w:val="bottom"/>
          </w:tcPr>
          <w:p>
            <w:pPr>
              <w:jc w:val="right"/>
              <w:ind w:right="314"/>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38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ind w:right="45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26, 2018</w:t>
            </w:r>
          </w:p>
        </w:tc>
        <w:tc>
          <w:tcPr>
            <w:tcW w:w="1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Grants</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320,536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1940" w:type="dxa"/>
            <w:vAlign w:val="bottom"/>
          </w:tcPr>
          <w:p>
            <w:pPr>
              <w:jc w:val="right"/>
              <w:spacing w:after="0"/>
              <w:rPr>
                <w:sz w:val="20"/>
                <w:szCs w:val="20"/>
                <w:color w:val="auto"/>
              </w:rPr>
            </w:pPr>
            <w:r>
              <w:rPr>
                <w:rFonts w:ascii="Arial" w:cs="Arial" w:eastAsia="Arial" w:hAnsi="Arial"/>
                <w:sz w:val="18"/>
                <w:szCs w:val="18"/>
                <w:color w:val="auto"/>
              </w:rPr>
              <w:t>(114,006)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September 25, 2019</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2,302,225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September 25, 2019</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80" w:type="dxa"/>
            <w:vAlign w:val="bottom"/>
            <w:vMerge w:val="continue"/>
          </w:tcPr>
          <w:p>
            <w:pPr>
              <w:spacing w:after="0"/>
              <w:rPr>
                <w:sz w:val="19"/>
                <w:szCs w:val="19"/>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2,289,725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67"/>
        </w:trPr>
        <w:tc>
          <w:tcPr>
            <w:tcW w:w="7380" w:type="dxa"/>
            <w:vAlign w:val="bottom"/>
            <w:tcBorders>
              <w:bottom w:val="single" w:sz="8" w:color="CCEEFF"/>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3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Exercisable at September 25, 2019</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1,746,164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stock option was estimated on the grant date using an exercise price of the closing stock price on the day prior to date of grant and the</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option-pricing model with the following weighted average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64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Thirty-Nine Weeks Ended September</w:t>
            </w:r>
          </w:p>
        </w:tc>
        <w:tc>
          <w:tcPr>
            <w:tcW w:w="2560" w:type="dxa"/>
            <w:vAlign w:val="bottom"/>
          </w:tcPr>
          <w:p>
            <w:pPr>
              <w:jc w:val="right"/>
              <w:ind w:right="36"/>
              <w:spacing w:after="0"/>
              <w:rPr>
                <w:sz w:val="20"/>
                <w:szCs w:val="20"/>
                <w:color w:val="auto"/>
              </w:rPr>
            </w:pPr>
            <w:r>
              <w:rPr>
                <w:rFonts w:ascii="Arial" w:cs="Arial" w:eastAsia="Arial" w:hAnsi="Arial"/>
                <w:sz w:val="14"/>
                <w:szCs w:val="14"/>
                <w:b w:val="1"/>
                <w:bCs w:val="1"/>
                <w:color w:val="auto"/>
                <w:w w:val="98"/>
              </w:rPr>
              <w:t>Thirty-Nine Weeks Ended September</w:t>
            </w:r>
          </w:p>
        </w:tc>
      </w:tr>
      <w:tr>
        <w:trPr>
          <w:trHeight w:val="192"/>
        </w:trPr>
        <w:tc>
          <w:tcPr>
            <w:tcW w:w="402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jc w:val="right"/>
              <w:ind w:right="936"/>
              <w:spacing w:after="0"/>
              <w:rPr>
                <w:sz w:val="20"/>
                <w:szCs w:val="20"/>
                <w:color w:val="auto"/>
              </w:rPr>
            </w:pPr>
            <w:r>
              <w:rPr>
                <w:rFonts w:ascii="Arial" w:cs="Arial" w:eastAsia="Arial" w:hAnsi="Arial"/>
                <w:sz w:val="14"/>
                <w:szCs w:val="14"/>
                <w:b w:val="1"/>
                <w:bCs w:val="1"/>
                <w:color w:val="auto"/>
              </w:rPr>
              <w:t>25, 2019</w:t>
            </w:r>
          </w:p>
        </w:tc>
        <w:tc>
          <w:tcPr>
            <w:tcW w:w="10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tcPr>
          <w:p>
            <w:pPr>
              <w:jc w:val="right"/>
              <w:ind w:right="936"/>
              <w:spacing w:after="0"/>
              <w:rPr>
                <w:sz w:val="20"/>
                <w:szCs w:val="20"/>
                <w:color w:val="auto"/>
              </w:rPr>
            </w:pPr>
            <w:r>
              <w:rPr>
                <w:rFonts w:ascii="Arial" w:cs="Arial" w:eastAsia="Arial" w:hAnsi="Arial"/>
                <w:sz w:val="14"/>
                <w:szCs w:val="14"/>
                <w:b w:val="1"/>
                <w:bCs w:val="1"/>
                <w:color w:val="auto"/>
              </w:rPr>
              <w:t>26, 2018</w:t>
            </w: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25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6.25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September 25, 2019, the Company had total unrecognized compensation expense of $1.9 million related to unvested stock options, which it expects to recognize over a weighted-average period of 3.17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restricted share activity as of September 25, 2019 and changes during the thirty-nine weeks ended September 25, 2019 is as follows:</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18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85"/>
              </w:rPr>
              <w:t>Shares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31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3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26, 2018</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490,700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285,996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(142,861)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43"/>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Forfeited, cancelled, or expired</w:t>
            </w:r>
          </w:p>
        </w:tc>
        <w:tc>
          <w:tcPr>
            <w:tcW w:w="760" w:type="dxa"/>
            <w:vAlign w:val="bottom"/>
          </w:tcPr>
          <w:p>
            <w:pPr>
              <w:jc w:val="right"/>
              <w:spacing w:after="0"/>
              <w:rPr>
                <w:sz w:val="20"/>
                <w:szCs w:val="20"/>
                <w:color w:val="auto"/>
              </w:rPr>
            </w:pPr>
            <w:r>
              <w:rPr>
                <w:rFonts w:ascii="Arial" w:cs="Arial" w:eastAsia="Arial" w:hAnsi="Arial"/>
                <w:sz w:val="18"/>
                <w:szCs w:val="18"/>
                <w:color w:val="auto"/>
              </w:rPr>
              <w:t>(53,882)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September 25, 2019</w:t>
            </w:r>
          </w:p>
        </w:tc>
        <w:tc>
          <w:tcPr>
            <w:tcW w:w="1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579,953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Unvested shares at September 25, 2019, included 455,230 unvested restricted shares, 36,058 unvested performance stock units and 88,665 unvested restricted units.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 September 25, 2019, the Company had unrecognized compensation expense of $4.8 million related to unvested restricted shares, which it expects to recognize over a weighted-average period of 3.00 years, unrecognized compensation expense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19" w:name="page20"/>
    <w:bookmarkEnd w:id="19"/>
    <w:p>
      <w:pPr>
        <w:ind w:right="160"/>
        <w:spacing w:after="0" w:line="342" w:lineRule="auto"/>
        <w:rPr>
          <w:sz w:val="20"/>
          <w:szCs w:val="20"/>
          <w:color w:val="auto"/>
        </w:rPr>
      </w:pPr>
      <w:r>
        <w:rPr>
          <w:rFonts w:ascii="Arial" w:cs="Arial" w:eastAsia="Arial" w:hAnsi="Arial"/>
          <w:sz w:val="16"/>
          <w:szCs w:val="16"/>
          <w:color w:val="auto"/>
        </w:rPr>
        <w:t>$0.1 million related to performance stock units, which it expects to recognize over a weighted-average period of 3.62 years and unrecognized compensation expense of $0.9 million related to unvested restricted units, which it expects to recognize over a weighted-average period of 2.76 years.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stock-based compensation expense was $0.7 million and $1.8 million for the thirteen and thirty-nine weeks ended September 25, 2019, respectively, and $0.4 million and $1.5 million for the thirteen and thirty-nine weeks ended September 26,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July 13, 2018, the Company refinanced a credit agreement with Bank of America, N.A., initially entered into on December 11, 2014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3.65% to 3.90% and 3.65% to 6.00% for the thirteen and thirty-nine weeks ended September 25, 2019, respectively, and 3.57% to 3.84% and 3.30% to 3.84% for the thirteen and thirty-nine weeks ended September 26,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2018 Credit Agreement contains certain financial covenants. The Company was in compliance with the financial covenants as of September 25, 2019.</w:t>
      </w:r>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September 25, 2019, $8.5 million of letters of credit and $101.0 million in borrowings under the 2018 Revolver were outstanding. The amount available under the 2018 Revolver was $40.5 million at September 25,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thirteen and thirty-nine weeks ended September 25, 2019, the Company borrowed $16.0 million and $27.0 million, respectively, net of pay downs of $15.0 million during the thirty-nine week period, on the Company’s 2018 Revolver, primarily to fund settlement payments. See Note 7 for further details regarding the settlement payments. During the thirteen and thirty-nine weeks ended September 26, 2018, the Company elected to pay down $10.0 million and $23.0 million, net of new borrowings of $6.0 million during the thirty-nine week period, of outstanding borrowings on the Company’s 2014 Revolver, respectively. There are no required principal payments prior to maturity for the 2018 Revolver.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thirteen and thirty-nine weeks ended September 25, 2019, the Company entered into a variable-to-fixed interest rate swap agreement with a notional amount of $40.0 million that matures in June 2023. The objective of the interest rate swap is to reduce its exposure to interest rate risk for a portion of its variable-rate interest payments on its borrowings under the 2018 Revolver. Under the terms of the swap agreement, the variable LIBOR-based component of interest payments are converted to a fixed rate of 2.81%. The interest rate swap is designated as a cash flow hedge, as the changes in the future cash flows of the swap are expected to offset changes in expected future interest payments on the related variable-rate debt, in accordance with Accounting Standards Committee ("ASC") 815. There were no interest rate swaps outstanding as of December 26, 2018.</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changes in the fair value of the interest rate swap are not included in earnings, but are included in other comprehensive income (“OCI”). These changes in fair value are subsequently reclassified into net earnings as a component of interest expense as the hedged interest payments are made on the variable rate borrowings.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the thirteen and thirty-nine weeks ended September 25, 2019, the swap was a highly effective cash flow hedge.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00" w:right="259" w:bottom="1440" w:gutter="0" w:footer="0" w:header="0"/>
        </w:sectPr>
      </w:pPr>
    </w:p>
    <w:bookmarkStart w:id="20" w:name="page21"/>
    <w:bookmarkEnd w:id="20"/>
    <w:p>
      <w:pPr>
        <w:ind w:right="340"/>
        <w:spacing w:after="0" w:line="277" w:lineRule="auto"/>
        <w:rPr>
          <w:sz w:val="20"/>
          <w:szCs w:val="20"/>
          <w:color w:val="auto"/>
        </w:rPr>
      </w:pPr>
      <w:r>
        <w:rPr>
          <w:rFonts w:ascii="Arial" w:cs="Arial" w:eastAsia="Arial" w:hAnsi="Arial"/>
          <w:sz w:val="18"/>
          <w:szCs w:val="18"/>
          <w:color w:val="auto"/>
        </w:rPr>
        <w:t>As of September 25, 2019, the estimated net gain included in AOCI related to the Company's cash flow hedge that will be reclassified into earnings in the next 12 months is $0.3 million, based on current LIBOR interest rates.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shows the financial statement line item and amount of the Company's cash flow hedge accounting on the condensed consolidated balance sheet (in thousands):</w:t>
      </w:r>
    </w:p>
    <w:p>
      <w:pPr>
        <w:spacing w:after="0" w:line="176"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September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Notional</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 Interest rate swap</w:t>
            </w:r>
          </w:p>
        </w:tc>
        <w:tc>
          <w:tcPr>
            <w:tcW w:w="1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171</w:t>
            </w:r>
          </w:p>
        </w:tc>
      </w:tr>
      <w:tr>
        <w:trPr>
          <w:trHeight w:val="20"/>
        </w:trPr>
        <w:tc>
          <w:tcPr>
            <w:tcW w:w="67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 of the Company's cash flow hedge accounting on the condensed consolidated statements of income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Thirteen Weeks Ended</w:t>
            </w:r>
          </w:p>
        </w:tc>
        <w:tc>
          <w:tcPr>
            <w:tcW w:w="33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4"/>
              </w:rPr>
              <w:t>September 25, 2019</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September 26, 2018</w:t>
            </w:r>
          </w:p>
        </w:tc>
        <w:tc>
          <w:tcPr>
            <w:tcW w:w="1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September 25, 2019</w:t>
            </w: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September 26, 2018</w:t>
            </w: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hedged portion of debt</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Interest income on interest rate swap</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1"/>
                <w:szCs w:val="21"/>
                <w:color w:val="auto"/>
              </w:rPr>
            </w:pPr>
          </w:p>
        </w:tc>
        <w:tc>
          <w:tcPr>
            <w:tcW w:w="1800" w:type="dxa"/>
            <w:vAlign w:val="bottom"/>
          </w:tcPr>
          <w:p>
            <w:pPr>
              <w:ind w:left="12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1"/>
                <w:szCs w:val="21"/>
                <w:color w:val="auto"/>
              </w:rPr>
            </w:pPr>
          </w:p>
        </w:tc>
        <w:tc>
          <w:tcPr>
            <w:tcW w:w="152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 on debt and derivatives,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AOCI for the thirteen and thirty-nine weeks ended September 25, 2019 and September 26,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w w:val="99"/>
              </w:rPr>
              <w:t>Thirty-Nine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Gain Recognized in OCI</w:t>
            </w:r>
          </w:p>
        </w:tc>
        <w:tc>
          <w:tcPr>
            <w:tcW w:w="200" w:type="dxa"/>
            <w:vAlign w:val="bottom"/>
          </w:tcPr>
          <w:p>
            <w:pPr>
              <w:spacing w:after="0"/>
              <w:rPr>
                <w:sz w:val="13"/>
                <w:szCs w:val="13"/>
                <w:color w:val="auto"/>
              </w:rPr>
            </w:pPr>
          </w:p>
        </w:tc>
        <w:tc>
          <w:tcPr>
            <w:tcW w:w="2140" w:type="dxa"/>
            <w:vAlign w:val="bottom"/>
            <w:gridSpan w:val="4"/>
          </w:tcPr>
          <w:p>
            <w:pPr>
              <w:jc w:val="right"/>
              <w:ind w:right="220"/>
              <w:spacing w:after="0" w:line="153" w:lineRule="exact"/>
              <w:rPr>
                <w:sz w:val="20"/>
                <w:szCs w:val="20"/>
                <w:color w:val="auto"/>
              </w:rPr>
            </w:pPr>
            <w:r>
              <w:rPr>
                <w:rFonts w:ascii="Arial" w:cs="Arial" w:eastAsia="Arial" w:hAnsi="Arial"/>
                <w:sz w:val="14"/>
                <w:szCs w:val="14"/>
                <w:b w:val="1"/>
                <w:bCs w:val="1"/>
                <w:color w:val="auto"/>
                <w:w w:val="95"/>
              </w:rPr>
              <w:t>(Gain) Reclassified from AOCI</w:t>
            </w:r>
          </w:p>
        </w:tc>
        <w:tc>
          <w:tcPr>
            <w:tcW w:w="220" w:type="dxa"/>
            <w:vAlign w:val="bottom"/>
          </w:tcPr>
          <w:p>
            <w:pPr>
              <w:spacing w:after="0"/>
              <w:rPr>
                <w:sz w:val="13"/>
                <w:szCs w:val="13"/>
                <w:color w:val="auto"/>
              </w:rPr>
            </w:pPr>
          </w:p>
        </w:tc>
        <w:tc>
          <w:tcPr>
            <w:tcW w:w="192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rPr>
              <w:t>Gain Recognized in OCI</w:t>
            </w:r>
          </w:p>
        </w:tc>
        <w:tc>
          <w:tcPr>
            <w:tcW w:w="2260" w:type="dxa"/>
            <w:vAlign w:val="bottom"/>
            <w:gridSpan w:val="4"/>
          </w:tcPr>
          <w:p>
            <w:pPr>
              <w:jc w:val="right"/>
              <w:ind w:right="14"/>
              <w:spacing w:after="0" w:line="153" w:lineRule="exact"/>
              <w:rPr>
                <w:sz w:val="20"/>
                <w:szCs w:val="20"/>
                <w:color w:val="auto"/>
              </w:rPr>
            </w:pPr>
            <w:r>
              <w:rPr>
                <w:rFonts w:ascii="Arial" w:cs="Arial" w:eastAsia="Arial" w:hAnsi="Arial"/>
                <w:sz w:val="14"/>
                <w:szCs w:val="14"/>
                <w:b w:val="1"/>
                <w:bCs w:val="1"/>
                <w:color w:val="auto"/>
              </w:rPr>
              <w:t>(Gain) Reclassified from AOCI</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b w:val="1"/>
                <w:bCs w:val="1"/>
                <w:color w:val="auto"/>
              </w:rPr>
              <w:t>into Interest expense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into Interest expense</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160" w:type="dxa"/>
            <w:vAlign w:val="bottom"/>
            <w:gridSpan w:val="2"/>
          </w:tcPr>
          <w:p>
            <w:pPr>
              <w:jc w:val="right"/>
              <w:ind w:right="122"/>
              <w:spacing w:after="0" w:line="153" w:lineRule="exact"/>
              <w:rPr>
                <w:sz w:val="20"/>
                <w:szCs w:val="20"/>
                <w:color w:val="auto"/>
              </w:rPr>
            </w:pPr>
            <w:r>
              <w:rPr>
                <w:rFonts w:ascii="Arial" w:cs="Arial" w:eastAsia="Arial" w:hAnsi="Arial"/>
                <w:sz w:val="14"/>
                <w:szCs w:val="14"/>
                <w:b w:val="1"/>
                <w:bCs w:val="1"/>
                <w:color w:val="auto"/>
                <w:w w:val="98"/>
              </w:rPr>
              <w:t>September 25,</w:t>
            </w:r>
          </w:p>
        </w:tc>
        <w:tc>
          <w:tcPr>
            <w:tcW w:w="110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September 26,</w:t>
            </w:r>
          </w:p>
        </w:tc>
        <w:tc>
          <w:tcPr>
            <w:tcW w:w="1220" w:type="dxa"/>
            <w:vAlign w:val="bottom"/>
            <w:gridSpan w:val="3"/>
          </w:tcPr>
          <w:p>
            <w:pPr>
              <w:jc w:val="center"/>
              <w:ind w:right="20"/>
              <w:spacing w:after="0" w:line="153" w:lineRule="exact"/>
              <w:rPr>
                <w:sz w:val="20"/>
                <w:szCs w:val="20"/>
                <w:color w:val="auto"/>
              </w:rPr>
            </w:pPr>
            <w:r>
              <w:rPr>
                <w:rFonts w:ascii="Arial" w:cs="Arial" w:eastAsia="Arial" w:hAnsi="Arial"/>
                <w:sz w:val="14"/>
                <w:szCs w:val="14"/>
                <w:b w:val="1"/>
                <w:bCs w:val="1"/>
                <w:color w:val="auto"/>
                <w:w w:val="91"/>
              </w:rPr>
              <w:t>September 25,</w:t>
            </w: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0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9"/>
              </w:rPr>
              <w:t>September 25,</w:t>
            </w:r>
          </w:p>
        </w:tc>
        <w:tc>
          <w:tcPr>
            <w:tcW w:w="10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September 26,</w:t>
            </w:r>
          </w:p>
        </w:tc>
        <w:tc>
          <w:tcPr>
            <w:tcW w:w="120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1"/>
              </w:rPr>
              <w:t>September 25,</w:t>
            </w: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26,</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rPr>
              <w:t>171</w:t>
            </w:r>
          </w:p>
        </w:tc>
        <w:tc>
          <w:tcPr>
            <w:tcW w:w="1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171</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(29)</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680" w:type="dxa"/>
            <w:vAlign w:val="bottom"/>
            <w:gridSpan w:val="4"/>
          </w:tcPr>
          <w:p>
            <w:pPr>
              <w:spacing w:after="0"/>
              <w:rPr>
                <w:sz w:val="20"/>
                <w:szCs w:val="20"/>
                <w:color w:val="auto"/>
              </w:rPr>
            </w:pPr>
            <w:r>
              <w:rPr>
                <w:rFonts w:ascii="Arial" w:cs="Arial" w:eastAsia="Arial" w:hAnsi="Arial"/>
                <w:sz w:val="18"/>
                <w:szCs w:val="18"/>
                <w:color w:val="auto"/>
              </w:rPr>
              <w:t>See Note 1 for the fair value of our derivative asset.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gridSpan w:val="7"/>
          </w:tcPr>
          <w:p>
            <w:pPr>
              <w:spacing w:after="0"/>
              <w:rPr>
                <w:sz w:val="20"/>
                <w:szCs w:val="20"/>
                <w:color w:val="auto"/>
              </w:rPr>
            </w:pPr>
            <w:r>
              <w:rPr>
                <w:rFonts w:ascii="Arial" w:cs="Arial" w:eastAsia="Arial" w:hAnsi="Arial"/>
                <w:sz w:val="18"/>
                <w:szCs w:val="18"/>
                <w:b w:val="1"/>
                <w:bCs w:val="1"/>
                <w:color w:val="auto"/>
              </w:rPr>
              <w:t>5. OTHER ACCRUED EXPENSES AND CURRENT LIABILITIES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gridSpan w:val="9"/>
          </w:tcPr>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4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rPr>
              <w:t>September 25, 2019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b w:val="1"/>
                <w:bCs w:val="1"/>
                <w:color w:val="auto"/>
              </w:rPr>
              <w:t>December 26, 2018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Accrued sales and property taxes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2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Gift card liability</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358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Accrued legal settlements and professional fees</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38,639</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4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57"/>
        </w:trPr>
        <w:tc>
          <w:tcPr>
            <w:tcW w:w="46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2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27,594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51,764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8"/>
        <w:spacing w:after="0" w:line="345" w:lineRule="auto"/>
        <w:tabs>
          <w:tab w:leader="none" w:pos="178"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Company previously included the short-term portion deferred rent, tenant improvement allowance and lease escalation liabilities within “Other accrued expenses and current liabilities.” Upon its adoption of Topic 842 “Leases,” these balances were netted with the ROU Asset for the respective operating lease. See “Change in accounting policies" in Note 1 and Note 11 “Leases” for further details of the Company’s adoption of Topic 842.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NONCURRENT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1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September 25,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26, 2018</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rent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franchise and development fees</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5,224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4,140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noncurrent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20,024</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8"/>
        <w:spacing w:after="0" w:line="255" w:lineRule="auto"/>
        <w:tabs>
          <w:tab w:leader="none" w:pos="178"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accordance with the Company’s adoption of Topic 842 “Leases” all deferred rent balances are now included with in the Company’s ROU Asset. Refer to “Change in accounting policies” in Note 1 and Note 11 “Leases” for further details of the Company’s adoption of Topic 842.</w:t>
      </w:r>
    </w:p>
    <w:p>
      <w:pPr>
        <w:spacing w:after="0" w:line="46" w:lineRule="exact"/>
        <w:rPr>
          <w:rFonts w:ascii="Arial" w:cs="Arial" w:eastAsia="Arial" w:hAnsi="Arial"/>
          <w:sz w:val="13"/>
          <w:szCs w:val="13"/>
          <w:color w:val="auto"/>
        </w:rPr>
      </w:pPr>
    </w:p>
    <w:p>
      <w:pPr>
        <w:ind w:right="100" w:firstLine="8"/>
        <w:spacing w:after="0" w:line="414" w:lineRule="auto"/>
        <w:tabs>
          <w:tab w:leader="none" w:pos="178"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 previously included the non-current portion tenant improvement allowance and lease escalation liabilities within “Other noncurrent liabilities.” Upon its adoption of Topic 842 “Leases,” these balances were netted with the ROU Asset for the respective operating lease. See “Change in accounting policies” in Note 1 and Note 11 “Leases” for further details of the Company’s adoption of Topic 842.</w:t>
      </w:r>
    </w:p>
    <w:p>
      <w:pPr>
        <w:spacing w:after="0" w:line="384" w:lineRule="exact"/>
        <w:rPr>
          <w:sz w:val="20"/>
          <w:szCs w:val="20"/>
          <w:color w:val="auto"/>
        </w:rPr>
      </w:pPr>
    </w:p>
    <w:p>
      <w:pPr>
        <w:ind w:right="7780" w:firstLine="8"/>
        <w:spacing w:after="0" w:line="378"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283"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(the “Olvera Action”)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reached a settlement in principle on January 24, 2019 of all claims brought on behalf of approximately 32,000 putative class members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Action, as well as all claims for failure to pay overtime compensation, failure to provide meal periods and rest breaks, and failure to provide itemized wage statements brought in the class actions captioned </w:t>
      </w:r>
      <w:r>
        <w:rPr>
          <w:rFonts w:ascii="Arial" w:cs="Arial" w:eastAsia="Arial" w:hAnsi="Arial"/>
          <w:sz w:val="16"/>
          <w:szCs w:val="16"/>
          <w:u w:val="single" w:color="auto"/>
          <w:color w:val="auto"/>
        </w:rPr>
        <w:t>Martha Perez v. El Pollo Loco, Inc.</w:t>
      </w:r>
      <w:r>
        <w:rPr>
          <w:rFonts w:ascii="Arial" w:cs="Arial" w:eastAsia="Arial" w:hAnsi="Arial"/>
          <w:sz w:val="16"/>
          <w:szCs w:val="16"/>
          <w:color w:val="auto"/>
        </w:rPr>
        <w:t xml:space="preserve"> (Los Angeles Superior Court Case No. BC624001) (the “Perez Action”), </w:t>
      </w:r>
      <w:r>
        <w:rPr>
          <w:rFonts w:ascii="Arial" w:cs="Arial" w:eastAsia="Arial" w:hAnsi="Arial"/>
          <w:sz w:val="16"/>
          <w:szCs w:val="16"/>
          <w:u w:val="single" w:color="auto"/>
          <w:color w:val="auto"/>
        </w:rPr>
        <w:t>Maria Vega, et al. v. El Pollo Loco, Inc.</w:t>
      </w:r>
      <w:r>
        <w:rPr>
          <w:rFonts w:ascii="Arial" w:cs="Arial" w:eastAsia="Arial" w:hAnsi="Arial"/>
          <w:sz w:val="16"/>
          <w:szCs w:val="16"/>
          <w:color w:val="auto"/>
        </w:rPr>
        <w:t xml:space="preserve"> (Los Angeles Superior Court Case No. BC649719 (the “Vega Action”), and </w:t>
      </w:r>
      <w:r>
        <w:rPr>
          <w:rFonts w:ascii="Arial" w:cs="Arial" w:eastAsia="Arial" w:hAnsi="Arial"/>
          <w:sz w:val="16"/>
          <w:szCs w:val="16"/>
          <w:u w:val="single" w:color="auto"/>
          <w:color w:val="auto"/>
        </w:rPr>
        <w:t>Gonzalez v. El Pollo Loco, Inc.</w:t>
      </w:r>
      <w:r>
        <w:rPr>
          <w:rFonts w:ascii="Arial" w:cs="Arial" w:eastAsia="Arial" w:hAnsi="Arial"/>
          <w:sz w:val="16"/>
          <w:szCs w:val="16"/>
          <w:color w:val="auto"/>
        </w:rPr>
        <w:t xml:space="preserve"> (Los Angeles Superior Court Case No. BC712867) (the “Gonzalez Action”) and codified such settlement on April 26,</w:t>
      </w:r>
    </w:p>
    <w:p>
      <w:pPr>
        <w:spacing w:after="0" w:line="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2019. The settlement reached in the </w:t>
      </w:r>
      <w:r>
        <w:rPr>
          <w:rFonts w:ascii="Arial" w:cs="Arial" w:eastAsia="Arial" w:hAnsi="Arial"/>
          <w:sz w:val="17"/>
          <w:szCs w:val="17"/>
          <w:u w:val="single" w:color="auto"/>
          <w:color w:val="auto"/>
        </w:rPr>
        <w:t>Olvera 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Perez 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Vega Action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Gonzalez Action</w:t>
      </w:r>
      <w:r>
        <w:rPr>
          <w:rFonts w:ascii="Arial" w:cs="Arial" w:eastAsia="Arial" w:hAnsi="Arial"/>
          <w:sz w:val="17"/>
          <w:szCs w:val="17"/>
          <w:color w:val="auto"/>
        </w:rPr>
        <w:t xml:space="preserve"> resolves all potential claims from April 12, 2010 through April 1, 2019 that the Company’s California based restaurant employees may have against El Pollo Loco for the failure to pay all compensation owed, failure to pay overtime compensation, failure to provide meal periods and rest breaks and failure to provide itemized wage statements, among other wage and hour related claims. It is anticipated that the settlement will be approved by the Court in the first quarter of 2020. A $16.3 million accrual of an expected settlement amount related to this matter was recorded as of December 26, 2018. Purported class actions alleging wage and hour violations are commonly filed against California employers. The Company fully expects to have to defend against similar lawsuits in the future.</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6" w:right="239" w:bottom="1440" w:gutter="0" w:footer="0" w:header="0"/>
        </w:sectPr>
      </w:pPr>
    </w:p>
    <w:bookmarkStart w:id="22" w:name="page23"/>
    <w:bookmarkEnd w:id="22"/>
    <w:p>
      <w:pPr>
        <w:ind w:right="100"/>
        <w:spacing w:after="0" w:line="291" w:lineRule="auto"/>
        <w:rPr>
          <w:sz w:val="20"/>
          <w:szCs w:val="20"/>
          <w:color w:val="auto"/>
        </w:rPr>
      </w:pPr>
      <w:r>
        <w:rPr>
          <w:rFonts w:ascii="Arial" w:cs="Arial" w:eastAsia="Arial" w:hAnsi="Arial"/>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filed a petition for appellate review of a portion of the Court’s July 3, 2018 class certification order. On October 19, 2018 the Ninth Circuit Court of Appeals denied the petition.</w:t>
      </w:r>
    </w:p>
    <w:p>
      <w:pPr>
        <w:spacing w:after="0" w:line="5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January 23, 2019, the parties filed a Notice of Settlement and Joint Request for Order to Stay Proceedings, stating the parties have reached an agreement in principle to settle the claims and allegations in the action and are negotiating the terms of a Stipulation of Settlement. On January 24, 2019, the Court ordered that all proceedings in the action be stayed until April 3, 2019, on or before which the parties were to file a Stipulation of Settlement and a motion for preliminary approval of the settlement. On April 3, 2019, Plaintiffs filed the Stipulation of Settlement and a Motion for Preliminary Approval of the Settlement. On May 13, 2019, the Court granted preliminary approval of the settlement. On July 17, 2019, Plaintiffs filed the Motion for Final Approval of Class Action Settlement and Approval of Plan of Allocation and the Motion for an Award of Attorneys’ Fees and Expenses and Awards to Lead Plaintiffs Pursuant to 15 U.S.C. §78u-4(a)(4), which was granted by the Court on August 26, 2019. A $20.0 million accrual of an expected settlement amount related to this matter was recorded as of December 26, 2018 and all settlement payments were made during the thirty-nine weeks ended September 25, 2019</w:t>
      </w:r>
    </w:p>
    <w:p>
      <w:pPr>
        <w:spacing w:after="0" w:line="16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w:t>
      </w:r>
    </w:p>
    <w:p>
      <w:pPr>
        <w:spacing w:after="0" w:line="80"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w:t>
      </w:r>
    </w:p>
    <w:p>
      <w:pPr>
        <w:spacing w:after="0" w:line="2" w:lineRule="exact"/>
        <w:rPr>
          <w:sz w:val="20"/>
          <w:szCs w:val="20"/>
          <w:color w:val="auto"/>
        </w:rPr>
      </w:pPr>
    </w:p>
    <w:p>
      <w:pPr>
        <w:ind w:right="20" w:firstLine="8"/>
        <w:spacing w:after="0" w:line="268" w:lineRule="auto"/>
        <w:tabs>
          <w:tab w:leader="none" w:pos="21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provided for in the franchise agreement in connection with their solicitation and/or hiring of our general manager. This counterclaim was voluntarily dismissed by us, without prejudice, on February 27, 2017 and a related action before the San Bernardino Superior Court, titled </w:t>
      </w:r>
      <w:r>
        <w:rPr>
          <w:rFonts w:ascii="Arial" w:cs="Arial" w:eastAsia="Arial" w:hAnsi="Arial"/>
          <w:sz w:val="17"/>
          <w:szCs w:val="17"/>
          <w:u w:val="single" w:color="auto"/>
          <w:color w:val="auto"/>
        </w:rPr>
        <w:t>El Pollo Loco, Inc. v. EPL 3766, Inc., was dismissed on April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spacing w:after="0" w:line="288" w:lineRule="auto"/>
        <w:rPr>
          <w:sz w:val="20"/>
          <w:szCs w:val="20"/>
          <w:color w:val="auto"/>
        </w:rPr>
      </w:pPr>
      <w:r>
        <w:rPr>
          <w:rFonts w:ascii="Arial" w:cs="Arial" w:eastAsia="Arial" w:hAnsi="Arial"/>
          <w:sz w:val="16"/>
          <w:szCs w:val="16"/>
          <w:u w:val="single" w:color="auto"/>
          <w:color w:val="auto"/>
        </w:rPr>
        <w:t>6, 2017.</w:t>
      </w:r>
      <w:r>
        <w:rPr>
          <w:rFonts w:ascii="Arial" w:cs="Arial" w:eastAsia="Arial" w:hAnsi="Arial"/>
          <w:sz w:val="16"/>
          <w:szCs w:val="16"/>
          <w:color w:val="auto"/>
        </w:rPr>
        <w:t xml:space="preserve">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6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damages phase of the trial commenced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company-owned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 $4,356,600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has been no ruling on the causes of action for reformation due to mistake and unconscionability, and declaratory relief.</w:t>
      </w:r>
    </w:p>
    <w:p>
      <w:pPr>
        <w:spacing w:after="0" w:line="5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16, 2018, the Company filed a motion challenging the verdicts and a motion for new trial (both the liability phase and damages phase) and on September 2, 2018, the court denied those motions. On August 27, 2018, the Company filed a notice of appeal as to the entire judgment, and on October 5, 2018, the Company filed a second notice of appeal challenging the court’s denial of the post-trial motions. On September 5, 2018, we filed a motion to strike several of the costs of suit requested by the Plaintiffs, and on September 28, 2018, the Plaintiffs filed a motion for an award of attorneys’ fees. The court ruled on these motions on October 30, 2018, reducing many of the costs requested by the Plaintiffs and awarding $1,391,703 to the Plaintiffs for attorneys’ fees. We filed a notice of appeal relating to the trial court’s order relating to our motion to strike the costs and the Plaintiff’s motion for attorneys’ fees on November 6, 2018. The Company also filed motions to stay the injunctive part of the judgment pending the appeal, but both the trial court and the California Court of Appeal denied those motions. We filed a petition for review of these denials with the California Supreme Court, but the California Supreme Court denied our petition for review on November 14, 2018. The Company disputes liability and has filed an appeal of the trial court's judgment. The appeal on the merits is currently pending, with appellant’s opening brief due December 2, 2019. Briefing on the merits has not yet occurred in the appellate court. Based on the assessment by Management, together with our legal trial and appellate counsel, the Company believes that the loss is currently not probable under ASC 450 and as of September 25, 2019, no accrual has been made with regard to the verdict.</w:t>
      </w:r>
    </w:p>
    <w:p>
      <w:pPr>
        <w:spacing w:after="0" w:line="1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September 25, 2019, the Company’s total estimated commitment to purchase chicken was $4.2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 result of assigning the Company’s interest in obligations under real estate leases in connection with the sale of company-operated restaurants to some of the Company’s franchisees, the Company is contingently liable on five lease agreements. These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ind w:right="80"/>
        <w:spacing w:after="0" w:line="293" w:lineRule="auto"/>
        <w:rPr>
          <w:sz w:val="20"/>
          <w:szCs w:val="20"/>
          <w:color w:val="auto"/>
        </w:rPr>
      </w:pPr>
      <w:r>
        <w:rPr>
          <w:rFonts w:ascii="Arial" w:cs="Arial" w:eastAsia="Arial" w:hAnsi="Arial"/>
          <w:sz w:val="16"/>
          <w:szCs w:val="16"/>
          <w:color w:val="auto"/>
        </w:rPr>
        <w:t>leases have various terms, the latest of which expires in 2036. As of September 25, 2019, the potential amount of undiscounted payments the Company could be required to make in the event of non-payment by the primary lessee was $2.1 million. The present value of these potential payments discounted at the Company’s estimated pre-tax cost of debt at September 25, 2019 was $1.8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condensed consolidated financial statements related to these contingent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employment agreements with four of the officers of the Company. These agreements provide for minimum salary levels, possible annual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adjustments for cost-of-living changes, and incentive bonuses that are payable under certain business conditions. The Company incurred $0.1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of expenses related to employment agreements for the thirteen and thirty-nine weeks ended September 25, 2019, respectively, and incurred $0.8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of expenses related to employment agreements for the thirty-nine weeks ended September 26,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Basic earnings per share (“EPS”) is calculated using the weighted-average number of shares of common stock outstanding during the thirteen and thirty-nine weeks ended September 25, 2019 and September 26, 2018. Diluted EPS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EPS data for the periods indicated, which are 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6"/>
                <w:szCs w:val="16"/>
                <w:color w:val="auto"/>
              </w:rPr>
            </w:pPr>
          </w:p>
        </w:tc>
        <w:tc>
          <w:tcPr>
            <w:tcW w:w="25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9/25/2019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9/26/2018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9/25/2019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9/26/2018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6,402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21,402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14,416</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shares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outstanding—basic</w:t>
            </w:r>
          </w:p>
        </w:tc>
        <w:tc>
          <w:tcPr>
            <w:tcW w:w="2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35,859,502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38,602,658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37,484,372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38,516,792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outstanding—diluted</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36,397,368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39,205,090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38,173,097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39,102,130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share—basic</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0.37</w:t>
            </w: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rPr>
              <w:t>Anti-dilutive securities not considered in</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diluted EPS calculation</w:t>
            </w:r>
          </w:p>
        </w:tc>
        <w:tc>
          <w:tcPr>
            <w:tcW w:w="2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882,253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557,300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636,099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671,565</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basic and diluted share counts: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Arial" w:cs="Arial" w:eastAsia="Arial" w:hAnsi="Arial"/>
                <w:sz w:val="14"/>
                <w:szCs w:val="14"/>
                <w:b w:val="1"/>
                <w:bCs w:val="1"/>
                <w:color w:val="auto"/>
              </w:rPr>
              <w:t>Thirteen Weeks Ended</w:t>
            </w:r>
          </w:p>
        </w:tc>
        <w:tc>
          <w:tcPr>
            <w:tcW w:w="28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9/25/2019</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9/26/2018</w:t>
            </w:r>
          </w:p>
        </w:tc>
        <w:tc>
          <w:tcPr>
            <w:tcW w:w="14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9/25/2019</w:t>
            </w: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9/26/2018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outstanding—basic</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35,859,502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38,602,658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37,484,372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38,516,792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537,866</w:t>
            </w: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602,432</w:t>
            </w: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688,725</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585,338</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outstanding—diluted</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36,397,368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39,205,090</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38,173,097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39,102,130</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Trimaran Pollo Partners, L.L.C. (“LLC”) owns approximately 48.0%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amended and restated certificate of incorporation or amended and restated by-laws, and the Company’s winding up and dissolution. The Company’s amended and restated certificate of incorporation provides that (i) so long as LLC beneficially owns, directly or indirectly, more than 40% of the Company's common stock any member of the board of directors or the entire board of directors may be removed from office at any time with or without cause by the affirmative vote of a majority of the Company’s common stock, and (ii) prior to the date the LLC ceases to beneficially own, directly or indirectly, 40% or more of the Company’s common stock, stockholders representing at least 40% of the Company's common stock may call a special meeting of the Company's stockholders.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6" w:right="239" w:bottom="1440" w:gutter="0" w:footer="0" w:header="0"/>
        </w:sectPr>
      </w:pPr>
    </w:p>
    <w:bookmarkStart w:id="26" w:name="page27"/>
    <w:bookmarkEnd w:id="26"/>
    <w:p>
      <w:pPr>
        <w:ind w:right="6300" w:firstLine="8"/>
        <w:spacing w:after="0" w:line="488" w:lineRule="auto"/>
        <w:tabs>
          <w:tab w:leader="none" w:pos="27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REVENUE FROM CONTRACTS WITH CUSTOMERS Adoption of Topic 606, “Revenue from Contracts with Customers”</w:t>
      </w:r>
    </w:p>
    <w:p>
      <w:pPr>
        <w:spacing w:after="0" w:line="12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December 28, 2017, the Company adopted Topic 606 using the modified retrospective method applied to those contracts, which were not fully satisfied as of December 28, 2017. Results for reporting periods beginning after December 28, 2017, are presented under Topic 606, while prior period amounts are not adjusted and continue to be reported in accordance with our historic accounting under Topic 605.</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cumulative catch-up adjustment recorded to accumulated deficit, as of December 28, 2017, was approximately $3.5 million, net of taxes, related to franchise and development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3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offers a loyalty rewards program, which awards a customer one point for every $1 spent. When 100 points are accumulated a $10 reward to be used on future purchases is earned. If a customer does not earn or use points within a one-year period, their account is deactivated and all points expire. Additionally, if a $10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September 25, 2019 and December 26, 2018, the revenue allocated to loyalty points that have not been redeemed are $0.9 million and $1.0 million, respectively, which are reflected in the Company’s accompanying condensed consolidated balance sheets within other accrued expenses and current liabilities. The Company expects the loyalty points to be redeemed and recognized over a one-year period.</w:t>
      </w:r>
    </w:p>
    <w:p>
      <w:pPr>
        <w:spacing w:after="0" w:line="6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Discounted renewal option.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ind w:right="100"/>
        <w:spacing w:after="0" w:line="342" w:lineRule="auto"/>
        <w:rPr>
          <w:sz w:val="20"/>
          <w:szCs w:val="20"/>
          <w:color w:val="auto"/>
        </w:rPr>
      </w:pPr>
      <w:r>
        <w:rPr>
          <w:rFonts w:ascii="Arial" w:cs="Arial" w:eastAsia="Arial" w:hAnsi="Arial"/>
          <w:sz w:val="16"/>
          <w:szCs w:val="16"/>
          <w:color w:val="auto"/>
        </w:rPr>
        <w:t>exception, and do not require an estimate of future transaction price. Additionally, the Company is utilizing the practical expedient available under Topic 606 regarding disclosure of the aggregate amount of the transaction price allocated to the performance obligations that are unsatisfied for sales-based royalties.</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September 25, 2019, there were no performance obligations related to hardware services that were unsatisfied or partially satisfied.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source and market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Thirteen Weeks Ended</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Thirty-Nine Weeks Ended</w:t>
            </w:r>
          </w:p>
        </w:tc>
        <w:tc>
          <w:tcPr>
            <w:tcW w:w="0" w:type="dxa"/>
            <w:vAlign w:val="bottom"/>
          </w:tcPr>
          <w:p>
            <w:pPr>
              <w:spacing w:after="0"/>
              <w:rPr>
                <w:sz w:val="1"/>
                <w:szCs w:val="1"/>
                <w:color w:val="auto"/>
              </w:rPr>
            </w:pPr>
          </w:p>
        </w:tc>
      </w:tr>
      <w:tr>
        <w:trPr>
          <w:trHeight w:val="144"/>
        </w:trPr>
        <w:tc>
          <w:tcPr>
            <w:tcW w:w="6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25,</w:t>
            </w:r>
          </w:p>
        </w:tc>
        <w:tc>
          <w:tcPr>
            <w:tcW w:w="120" w:type="dxa"/>
            <w:vAlign w:val="bottom"/>
          </w:tcPr>
          <w:p>
            <w:pPr>
              <w:spacing w:after="0"/>
              <w:rPr>
                <w:sz w:val="12"/>
                <w:szCs w:val="12"/>
                <w:color w:val="auto"/>
              </w:rPr>
            </w:pPr>
          </w:p>
        </w:tc>
        <w:tc>
          <w:tcPr>
            <w:tcW w:w="90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w w:val="85"/>
              </w:rPr>
              <w:t>September 26,</w:t>
            </w:r>
          </w:p>
        </w:tc>
        <w:tc>
          <w:tcPr>
            <w:tcW w:w="0" w:type="dxa"/>
            <w:vAlign w:val="bottom"/>
          </w:tcPr>
          <w:p>
            <w:pPr>
              <w:spacing w:after="0"/>
              <w:rPr>
                <w:sz w:val="1"/>
                <w:szCs w:val="1"/>
                <w:color w:val="auto"/>
              </w:rPr>
            </w:pPr>
          </w:p>
        </w:tc>
      </w:tr>
      <w:tr>
        <w:trPr>
          <w:trHeight w:val="174"/>
        </w:trPr>
        <w:tc>
          <w:tcPr>
            <w:tcW w:w="674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w w:val="90"/>
              </w:rPr>
              <w:t>September 25, 2019</w:t>
            </w: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w w:val="97"/>
              </w:rPr>
              <w:t>September 26, 2018</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0"/>
        </w:trPr>
        <w:tc>
          <w:tcPr>
            <w:tcW w:w="6740" w:type="dxa"/>
            <w:vAlign w:val="bottom"/>
          </w:tcPr>
          <w:p>
            <w:pPr>
              <w:ind w:left="40"/>
              <w:spacing w:after="0"/>
              <w:rPr>
                <w:sz w:val="20"/>
                <w:szCs w:val="20"/>
                <w:color w:val="auto"/>
              </w:rPr>
            </w:pPr>
            <w:r>
              <w:rPr>
                <w:rFonts w:ascii="Arial" w:cs="Arial" w:eastAsia="Arial" w:hAnsi="Arial"/>
                <w:sz w:val="13"/>
                <w:szCs w:val="13"/>
                <w:b w:val="1"/>
                <w:bCs w:val="1"/>
                <w:color w:val="auto"/>
              </w:rPr>
              <w:t>Core Market</w:t>
            </w:r>
            <w:r>
              <w:rPr>
                <w:rFonts w:ascii="Arial" w:cs="Arial" w:eastAsia="Arial" w:hAnsi="Arial"/>
                <w:sz w:val="8"/>
                <w:szCs w:val="8"/>
                <w:b w:val="1"/>
                <w:bCs w:val="1"/>
                <w:color w:val="auto"/>
              </w:rPr>
              <w:t>(1)</w:t>
            </w:r>
            <w:r>
              <w:rPr>
                <w:rFonts w:ascii="Arial" w:cs="Arial" w:eastAsia="Arial" w:hAnsi="Arial"/>
                <w:sz w:val="13"/>
                <w:szCs w:val="13"/>
                <w:b w:val="1"/>
                <w:bCs w:val="1"/>
                <w:color w:val="auto"/>
              </w:rPr>
              <w:t>:</w:t>
            </w: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Company-operated restaurant revenue</w:t>
            </w:r>
          </w:p>
        </w:tc>
        <w:tc>
          <w:tcPr>
            <w:tcW w:w="3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90,277</w:t>
            </w:r>
          </w:p>
        </w:tc>
        <w:tc>
          <w:tcPr>
            <w:tcW w:w="660" w:type="dxa"/>
            <w:vAlign w:val="bottom"/>
            <w:vMerge w:val="restart"/>
            <w:shd w:val="clear" w:color="auto" w:fill="CCEEFF"/>
          </w:tcPr>
          <w:p>
            <w:pPr>
              <w:jc w:val="right"/>
              <w:ind w:right="43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87,634</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264,391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257,437</w:t>
            </w:r>
          </w:p>
        </w:tc>
        <w:tc>
          <w:tcPr>
            <w:tcW w:w="0" w:type="dxa"/>
            <w:vAlign w:val="bottom"/>
          </w:tcPr>
          <w:p>
            <w:pPr>
              <w:spacing w:after="0"/>
              <w:rPr>
                <w:sz w:val="1"/>
                <w:szCs w:val="1"/>
                <w:color w:val="auto"/>
              </w:rPr>
            </w:pPr>
          </w:p>
        </w:tc>
      </w:tr>
      <w:tr>
        <w:trPr>
          <w:trHeight w:val="97"/>
        </w:trPr>
        <w:tc>
          <w:tcPr>
            <w:tcW w:w="674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380"/>
              <w:spacing w:after="0"/>
              <w:rPr>
                <w:sz w:val="20"/>
                <w:szCs w:val="20"/>
                <w:color w:val="auto"/>
              </w:rPr>
            </w:pPr>
            <w:r>
              <w:rPr>
                <w:rFonts w:ascii="Arial" w:cs="Arial" w:eastAsia="Arial" w:hAnsi="Arial"/>
                <w:sz w:val="13"/>
                <w:szCs w:val="13"/>
                <w:color w:val="auto"/>
              </w:rPr>
              <w:t>Franchise revenue</w:t>
            </w:r>
          </w:p>
        </w:tc>
        <w:tc>
          <w:tcPr>
            <w:tcW w:w="360" w:type="dxa"/>
            <w:vAlign w:val="bottom"/>
          </w:tcPr>
          <w:p>
            <w:pPr>
              <w:spacing w:after="0"/>
              <w:rPr>
                <w:sz w:val="15"/>
                <w:szCs w:val="15"/>
                <w:color w:val="auto"/>
              </w:rPr>
            </w:pP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3,696</w:t>
            </w:r>
          </w:p>
        </w:tc>
        <w:tc>
          <w:tcPr>
            <w:tcW w:w="660" w:type="dxa"/>
            <w:vAlign w:val="bottom"/>
          </w:tcPr>
          <w:p>
            <w:pPr>
              <w:spacing w:after="0"/>
              <w:rPr>
                <w:sz w:val="15"/>
                <w:szCs w:val="15"/>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3,712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11,369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10,697</w:t>
            </w:r>
          </w:p>
        </w:tc>
        <w:tc>
          <w:tcPr>
            <w:tcW w:w="0" w:type="dxa"/>
            <w:vAlign w:val="bottom"/>
          </w:tcPr>
          <w:p>
            <w:pPr>
              <w:spacing w:after="0"/>
              <w:rPr>
                <w:sz w:val="1"/>
                <w:szCs w:val="1"/>
                <w:color w:val="auto"/>
              </w:rPr>
            </w:pPr>
          </w:p>
        </w:tc>
      </w:tr>
      <w:tr>
        <w:trPr>
          <w:trHeight w:val="89"/>
        </w:trPr>
        <w:tc>
          <w:tcPr>
            <w:tcW w:w="6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Franchise advertising fee revenue</w:t>
            </w:r>
          </w:p>
        </w:tc>
        <w:tc>
          <w:tcPr>
            <w:tcW w:w="3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2,809</w:t>
            </w:r>
          </w:p>
        </w:tc>
        <w:tc>
          <w:tcPr>
            <w:tcW w:w="6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2,801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8,332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8,179</w:t>
            </w:r>
          </w:p>
        </w:tc>
        <w:tc>
          <w:tcPr>
            <w:tcW w:w="0" w:type="dxa"/>
            <w:vAlign w:val="bottom"/>
          </w:tcPr>
          <w:p>
            <w:pPr>
              <w:spacing w:after="0"/>
              <w:rPr>
                <w:sz w:val="1"/>
                <w:szCs w:val="1"/>
                <w:color w:val="auto"/>
              </w:rPr>
            </w:pPr>
          </w:p>
        </w:tc>
      </w:tr>
      <w:tr>
        <w:trPr>
          <w:trHeight w:val="97"/>
        </w:trPr>
        <w:tc>
          <w:tcPr>
            <w:tcW w:w="674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vMerge w:val="continue"/>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740" w:type="dxa"/>
            <w:vAlign w:val="bottom"/>
          </w:tcPr>
          <w:p>
            <w:pPr>
              <w:ind w:left="600"/>
              <w:spacing w:after="0"/>
              <w:rPr>
                <w:sz w:val="20"/>
                <w:szCs w:val="20"/>
                <w:color w:val="auto"/>
              </w:rPr>
            </w:pPr>
            <w:r>
              <w:rPr>
                <w:rFonts w:ascii="Arial" w:cs="Arial" w:eastAsia="Arial" w:hAnsi="Arial"/>
                <w:sz w:val="13"/>
                <w:szCs w:val="13"/>
                <w:color w:val="auto"/>
              </w:rPr>
              <w:t>Total core market</w:t>
            </w:r>
          </w:p>
        </w:tc>
        <w:tc>
          <w:tcPr>
            <w:tcW w:w="3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96,782</w:t>
            </w:r>
          </w:p>
        </w:tc>
        <w:tc>
          <w:tcPr>
            <w:tcW w:w="660" w:type="dxa"/>
            <w:vAlign w:val="bottom"/>
            <w:vMerge w:val="restart"/>
          </w:tcPr>
          <w:p>
            <w:pPr>
              <w:jc w:val="right"/>
              <w:ind w:right="437"/>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94,147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284,092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276,313</w:t>
            </w:r>
          </w:p>
        </w:tc>
        <w:tc>
          <w:tcPr>
            <w:tcW w:w="0" w:type="dxa"/>
            <w:vAlign w:val="bottom"/>
          </w:tcPr>
          <w:p>
            <w:pPr>
              <w:spacing w:after="0"/>
              <w:rPr>
                <w:sz w:val="1"/>
                <w:szCs w:val="1"/>
                <w:color w:val="auto"/>
              </w:rPr>
            </w:pPr>
          </w:p>
        </w:tc>
      </w:tr>
      <w:tr>
        <w:trPr>
          <w:trHeight w:val="104"/>
        </w:trPr>
        <w:tc>
          <w:tcPr>
            <w:tcW w:w="67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7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Non-Core Market</w:t>
            </w:r>
            <w:r>
              <w:rPr>
                <w:rFonts w:ascii="Arial" w:cs="Arial" w:eastAsia="Arial" w:hAnsi="Arial"/>
                <w:sz w:val="8"/>
                <w:szCs w:val="8"/>
                <w:b w:val="1"/>
                <w:bCs w:val="1"/>
                <w:color w:val="auto"/>
              </w:rPr>
              <w:t>(2)</w:t>
            </w:r>
            <w:r>
              <w:rPr>
                <w:rFonts w:ascii="Arial" w:cs="Arial" w:eastAsia="Arial" w:hAnsi="Arial"/>
                <w:sz w:val="13"/>
                <w:szCs w:val="13"/>
                <w:b w:val="1"/>
                <w:bCs w:val="1"/>
                <w:color w:val="auto"/>
              </w:rPr>
              <w:t>:</w:t>
            </w: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6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380"/>
              <w:spacing w:after="0"/>
              <w:rPr>
                <w:sz w:val="20"/>
                <w:szCs w:val="20"/>
                <w:color w:val="auto"/>
              </w:rPr>
            </w:pPr>
            <w:r>
              <w:rPr>
                <w:rFonts w:ascii="Arial" w:cs="Arial" w:eastAsia="Arial" w:hAnsi="Arial"/>
                <w:sz w:val="13"/>
                <w:szCs w:val="13"/>
                <w:color w:val="auto"/>
              </w:rPr>
              <w:t>Company-operated restaurant revenue</w:t>
            </w:r>
          </w:p>
        </w:tc>
        <w:tc>
          <w:tcPr>
            <w:tcW w:w="3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8,775</w:t>
            </w:r>
          </w:p>
        </w:tc>
        <w:tc>
          <w:tcPr>
            <w:tcW w:w="660" w:type="dxa"/>
            <w:vAlign w:val="bottom"/>
            <w:vMerge w:val="restart"/>
          </w:tcPr>
          <w:p>
            <w:pPr>
              <w:jc w:val="right"/>
              <w:ind w:right="437"/>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12,390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31,950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36,767</w:t>
            </w:r>
          </w:p>
        </w:tc>
        <w:tc>
          <w:tcPr>
            <w:tcW w:w="0" w:type="dxa"/>
            <w:vAlign w:val="bottom"/>
          </w:tcPr>
          <w:p>
            <w:pPr>
              <w:spacing w:after="0"/>
              <w:rPr>
                <w:sz w:val="1"/>
                <w:szCs w:val="1"/>
                <w:color w:val="auto"/>
              </w:rPr>
            </w:pPr>
          </w:p>
        </w:tc>
      </w:tr>
      <w:tr>
        <w:trPr>
          <w:trHeight w:val="89"/>
        </w:trPr>
        <w:tc>
          <w:tcPr>
            <w:tcW w:w="67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Franchise revenue</w:t>
            </w:r>
          </w:p>
        </w:tc>
        <w:tc>
          <w:tcPr>
            <w:tcW w:w="3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3,577</w:t>
            </w:r>
          </w:p>
        </w:tc>
        <w:tc>
          <w:tcPr>
            <w:tcW w:w="6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2,953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10,266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8,627</w:t>
            </w:r>
          </w:p>
        </w:tc>
        <w:tc>
          <w:tcPr>
            <w:tcW w:w="0" w:type="dxa"/>
            <w:vAlign w:val="bottom"/>
          </w:tcPr>
          <w:p>
            <w:pPr>
              <w:spacing w:after="0"/>
              <w:rPr>
                <w:sz w:val="1"/>
                <w:szCs w:val="1"/>
                <w:color w:val="auto"/>
              </w:rPr>
            </w:pPr>
          </w:p>
        </w:tc>
      </w:tr>
      <w:tr>
        <w:trPr>
          <w:trHeight w:val="97"/>
        </w:trPr>
        <w:tc>
          <w:tcPr>
            <w:tcW w:w="67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6740" w:type="dxa"/>
            <w:vAlign w:val="bottom"/>
          </w:tcPr>
          <w:p>
            <w:pPr>
              <w:ind w:left="380"/>
              <w:spacing w:after="0"/>
              <w:rPr>
                <w:sz w:val="20"/>
                <w:szCs w:val="20"/>
                <w:color w:val="auto"/>
              </w:rPr>
            </w:pPr>
            <w:r>
              <w:rPr>
                <w:rFonts w:ascii="Arial" w:cs="Arial" w:eastAsia="Arial" w:hAnsi="Arial"/>
                <w:sz w:val="13"/>
                <w:szCs w:val="13"/>
                <w:color w:val="auto"/>
              </w:rPr>
              <w:t>Franchise advertising fee revenue</w:t>
            </w:r>
          </w:p>
        </w:tc>
        <w:tc>
          <w:tcPr>
            <w:tcW w:w="360" w:type="dxa"/>
            <w:vAlign w:val="bottom"/>
          </w:tcPr>
          <w:p>
            <w:pPr>
              <w:spacing w:after="0"/>
              <w:rPr>
                <w:sz w:val="15"/>
                <w:szCs w:val="15"/>
                <w:color w:val="auto"/>
              </w:rPr>
            </w:pP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2,933</w:t>
            </w:r>
          </w:p>
        </w:tc>
        <w:tc>
          <w:tcPr>
            <w:tcW w:w="660" w:type="dxa"/>
            <w:vAlign w:val="bottom"/>
          </w:tcPr>
          <w:p>
            <w:pPr>
              <w:spacing w:after="0"/>
              <w:rPr>
                <w:sz w:val="15"/>
                <w:szCs w:val="15"/>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2,688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8,476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7,860</w:t>
            </w:r>
          </w:p>
        </w:tc>
        <w:tc>
          <w:tcPr>
            <w:tcW w:w="0" w:type="dxa"/>
            <w:vAlign w:val="bottom"/>
          </w:tcPr>
          <w:p>
            <w:pPr>
              <w:spacing w:after="0"/>
              <w:rPr>
                <w:sz w:val="1"/>
                <w:szCs w:val="1"/>
                <w:color w:val="auto"/>
              </w:rPr>
            </w:pPr>
          </w:p>
        </w:tc>
      </w:tr>
      <w:tr>
        <w:trPr>
          <w:trHeight w:val="91"/>
        </w:trPr>
        <w:tc>
          <w:tcPr>
            <w:tcW w:w="674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67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Total non-core market</w:t>
            </w:r>
          </w:p>
        </w:tc>
        <w:tc>
          <w:tcPr>
            <w:tcW w:w="3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15,285</w:t>
            </w:r>
          </w:p>
        </w:tc>
        <w:tc>
          <w:tcPr>
            <w:tcW w:w="660" w:type="dxa"/>
            <w:vAlign w:val="bottom"/>
            <w:vMerge w:val="restart"/>
            <w:shd w:val="clear" w:color="auto" w:fill="CCEEFF"/>
          </w:tcPr>
          <w:p>
            <w:pPr>
              <w:jc w:val="right"/>
              <w:ind w:right="43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18,031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50,692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53,254</w:t>
            </w:r>
          </w:p>
        </w:tc>
        <w:tc>
          <w:tcPr>
            <w:tcW w:w="0" w:type="dxa"/>
            <w:vAlign w:val="bottom"/>
          </w:tcPr>
          <w:p>
            <w:pPr>
              <w:spacing w:after="0"/>
              <w:rPr>
                <w:sz w:val="1"/>
                <w:szCs w:val="1"/>
                <w:color w:val="auto"/>
              </w:rPr>
            </w:pPr>
          </w:p>
        </w:tc>
      </w:tr>
      <w:tr>
        <w:trPr>
          <w:trHeight w:val="116"/>
        </w:trPr>
        <w:tc>
          <w:tcPr>
            <w:tcW w:w="6740" w:type="dxa"/>
            <w:vAlign w:val="bottom"/>
            <w:shd w:val="clear" w:color="auto" w:fill="CCEEFF"/>
          </w:tcPr>
          <w:p>
            <w:pPr>
              <w:spacing w:after="0"/>
              <w:rPr>
                <w:sz w:val="9"/>
                <w:szCs w:val="9"/>
                <w:color w:val="auto"/>
              </w:rPr>
            </w:pPr>
          </w:p>
        </w:tc>
        <w:tc>
          <w:tcPr>
            <w:tcW w:w="360" w:type="dxa"/>
            <w:vAlign w:val="bottom"/>
            <w:tcBorders>
              <w:bottom w:val="single" w:sz="8" w:color="auto"/>
            </w:tcBorders>
            <w:vMerge w:val="continue"/>
            <w:shd w:val="clear" w:color="auto" w:fill="CCEEFF"/>
          </w:tcPr>
          <w:p>
            <w:pPr>
              <w:spacing w:after="0"/>
              <w:rPr>
                <w:sz w:val="9"/>
                <w:szCs w:val="9"/>
                <w:color w:val="auto"/>
              </w:rPr>
            </w:pPr>
          </w:p>
        </w:tc>
        <w:tc>
          <w:tcPr>
            <w:tcW w:w="860" w:type="dxa"/>
            <w:vAlign w:val="bottom"/>
            <w:tcBorders>
              <w:bottom w:val="single" w:sz="8" w:color="auto"/>
            </w:tcBorders>
            <w:vMerge w:val="continue"/>
            <w:shd w:val="clear" w:color="auto" w:fill="CCEEFF"/>
          </w:tcPr>
          <w:p>
            <w:pPr>
              <w:spacing w:after="0"/>
              <w:rPr>
                <w:sz w:val="9"/>
                <w:szCs w:val="9"/>
                <w:color w:val="auto"/>
              </w:rPr>
            </w:pPr>
          </w:p>
        </w:tc>
        <w:tc>
          <w:tcPr>
            <w:tcW w:w="660" w:type="dxa"/>
            <w:vAlign w:val="bottom"/>
            <w:tcBorders>
              <w:bottom w:val="single" w:sz="8" w:color="auto"/>
            </w:tcBorders>
            <w:vMerge w:val="continue"/>
            <w:shd w:val="clear" w:color="auto" w:fill="CCEEFF"/>
          </w:tcPr>
          <w:p>
            <w:pPr>
              <w:spacing w:after="0"/>
              <w:rPr>
                <w:sz w:val="9"/>
                <w:szCs w:val="9"/>
                <w:color w:val="auto"/>
              </w:rPr>
            </w:pPr>
          </w:p>
        </w:tc>
        <w:tc>
          <w:tcPr>
            <w:tcW w:w="5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740" w:type="dxa"/>
            <w:vAlign w:val="bottom"/>
          </w:tcPr>
          <w:p>
            <w:pPr>
              <w:ind w:left="40"/>
              <w:spacing w:after="0"/>
              <w:rPr>
                <w:sz w:val="20"/>
                <w:szCs w:val="20"/>
                <w:color w:val="auto"/>
              </w:rPr>
            </w:pPr>
            <w:r>
              <w:rPr>
                <w:rFonts w:ascii="Arial" w:cs="Arial" w:eastAsia="Arial" w:hAnsi="Arial"/>
                <w:sz w:val="13"/>
                <w:szCs w:val="13"/>
                <w:b w:val="1"/>
                <w:bCs w:val="1"/>
                <w:color w:val="auto"/>
              </w:rPr>
              <w:t>Total revenue</w:t>
            </w:r>
          </w:p>
        </w:tc>
        <w:tc>
          <w:tcPr>
            <w:tcW w:w="3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112,067</w:t>
            </w:r>
          </w:p>
        </w:tc>
        <w:tc>
          <w:tcPr>
            <w:tcW w:w="660" w:type="dxa"/>
            <w:vAlign w:val="bottom"/>
            <w:vMerge w:val="restart"/>
          </w:tcPr>
          <w:p>
            <w:pPr>
              <w:jc w:val="right"/>
              <w:ind w:right="437"/>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3"/>
              </w:rPr>
              <w:t>112,178</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334,784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329,567</w:t>
            </w:r>
          </w:p>
        </w:tc>
        <w:tc>
          <w:tcPr>
            <w:tcW w:w="0" w:type="dxa"/>
            <w:vAlign w:val="bottom"/>
          </w:tcPr>
          <w:p>
            <w:pPr>
              <w:spacing w:after="0"/>
              <w:rPr>
                <w:sz w:val="1"/>
                <w:szCs w:val="1"/>
                <w:color w:val="auto"/>
              </w:rPr>
            </w:pPr>
          </w:p>
        </w:tc>
      </w:tr>
      <w:tr>
        <w:trPr>
          <w:trHeight w:val="109"/>
        </w:trPr>
        <w:tc>
          <w:tcPr>
            <w:tcW w:w="6740" w:type="dxa"/>
            <w:vAlign w:val="bottom"/>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Core Market includes markets with existing company-operated restaurants at the time of the Company's Initial Public Offering ("IPO") on July 28, 2014.</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Non-Core Market includes markets entered into by the Company subsequent to the IPO date.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geographic market:</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3"/>
                <w:szCs w:val="13"/>
                <w:b w:val="1"/>
                <w:bCs w:val="1"/>
                <w:color w:val="auto"/>
              </w:rPr>
              <w:t>Thirteen Weeks Ended</w:t>
            </w:r>
          </w:p>
        </w:tc>
        <w:tc>
          <w:tcPr>
            <w:tcW w:w="2640" w:type="dxa"/>
            <w:vAlign w:val="bottom"/>
            <w:tcBorders>
              <w:bottom w:val="single" w:sz="8" w:color="auto"/>
            </w:tcBorders>
            <w:gridSpan w:val="2"/>
          </w:tcPr>
          <w:p>
            <w:pPr>
              <w:jc w:val="right"/>
              <w:ind w:right="517"/>
              <w:spacing w:after="0"/>
              <w:rPr>
                <w:sz w:val="20"/>
                <w:szCs w:val="20"/>
                <w:color w:val="auto"/>
              </w:rPr>
            </w:pPr>
            <w:r>
              <w:rPr>
                <w:rFonts w:ascii="Arial" w:cs="Arial" w:eastAsia="Arial" w:hAnsi="Arial"/>
                <w:sz w:val="13"/>
                <w:szCs w:val="13"/>
                <w:b w:val="1"/>
                <w:bCs w:val="1"/>
                <w:color w:val="auto"/>
              </w:rPr>
              <w:t>Thirty-Nine Weeks Ended</w:t>
            </w: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1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September 25,</w:t>
            </w:r>
          </w:p>
        </w:tc>
        <w:tc>
          <w:tcPr>
            <w:tcW w:w="1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5"/>
              </w:rPr>
              <w:t>September 26, 2018</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September 25, 2019</w:t>
            </w: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September 26, 2018</w:t>
            </w:r>
          </w:p>
        </w:tc>
        <w:tc>
          <w:tcPr>
            <w:tcW w:w="0" w:type="dxa"/>
            <w:vAlign w:val="bottom"/>
          </w:tcPr>
          <w:p>
            <w:pPr>
              <w:spacing w:after="0"/>
              <w:rPr>
                <w:sz w:val="1"/>
                <w:szCs w:val="1"/>
                <w:color w:val="auto"/>
              </w:rPr>
            </w:pPr>
          </w:p>
        </w:tc>
      </w:tr>
      <w:tr>
        <w:trPr>
          <w:trHeight w:val="270"/>
        </w:trPr>
        <w:tc>
          <w:tcPr>
            <w:tcW w:w="6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Greater Los Angeles area market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69.3%</w:t>
            </w:r>
          </w:p>
        </w:tc>
        <w:tc>
          <w:tcPr>
            <w:tcW w:w="1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markets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30.7%</w:t>
            </w: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60"/>
        </w:trPr>
        <w:tc>
          <w:tcPr>
            <w:tcW w:w="62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Total</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1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100%</w:t>
            </w:r>
          </w:p>
        </w:tc>
        <w:tc>
          <w:tcPr>
            <w:tcW w:w="13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100%</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104"/>
        </w:trPr>
        <w:tc>
          <w:tcPr>
            <w:tcW w:w="624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360" w:type="dxa"/>
            <w:vAlign w:val="bottom"/>
            <w:tcBorders>
              <w:bottom w:val="single" w:sz="8" w:color="auto"/>
            </w:tcBorders>
            <w:vMerge w:val="continue"/>
            <w:shd w:val="clear" w:color="auto" w:fill="CCEEFF"/>
          </w:tcPr>
          <w:p>
            <w:pPr>
              <w:spacing w:after="0"/>
              <w:rPr>
                <w:sz w:val="9"/>
                <w:szCs w:val="9"/>
                <w:color w:val="auto"/>
              </w:rPr>
            </w:pPr>
          </w:p>
        </w:tc>
        <w:tc>
          <w:tcPr>
            <w:tcW w:w="1340" w:type="dxa"/>
            <w:vAlign w:val="bottom"/>
            <w:tcBorders>
              <w:bottom w:val="single" w:sz="8" w:color="auto"/>
            </w:tcBorders>
            <w:vMerge w:val="continue"/>
            <w:shd w:val="clear" w:color="auto" w:fill="CCEEFF"/>
          </w:tcPr>
          <w:p>
            <w:pPr>
              <w:spacing w:after="0"/>
              <w:rPr>
                <w:sz w:val="9"/>
                <w:szCs w:val="9"/>
                <w:color w:val="auto"/>
              </w:rPr>
            </w:pPr>
          </w:p>
        </w:tc>
        <w:tc>
          <w:tcPr>
            <w:tcW w:w="13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information about the change in the franchise contract liability balances during the thirty-nine weeks ended September 25, 2019 and September 26, 2018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26, 2018</w:t>
            </w:r>
          </w:p>
        </w:tc>
        <w:tc>
          <w:tcPr>
            <w:tcW w:w="66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5,593</w:t>
            </w:r>
          </w:p>
        </w:tc>
      </w:tr>
      <w:tr>
        <w:trPr>
          <w:trHeight w:val="181"/>
        </w:trPr>
        <w:tc>
          <w:tcPr>
            <w:tcW w:w="9820" w:type="dxa"/>
            <w:vAlign w:val="bottom"/>
          </w:tcPr>
          <w:p>
            <w:pPr>
              <w:ind w:left="380"/>
              <w:spacing w:after="0"/>
              <w:rPr>
                <w:sz w:val="20"/>
                <w:szCs w:val="20"/>
                <w:color w:val="auto"/>
              </w:rPr>
            </w:pPr>
            <w:r>
              <w:rPr>
                <w:rFonts w:ascii="Arial" w:cs="Arial" w:eastAsia="Arial" w:hAnsi="Arial"/>
                <w:sz w:val="13"/>
                <w:szCs w:val="13"/>
                <w:color w:val="auto"/>
              </w:rPr>
              <w:t>Revenue recognized - beginning balance</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(283)</w:t>
            </w:r>
          </w:p>
        </w:tc>
      </w:tr>
      <w:tr>
        <w:trPr>
          <w:trHeight w:val="224"/>
        </w:trPr>
        <w:tc>
          <w:tcPr>
            <w:tcW w:w="9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Additional contract liability</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1,367</w:t>
            </w:r>
          </w:p>
        </w:tc>
      </w:tr>
      <w:tr>
        <w:trPr>
          <w:trHeight w:val="183"/>
        </w:trPr>
        <w:tc>
          <w:tcPr>
            <w:tcW w:w="98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Revenue recognized - additional contract liability</w:t>
            </w: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r>
      <w:tr>
        <w:trPr>
          <w:trHeight w:val="210"/>
        </w:trPr>
        <w:tc>
          <w:tcPr>
            <w:tcW w:w="9820" w:type="dxa"/>
            <w:vAlign w:val="bottom"/>
            <w:tcBorders>
              <w:bottom w:val="single" w:sz="8" w:color="CCEEFF"/>
            </w:tcBorders>
            <w:shd w:val="clear" w:color="auto" w:fill="CCEEFF"/>
          </w:tcPr>
          <w:p>
            <w:pPr>
              <w:ind w:left="8740"/>
              <w:spacing w:after="0"/>
              <w:rPr>
                <w:sz w:val="20"/>
                <w:szCs w:val="20"/>
                <w:color w:val="auto"/>
              </w:rPr>
            </w:pPr>
            <w:r>
              <w:rPr>
                <w:rFonts w:ascii="Arial" w:cs="Arial" w:eastAsia="Arial" w:hAnsi="Arial"/>
                <w:sz w:val="13"/>
                <w:szCs w:val="13"/>
                <w:b w:val="1"/>
                <w:bCs w:val="1"/>
                <w:color w:val="auto"/>
                <w:w w:val="87"/>
              </w:rPr>
              <w:t>September 25, 2019</w:t>
            </w:r>
          </w:p>
        </w:tc>
        <w:tc>
          <w:tcPr>
            <w:tcW w:w="66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6,466</w:t>
            </w: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2"/>
        </w:trPr>
        <w:tc>
          <w:tcPr>
            <w:tcW w:w="9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16"/>
        </w:trPr>
        <w:tc>
          <w:tcPr>
            <w:tcW w:w="98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27, 2017</w:t>
            </w:r>
          </w:p>
        </w:tc>
        <w:tc>
          <w:tcPr>
            <w:tcW w:w="66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5,799</w:t>
            </w:r>
          </w:p>
        </w:tc>
      </w:tr>
      <w:tr>
        <w:trPr>
          <w:trHeight w:val="181"/>
        </w:trPr>
        <w:tc>
          <w:tcPr>
            <w:tcW w:w="9820" w:type="dxa"/>
            <w:vAlign w:val="bottom"/>
          </w:tcPr>
          <w:p>
            <w:pPr>
              <w:ind w:left="380"/>
              <w:spacing w:after="0"/>
              <w:rPr>
                <w:sz w:val="20"/>
                <w:szCs w:val="20"/>
                <w:color w:val="auto"/>
              </w:rPr>
            </w:pPr>
            <w:r>
              <w:rPr>
                <w:rFonts w:ascii="Arial" w:cs="Arial" w:eastAsia="Arial" w:hAnsi="Arial"/>
                <w:sz w:val="13"/>
                <w:szCs w:val="13"/>
                <w:color w:val="auto"/>
              </w:rPr>
              <w:t>Revenue recognized - beginning balance</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(260)</w:t>
            </w:r>
          </w:p>
        </w:tc>
      </w:tr>
      <w:tr>
        <w:trPr>
          <w:trHeight w:val="224"/>
        </w:trPr>
        <w:tc>
          <w:tcPr>
            <w:tcW w:w="9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Additional contract liability</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277</w:t>
            </w:r>
          </w:p>
        </w:tc>
      </w:tr>
      <w:tr>
        <w:trPr>
          <w:trHeight w:val="183"/>
        </w:trPr>
        <w:tc>
          <w:tcPr>
            <w:tcW w:w="98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Revenue recognized - additional contract liability</w:t>
            </w: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21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September 26, 2018</w:t>
            </w:r>
          </w:p>
        </w:tc>
        <w:tc>
          <w:tcPr>
            <w:tcW w:w="66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5,811</w:t>
            </w: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5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thirty-nine weeks ended September 25, 2019, there was an increase to the contract liability balance due to the Company's completion of the sale of four company-operated restaurants within the San Francisco area to an existing franchisee and seven company-operated restaurants in the Phoenix area to another existing franchisee. This resulted in an additional contract liability of $0.7 million, relating to allocation of the transaction price to various performance obligations under the applicable contracts of the sale.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illustrates the estimated revenue to be recognized in future periods related to performance obligations under the applicable contracts that are unsatisfied as of September 25, 2019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160" w:type="dxa"/>
            <w:vAlign w:val="bottom"/>
          </w:tcPr>
          <w:p>
            <w:pPr>
              <w:ind w:left="40"/>
              <w:spacing w:after="0"/>
              <w:rPr>
                <w:sz w:val="20"/>
                <w:szCs w:val="20"/>
                <w:color w:val="auto"/>
              </w:rPr>
            </w:pPr>
            <w:r>
              <w:rPr>
                <w:rFonts w:ascii="Arial" w:cs="Arial" w:eastAsia="Arial" w:hAnsi="Arial"/>
                <w:sz w:val="13"/>
                <w:szCs w:val="13"/>
                <w:b w:val="1"/>
                <w:bCs w:val="1"/>
                <w:color w:val="auto"/>
              </w:rPr>
              <w:t>Franchise revenues:</w:t>
            </w: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97"/>
        </w:trPr>
        <w:tc>
          <w:tcPr>
            <w:tcW w:w="9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2019</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231</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2020</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707</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2021</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495</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2022</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414</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2023</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388</w:t>
            </w:r>
          </w:p>
        </w:tc>
      </w:tr>
      <w:tr>
        <w:trPr>
          <w:trHeight w:val="210"/>
        </w:trPr>
        <w:tc>
          <w:tcPr>
            <w:tcW w:w="916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Thereafter</w:t>
            </w: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4,231</w:t>
            </w:r>
          </w:p>
        </w:tc>
      </w:tr>
      <w:tr>
        <w:trPr>
          <w:trHeight w:val="210"/>
        </w:trPr>
        <w:tc>
          <w:tcPr>
            <w:tcW w:w="9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b w:val="1"/>
                <w:bCs w:val="1"/>
                <w:color w:val="auto"/>
              </w:rPr>
              <w:t>Total</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6,466</w:t>
            </w:r>
          </w:p>
        </w:tc>
      </w:tr>
      <w:tr>
        <w:trPr>
          <w:trHeight w:val="20"/>
        </w:trPr>
        <w:tc>
          <w:tcPr>
            <w:tcW w:w="9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Topic 842 "Leases"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December 26, 2018, the Company adopted Topic 842, using the effective date method, recognizing and measuring all leases that existed as of December 26, 2018. The Company recorded a cumulative-effect adjustment as of December 26, 2018. Comparative periods are presented in accordance with ASC Topic 840 and do not include any retrospective adjustments to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right="80"/>
        <w:spacing w:after="0" w:line="277" w:lineRule="auto"/>
        <w:rPr>
          <w:sz w:val="20"/>
          <w:szCs w:val="20"/>
          <w:color w:val="auto"/>
        </w:rPr>
      </w:pPr>
      <w:r>
        <w:rPr>
          <w:rFonts w:ascii="Arial" w:cs="Arial" w:eastAsia="Arial" w:hAnsi="Arial"/>
          <w:sz w:val="18"/>
          <w:szCs w:val="18"/>
          <w:color w:val="auto"/>
        </w:rPr>
        <w:t>comparative periods to reflect the adoption of Topic 842. All leases that either (1) commenced, or (2) were modified or re-measured after December 26, 2018 are accounted for under Topic 842.</w:t>
      </w:r>
    </w:p>
    <w:p>
      <w:pPr>
        <w:spacing w:after="0" w:line="8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a result of Topic 842, the Company recognized a ROU Asset of $205.2 million and a lease liability of $222.3 million on its consolidated balance sheet as of December 27, 2018. However, there was not a material impact on the Company’s consolidated statement of operations or consolidated statement of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leases</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operations utilize property, facilities, equipment and vehicles owned by the Company or leased from others. Additionally, the Company has various contracts with vendors that have been determined to contain an embedded lease in accordance with Topic 842.</w:t>
      </w:r>
    </w:p>
    <w:p>
      <w:pPr>
        <w:spacing w:after="0" w:line="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September 25, 2019, the Company had no leases that it had entered into, but had not yet commenced. The Company has no involvement with the construction or design of the underlying asset until lease commencement.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and facility leases</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Buildings and facilities leased from others are primarily for restaurants and support facilities. The majority of the Company’s leases are classified as operating leases; however, the Company currently has one finance lease.</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based on actual common area maintenance, property tax and insurance costs, making them variable consideration and excluding them from the calculations of the ROU Asset and lease liability.</w:t>
      </w:r>
    </w:p>
    <w:p>
      <w:pPr>
        <w:spacing w:after="0" w:line="10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thirteen and thirty-nine weeks ended September 25, 2019, the Company reassessed the lease terms on three and six restaurants, respectively. The reassessment was the result of triggering events, such as, the addition of significant leasehold improvements with useful lives that extend past the current lease expiration, the decision to terminate a lease or the decision to renew leases. This resulted in an additional $2.0 million and $3.3 million of ROU Asset and lease liability for the thirteen and thirty-nine weeks ended September 25, 2019, respectively, which will be recognized over the new lease term. The reassessment did not have any impact on the original lease classification. Additionally, as the Company adopted all practical expedients available under Topic 842, no reallocation between lease and non-lease components was necessary.</w:t>
      </w:r>
    </w:p>
    <w:p>
      <w:pPr>
        <w:spacing w:after="0" w:line="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Assumptions and Judgments</w:t>
      </w:r>
    </w:p>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8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also made significant assumptions and judgments in determining an appropriate discount rate for property leases. These included using a consistent discount rate for a portfolio of leases entered into at varying dates, using the full 20-year term</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p>
      <w:pPr>
        <w:ind w:right="240"/>
        <w:spacing w:after="0" w:line="264" w:lineRule="auto"/>
        <w:rPr>
          <w:sz w:val="20"/>
          <w:szCs w:val="20"/>
          <w:color w:val="auto"/>
        </w:rPr>
      </w:pPr>
      <w:r>
        <w:rPr>
          <w:rFonts w:ascii="Arial" w:cs="Arial" w:eastAsia="Arial" w:hAnsi="Arial"/>
          <w:sz w:val="18"/>
          <w:szCs w:val="18"/>
          <w:color w:val="auto"/>
        </w:rPr>
        <w:t>of the lease, excluding any options, and using the total minimum lease payments. The Company utilized a third-party valuation firm in determining the discount rate, based on the above assumptions. For all other leases, the Company used the discount rate implicit in the lease, or the Company’s incremental borrowing rate.</w:t>
      </w:r>
    </w:p>
    <w:p>
      <w:pPr>
        <w:spacing w:after="0" w:line="1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lease cost, disaggregated by underlying asset (in thousands):</w:t>
      </w:r>
    </w:p>
    <w:p>
      <w:pPr>
        <w:spacing w:after="0" w:line="27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Thirteen Weeks Ended September 25, 2019</w:t>
            </w:r>
          </w:p>
        </w:tc>
        <w:tc>
          <w:tcPr>
            <w:tcW w:w="3680" w:type="dxa"/>
            <w:vAlign w:val="bottom"/>
            <w:gridSpan w:val="6"/>
          </w:tcPr>
          <w:p>
            <w:pPr>
              <w:ind w:left="100"/>
              <w:spacing w:after="0"/>
              <w:rPr>
                <w:sz w:val="20"/>
                <w:szCs w:val="20"/>
                <w:color w:val="auto"/>
              </w:rPr>
            </w:pPr>
            <w:r>
              <w:rPr>
                <w:rFonts w:ascii="Arial" w:cs="Arial" w:eastAsia="Arial" w:hAnsi="Arial"/>
                <w:sz w:val="18"/>
                <w:szCs w:val="18"/>
                <w:b w:val="1"/>
                <w:bCs w:val="1"/>
                <w:color w:val="auto"/>
                <w:w w:val="91"/>
              </w:rPr>
              <w:t>Thirty-Nine Weeks Ended September 25, 2019</w:t>
            </w:r>
          </w:p>
        </w:tc>
      </w:tr>
      <w:tr>
        <w:trPr>
          <w:trHeight w:val="256"/>
        </w:trPr>
        <w:tc>
          <w:tcPr>
            <w:tcW w:w="3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0"/>
              </w:rPr>
              <w:t>Equipment</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Property</w:t>
            </w:r>
          </w:p>
        </w:tc>
        <w:tc>
          <w:tcPr>
            <w:tcW w:w="160" w:type="dxa"/>
            <w:vAlign w:val="bottom"/>
          </w:tcPr>
          <w:p>
            <w:pPr>
              <w:spacing w:after="0"/>
              <w:rPr>
                <w:sz w:val="22"/>
                <w:szCs w:val="22"/>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w w:val="95"/>
              </w:rPr>
              <w:t>Equipment</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89"/>
              </w:rPr>
              <w:t>Property Leases</w:t>
            </w:r>
          </w:p>
        </w:tc>
        <w:tc>
          <w:tcPr>
            <w:tcW w:w="16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6"/>
              </w:rPr>
              <w:t>Leases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Leases</w:t>
            </w:r>
          </w:p>
        </w:tc>
        <w:tc>
          <w:tcPr>
            <w:tcW w:w="1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60"/>
              <w:spacing w:after="0"/>
              <w:rPr>
                <w:sz w:val="20"/>
                <w:szCs w:val="20"/>
                <w:color w:val="auto"/>
              </w:rPr>
            </w:pPr>
            <w:r>
              <w:rPr>
                <w:rFonts w:ascii="Arial" w:cs="Arial" w:eastAsia="Arial" w:hAnsi="Arial"/>
                <w:sz w:val="18"/>
                <w:szCs w:val="18"/>
                <w:color w:val="auto"/>
              </w:rPr>
              <w:t>Amortization of right-of-use assets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6,534</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6,847</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19,721</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967</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20,688</w:t>
            </w: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482</w:t>
            </w: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5,942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6,302</w:t>
            </w:r>
          </w:p>
        </w:tc>
        <w:tc>
          <w:tcPr>
            <w:tcW w:w="2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18,477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19,606</w:t>
            </w:r>
          </w:p>
        </w:tc>
      </w:tr>
      <w:tr>
        <w:trPr>
          <w:trHeight w:val="27"/>
        </w:trPr>
        <w:tc>
          <w:tcPr>
            <w:tcW w:w="3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lease cost on the condensed consolidated statement of income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Thirteen Weeks Ended</w:t>
            </w:r>
          </w:p>
        </w:tc>
        <w:tc>
          <w:tcPr>
            <w:tcW w:w="220" w:type="dxa"/>
            <w:vAlign w:val="bottom"/>
          </w:tcPr>
          <w:p>
            <w:pPr>
              <w:spacing w:after="0"/>
              <w:rPr>
                <w:sz w:val="18"/>
                <w:szCs w:val="18"/>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Thirty-Nine Weeks Ended</w:t>
            </w:r>
          </w:p>
        </w:tc>
      </w:tr>
      <w:tr>
        <w:trPr>
          <w:trHeight w:val="234"/>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September 25, 2019</w:t>
            </w:r>
          </w:p>
        </w:tc>
        <w:tc>
          <w:tcPr>
            <w:tcW w:w="220" w:type="dxa"/>
            <w:vAlign w:val="bottom"/>
          </w:tcPr>
          <w:p>
            <w:pPr>
              <w:spacing w:after="0"/>
              <w:rPr>
                <w:sz w:val="20"/>
                <w:szCs w:val="20"/>
                <w:color w:val="auto"/>
              </w:rPr>
            </w:pPr>
          </w:p>
        </w:tc>
        <w:tc>
          <w:tcPr>
            <w:tcW w:w="216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25, 2019</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 – Occupancy and other operating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 cost – General &amp; administrative</w:t>
            </w:r>
          </w:p>
        </w:tc>
        <w:tc>
          <w:tcPr>
            <w:tcW w:w="200" w:type="dxa"/>
            <w:vAlign w:val="bottom"/>
          </w:tcPr>
          <w:p>
            <w:pPr>
              <w:spacing w:after="0"/>
              <w:rPr>
                <w:sz w:val="21"/>
                <w:szCs w:val="21"/>
                <w:color w:val="auto"/>
              </w:rPr>
            </w:pP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 – 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 cost – Interest expense</w:t>
            </w:r>
          </w:p>
        </w:tc>
        <w:tc>
          <w:tcPr>
            <w:tcW w:w="200" w:type="dxa"/>
            <w:vAlign w:val="bottom"/>
          </w:tcPr>
          <w:p>
            <w:pPr>
              <w:spacing w:after="0"/>
              <w:rPr>
                <w:sz w:val="21"/>
                <w:szCs w:val="21"/>
                <w:color w:val="auto"/>
              </w:rPr>
            </w:pP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 - Closed-store reserve</w:t>
            </w:r>
          </w:p>
        </w:tc>
        <w:tc>
          <w:tcPr>
            <w:tcW w:w="2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6,302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19,606</w:t>
            </w:r>
          </w:p>
        </w:tc>
      </w:tr>
      <w:tr>
        <w:trPr>
          <w:trHeight w:val="27"/>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During the thirty-nine weeks ended September 25, 2019, the Company had the following cash and non-cash activities associated with its leases (in thousands):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8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1"/>
              </w:rPr>
              <w:t>Thirty-Nine Weeks Ended September 25, 2019</w:t>
            </w:r>
          </w:p>
        </w:tc>
      </w:tr>
      <w:tr>
        <w:trPr>
          <w:trHeight w:val="252"/>
        </w:trPr>
        <w:tc>
          <w:tcPr>
            <w:tcW w:w="7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Equipment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4"/>
        </w:trPr>
        <w:tc>
          <w:tcPr>
            <w:tcW w:w="7260" w:type="dxa"/>
            <w:vAlign w:val="bottom"/>
          </w:tcPr>
          <w:p>
            <w:pPr>
              <w:spacing w:after="0"/>
              <w:rPr>
                <w:sz w:val="20"/>
                <w:szCs w:val="20"/>
                <w:color w:val="auto"/>
              </w:rPr>
            </w:pPr>
          </w:p>
        </w:tc>
        <w:tc>
          <w:tcPr>
            <w:tcW w:w="1560" w:type="dxa"/>
            <w:vAlign w:val="bottom"/>
            <w:gridSpan w:val="2"/>
          </w:tcPr>
          <w:p>
            <w:pPr>
              <w:ind w:left="280"/>
              <w:spacing w:after="0"/>
              <w:rPr>
                <w:sz w:val="20"/>
                <w:szCs w:val="20"/>
                <w:color w:val="auto"/>
              </w:rPr>
            </w:pPr>
            <w:r>
              <w:rPr>
                <w:rFonts w:ascii="Arial" w:cs="Arial" w:eastAsia="Arial" w:hAnsi="Arial"/>
                <w:sz w:val="18"/>
                <w:szCs w:val="18"/>
                <w:b w:val="1"/>
                <w:bCs w:val="1"/>
                <w:color w:val="auto"/>
                <w:w w:val="89"/>
              </w:rPr>
              <w:t>Property Leases</w:t>
            </w:r>
          </w:p>
        </w:tc>
        <w:tc>
          <w:tcPr>
            <w:tcW w:w="18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Leases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594"/>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7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used for operating leases</w:t>
            </w:r>
          </w:p>
        </w:tc>
        <w:tc>
          <w:tcPr>
            <w:tcW w:w="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19,789</w:t>
            </w: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Financing cash flows used for finance leases</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7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7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ROU Assets obtained in exchange for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8,832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8,868</w:t>
            </w:r>
          </w:p>
        </w:tc>
      </w:tr>
      <w:tr>
        <w:trPr>
          <w:trHeight w:val="27"/>
        </w:trPr>
        <w:tc>
          <w:tcPr>
            <w:tcW w:w="7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7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w w:val="93"/>
              </w:rPr>
              <w:t>Operating lease ROU Assets obtained and liabilities incurred as a result of adoption of ASC 842:</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ROU Assets</w:t>
            </w:r>
          </w:p>
        </w:tc>
        <w:tc>
          <w:tcPr>
            <w:tcW w:w="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200,555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205,223</w:t>
            </w: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217,615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4,668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222,283</w:t>
            </w:r>
          </w:p>
        </w:tc>
      </w:tr>
      <w:tr>
        <w:trPr>
          <w:trHeight w:val="27"/>
        </w:trPr>
        <w:tc>
          <w:tcPr>
            <w:tcW w:w="7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7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remaining lease term—finance leases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3.08</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Weighted-average remaining lease term—operating leases</w:t>
            </w: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12.21</w:t>
            </w:r>
          </w:p>
        </w:tc>
        <w:tc>
          <w:tcPr>
            <w:tcW w:w="1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discount rate—finance leases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180"/>
              <w:spacing w:after="0"/>
              <w:rPr>
                <w:sz w:val="20"/>
                <w:szCs w:val="20"/>
                <w:color w:val="auto"/>
              </w:rPr>
            </w:pPr>
            <w:r>
              <w:rPr>
                <w:rFonts w:ascii="Arial" w:cs="Arial" w:eastAsia="Arial" w:hAnsi="Arial"/>
                <w:sz w:val="18"/>
                <w:szCs w:val="18"/>
                <w:color w:val="auto"/>
              </w:rPr>
              <w:t>Weighted-average discount rate—operating leases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minimum future lease obligations as of September 25, 2019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255270</wp:posOffset>
            </wp:positionV>
            <wp:extent cx="1800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Operating Leases</w:t>
            </w:r>
          </w:p>
        </w:tc>
        <w:tc>
          <w:tcPr>
            <w:tcW w:w="0" w:type="dxa"/>
            <w:vAlign w:val="bottom"/>
          </w:tcPr>
          <w:p>
            <w:pPr>
              <w:spacing w:after="0"/>
              <w:rPr>
                <w:sz w:val="1"/>
                <w:szCs w:val="1"/>
                <w:color w:val="auto"/>
              </w:rPr>
            </w:pPr>
          </w:p>
        </w:tc>
      </w:tr>
      <w:tr>
        <w:trPr>
          <w:trHeight w:val="228"/>
        </w:trPr>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Minimum</w:t>
            </w:r>
          </w:p>
        </w:tc>
        <w:tc>
          <w:tcPr>
            <w:tcW w:w="2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8"/>
              </w:rPr>
              <w:t>Minimum</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98"/>
              </w:rPr>
              <w:t>Minimum</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Lease</w:t>
            </w:r>
          </w:p>
        </w:tc>
        <w:tc>
          <w:tcPr>
            <w:tcW w:w="2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Lease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5"/>
              </w:rPr>
              <w:t>Sublease</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For the Years Ending</w:t>
            </w:r>
          </w:p>
        </w:tc>
        <w:tc>
          <w:tcPr>
            <w:tcW w:w="12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Payments</w:t>
            </w:r>
          </w:p>
        </w:tc>
        <w:tc>
          <w:tcPr>
            <w:tcW w:w="20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7"/>
              </w:rPr>
              <w:t>Payments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25,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December 30, 2020</w:t>
            </w: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29, 2021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December 28, 2022</w:t>
            </w: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28, 2023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157,549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19,394</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266,311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30,387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 (3.98% - 11.1%)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198,849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minimum future lease obligations at December 26, 2018 is as follows, under ASC 840 (in thousands):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5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8"/>
              </w:rPr>
              <w:t>Capital Leases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4"/>
          </w:tcPr>
          <w:p>
            <w:pPr>
              <w:jc w:val="right"/>
              <w:ind w:right="1030"/>
              <w:spacing w:after="0"/>
              <w:rPr>
                <w:sz w:val="20"/>
                <w:szCs w:val="20"/>
                <w:color w:val="auto"/>
              </w:rPr>
            </w:pPr>
            <w:r>
              <w:rPr>
                <w:rFonts w:ascii="Arial" w:cs="Arial" w:eastAsia="Arial" w:hAnsi="Arial"/>
                <w:sz w:val="18"/>
                <w:szCs w:val="18"/>
                <w:color w:val="auto"/>
              </w:rPr>
              <w:t>Operating Leases</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19"/>
                <w:szCs w:val="19"/>
                <w:color w:val="auto"/>
              </w:rPr>
            </w:pPr>
          </w:p>
        </w:tc>
        <w:tc>
          <w:tcPr>
            <w:tcW w:w="1120" w:type="dxa"/>
            <w:vAlign w:val="bottom"/>
          </w:tcPr>
          <w:p>
            <w:pPr>
              <w:jc w:val="center"/>
              <w:ind w:left="310"/>
              <w:spacing w:after="0"/>
              <w:rPr>
                <w:sz w:val="20"/>
                <w:szCs w:val="20"/>
                <w:color w:val="auto"/>
              </w:rPr>
            </w:pPr>
            <w:r>
              <w:rPr>
                <w:rFonts w:ascii="Arial" w:cs="Arial" w:eastAsia="Arial" w:hAnsi="Arial"/>
                <w:sz w:val="18"/>
                <w:szCs w:val="18"/>
                <w:color w:val="auto"/>
                <w:w w:val="98"/>
              </w:rPr>
              <w:t>Minimum</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Minimum</w:t>
            </w:r>
          </w:p>
        </w:tc>
        <w:tc>
          <w:tcPr>
            <w:tcW w:w="300" w:type="dxa"/>
            <w:vAlign w:val="bottom"/>
          </w:tcPr>
          <w:p>
            <w:pPr>
              <w:spacing w:after="0"/>
              <w:rPr>
                <w:sz w:val="19"/>
                <w:szCs w:val="19"/>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98"/>
              </w:rPr>
              <w:t>Minimum</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1120" w:type="dxa"/>
            <w:vAlign w:val="bottom"/>
          </w:tcPr>
          <w:p>
            <w:pPr>
              <w:jc w:val="center"/>
              <w:ind w:left="330"/>
              <w:spacing w:after="0"/>
              <w:rPr>
                <w:sz w:val="20"/>
                <w:szCs w:val="20"/>
                <w:color w:val="auto"/>
              </w:rPr>
            </w:pPr>
            <w:r>
              <w:rPr>
                <w:rFonts w:ascii="Arial" w:cs="Arial" w:eastAsia="Arial" w:hAnsi="Arial"/>
                <w:sz w:val="18"/>
                <w:szCs w:val="18"/>
                <w:color w:val="auto"/>
                <w:w w:val="85"/>
              </w:rPr>
              <w:t>Lease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Lease</w:t>
            </w:r>
          </w:p>
        </w:tc>
        <w:tc>
          <w:tcPr>
            <w:tcW w:w="30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5"/>
              </w:rPr>
              <w:t>Sublease</w:t>
            </w:r>
          </w:p>
        </w:tc>
        <w:tc>
          <w:tcPr>
            <w:tcW w:w="0" w:type="dxa"/>
            <w:vAlign w:val="bottom"/>
          </w:tcPr>
          <w:p>
            <w:pPr>
              <w:spacing w:after="0"/>
              <w:rPr>
                <w:sz w:val="1"/>
                <w:szCs w:val="1"/>
                <w:color w:val="auto"/>
              </w:rPr>
            </w:pP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auto"/>
              </w:rPr>
              <w:t>For the Years Ending</w:t>
            </w:r>
          </w:p>
        </w:tc>
        <w:tc>
          <w:tcPr>
            <w:tcW w:w="1120" w:type="dxa"/>
            <w:vAlign w:val="bottom"/>
          </w:tcPr>
          <w:p>
            <w:pPr>
              <w:jc w:val="center"/>
              <w:ind w:left="330"/>
              <w:spacing w:after="0"/>
              <w:rPr>
                <w:sz w:val="20"/>
                <w:szCs w:val="20"/>
                <w:color w:val="auto"/>
              </w:rPr>
            </w:pPr>
            <w:r>
              <w:rPr>
                <w:rFonts w:ascii="Arial" w:cs="Arial" w:eastAsia="Arial" w:hAnsi="Arial"/>
                <w:sz w:val="18"/>
                <w:szCs w:val="18"/>
                <w:color w:val="auto"/>
                <w:w w:val="87"/>
              </w:rPr>
              <w:t>Payments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Payments</w:t>
            </w:r>
          </w:p>
        </w:tc>
        <w:tc>
          <w:tcPr>
            <w:tcW w:w="300" w:type="dxa"/>
            <w:vAlign w:val="bottom"/>
          </w:tcPr>
          <w:p>
            <w:pPr>
              <w:spacing w:after="0"/>
              <w:rPr>
                <w:sz w:val="20"/>
                <w:szCs w:val="20"/>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25, 2019</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December 30, 2020</w:t>
            </w:r>
          </w:p>
        </w:tc>
        <w:tc>
          <w:tcPr>
            <w:tcW w:w="11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24,437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29, 2021</w:t>
            </w: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December 28, 2022</w:t>
            </w:r>
          </w:p>
        </w:tc>
        <w:tc>
          <w:tcPr>
            <w:tcW w:w="11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28, 2023</w:t>
            </w: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1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150,342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248</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266,481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imputed interest (11.0% to 11.1%)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8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capital lease obligations</w:t>
            </w: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Leases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multiple short-term leases, which have terms of less than 12 months, and thus were excluded from the recognition requirements of Topic</w:t>
      </w:r>
    </w:p>
    <w:p>
      <w:pPr>
        <w:spacing w:after="0" w:line="46" w:lineRule="exact"/>
        <w:rPr>
          <w:sz w:val="20"/>
          <w:szCs w:val="20"/>
          <w:color w:val="auto"/>
        </w:rPr>
      </w:pPr>
    </w:p>
    <w:p>
      <w:pPr>
        <w:ind w:right="260" w:firstLine="8"/>
        <w:spacing w:after="0" w:line="261"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recognized these lease payments in its consolidated statement of operations on a straight-line basis over the lease term and variable lease payments in the period in which the obligation for those payments is incurred.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w:t>
      </w:r>
    </w:p>
    <w:p>
      <w:pPr>
        <w:spacing w:after="0" w:line="36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0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For the thirteen and thirty-nine weeks ended September 25, 2019, the Company received $0.1 million and $0.4 million of lease income, respectively, from company-owned locations</w:t>
      </w:r>
      <w:r>
        <w:rPr>
          <w:rFonts w:ascii="Arial" w:cs="Arial" w:eastAsia="Arial" w:hAnsi="Arial"/>
          <w:sz w:val="19"/>
          <w:szCs w:val="19"/>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87"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adverse impact of economic conditions on our (i) operating results and financial condition, (ii) ability to comply with the terms and covenants of our debt agreements, and (iii) ability to pay or refinance our existing debt or to obtain additional financing;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vulnerability to changes in consumer preferences and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vulnerability to conditions in the greater Los Angeles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vulnerability to natural disasters given the geographic concentration and real estate intensive nature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open new restaurants in new and existing markets, including difficulty in finding sites and in negotiating acceptable leases;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delayed or canceled future restaurant openings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restaurant closures, due to financial performance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chicken and other input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publicity, whether or not valid;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food safety and quality and about food-borne illness, particularly avian flu;</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dependence on frequent and timely deliveries of food and supplies;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with our primary distributor;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history of net losses, including the possibility of future net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service our level of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quick-service and fast casual restaurants;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underperformance of new menu items, advertising campaigns, and restaurant designs and remodeling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reliance on our franchisees, who may incur financial hardships, lose access to credit, close restaurants, or declare bankruptcy;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limited control over our franchisees;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liability for franchisee 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protect our name and logo and other proprietary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the abilities, experience, and knowledge of current directors and officers;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matters relating to employment and labor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from litigation such as wage and hour class action lawsuits;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shortages and increased 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and the ability of our franchisees to renew leases at the end of their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status of our relationships with franchisees;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from federal, state, and local regulations relating to preparation and sale of food, zoning and building codes, and employee, environmental, taxation and other matters;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from our income tax receivable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conflicts of interest with our largest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El Pollo Loco Holdings, Inc. is a holding company with no operations that relies on its operating subsidiaries to provide it with funds;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our emerging growth company eligibility under the Jumpstart Our Business Startups Act of 2012 (the “JOBS Act”);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any security breaches of confidential customer information in connection with our electronic process of credit and debit card transactions;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any failure of our information technology system or any breach of our network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standards;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other risks set forth in our filings with the SEC from time to time, including under Item 1A, Risk Factors in our annual report on Form 10-K for the year ended December 26, 2018, which such filings are available online at </w:t>
      </w:r>
      <w:r>
        <w:rPr>
          <w:rFonts w:ascii="Arial" w:cs="Arial" w:eastAsia="Arial" w:hAnsi="Arial"/>
          <w:sz w:val="18"/>
          <w:szCs w:val="18"/>
          <w:u w:val="single" w:color="auto"/>
          <w:color w:val="0563C1"/>
        </w:rPr>
        <w:t>www.sec.gov</w:t>
      </w:r>
      <w:r>
        <w:rPr>
          <w:rFonts w:ascii="Arial" w:cs="Arial" w:eastAsia="Arial" w:hAnsi="Arial"/>
          <w:sz w:val="18"/>
          <w:szCs w:val="18"/>
          <w:color w:val="auto"/>
        </w:rPr>
        <w:t xml:space="preserve">, at </w:t>
      </w:r>
      <w:r>
        <w:rPr>
          <w:rFonts w:ascii="Arial" w:cs="Arial" w:eastAsia="Arial" w:hAnsi="Arial"/>
          <w:sz w:val="18"/>
          <w:szCs w:val="18"/>
          <w:u w:val="single" w:color="auto"/>
          <w:color w:val="0563C1"/>
        </w:rPr>
        <w:t>www.elpolloloco.com</w:t>
      </w:r>
      <w:r>
        <w:rPr>
          <w:rFonts w:ascii="Arial" w:cs="Arial" w:eastAsia="Arial" w:hAnsi="Arial"/>
          <w:sz w:val="18"/>
          <w:szCs w:val="18"/>
          <w:color w:val="auto"/>
        </w:rPr>
        <w:t xml:space="preserve"> or upon request from El Pollo Loco.</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strive to offer the quality of food and dining experience typical of fast casual restaurants while providing the speed, convenience, and value typical of traditional quick-service restaurants (“QSRs”), a combination that we call “QSR+” and to provide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contemporary restaurant environment. We serve individual and family-sized chicken meals, a variety of Mexican-inspired entrees, and sides. Our entrees include favorites such as our Chicken Avocado Burrito, Under 500 Calorie entrees, Double Pollo Bowl, and Stuffed Chicken Avocado Quesadilla.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lunch and dinner.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the following strategies:</w:t>
      </w:r>
    </w:p>
    <w:p>
      <w:pPr>
        <w:spacing w:after="0" w:line="24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As of September 25, 2019, we had 485 locations in six states. In fiscal 2018, we opened eight new company-operated and nine new franchised restaurants across Arizona, California, Utah, Louisiana and Texas. For the thirty-nine weeks ended September 25, 2019, we opened one new company-operated restaurants and two franchised restaurants in California. In 2019, we intend to open two to three new company-operated and two to three new franchised restaurants. To increase comparable restaurant sales, we plan to increase customer frequency, attract new customers, and improve per-person spend. These growth rates are not guaranteed.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System-wide, for the thirteen and thirty-nine weeks ended September 25, 2019, comparable restaurant sales increased by 1.1% and 1.4%, respectively, from the comparable periods in the prior year. For company-operated restaurants, comparable restaurant sales, for the thirteen and thirty-nine weeks ended September 25, 2019, increased by 1.6% and 1.2%, respectively. For company-operated restaurants, the quarter’s change in comparable restaurant sales consisted of a 2.0% increase in average check size, and a 0.4% decline in transactions and the year-to-date change in comparable restaurant sales consisted of a 3.3% increase in average check size, and a 2.1% decline in transactions. For franchised restaurants, comparable restaurant sales increased 0.6% and 1.5% for the thirteen and thirty-nine weeks ended September 25, 2019, respectively. Refer to Comparable Restaurant Sales definition in "Key Performance Indicators" section below.</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restaurant counts at the beginning and end of each of the last three fiscal years and the thirty-nine weeks ended September 25, 2019,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Thirty-Nine Weeks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Year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9/25/2019</w:t>
            </w:r>
          </w:p>
        </w:tc>
        <w:tc>
          <w:tcPr>
            <w:tcW w:w="12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System-wide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of September 25, 2019, together with our franchisees, we had remodeled 33 company-operated and 44 franchised restaurants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 September 25, 2019, including new builds and remodels, we had 119 restaurants open with the Vision design in our system. Remodeling is a use of cash and has implications for our net property and equipment owned and depreciation and amortization line items on our condensed consolidated balance sheets and consolidated statements of income, among others. The cost of our restaurant remodels varies depending on the scope of work required, but on average, the investment is $0.3 million to $0.4 million per restaurant. We believe that our remodeling program will result in higher restaurant revenue and a strengthened brand.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Loco Rewards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In addition, customers can earn additional points and free entrées for a variety of engagement activities. Rewards expire after six months and if an account is inactive for one year, all associated points expire. As points are available for redemption past the quarter earned, a portion of the revenue associated with the earned points will be deferred until redemption or expiration. As of September 25, 2019 and December 26, 2018, the revenue allocated to loyalty points that have not been redeemed are $0.9 million and $1.0 million, respectively, which are reflected in the Company’s accompanying condensed consolidated balance sheets within other accrued expenses and current liabilities. The Company had over 1.4 million loyalty program members as of September 25,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ind w:right="60"/>
        <w:spacing w:after="0" w:line="342" w:lineRule="auto"/>
        <w:rPr>
          <w:sz w:val="20"/>
          <w:szCs w:val="20"/>
          <w:color w:val="auto"/>
        </w:rPr>
      </w:pPr>
      <w:r>
        <w:rPr>
          <w:rFonts w:ascii="Arial" w:cs="Arial" w:eastAsia="Arial" w:hAnsi="Arial"/>
          <w:sz w:val="16"/>
          <w:szCs w:val="16"/>
          <w:color w:val="auto"/>
        </w:rPr>
        <w:t>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26, 2018.</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 other than the adoption of Topic 842, as described in Note 1 and Note 11 to Item 1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pronouncements are described in Note 1 to our condensed consolidated financial statements included elsewhere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presently qualify as an “emerging growth company” (“EGC”) under section 2(a) of the Securities Act, pursuant to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will cease to be an EGC following the earliest of (i) five years after our IPO, (ii) $1.07 billion in annual revenue, (iii) $700.0 million in common stock market capitalization held by non-affiliates, or (iv) $1.0 billion in non-convertible debt security issuance on a three-year rolling basis. December 25, 2019 will be the first day that we will cease to be an EGC. Please refer to our annual report on Form 10-K for the year ended December 26, 2018 for more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to Item I above for further details regarding our revenue recognition policy.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92"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Legal settlements include expenses such as judgments or settlements related to legal matters, legal claims and class action lawsuits.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consists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5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Prior to the adoption of Topic 842 "Leases," closure costs include non-cash restaurant charges such as up-front expensing of the net present value of unpaid rent remaining on the life of a lease, offset by assumed sublease income. Upon the adoption of Topic 842, the Company no longer recognizes a closed-store reserve when the Company closes a restaurant, as a lease liability related to the future lease payments is already recognized. Rather, when a restaurant is closed, the Company will evaluate the ROU Asset for impairment, based on anticipated sublease recoveries. The remaining value of the ROU Asset is amortized on a straight-line basis, with the expense recognized in closed-store reserve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908"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Comparison of Results of Income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operating results for the thirteen weeks ended September 25, 2019 and September 26, 2018 and expressed as percentages of total revenue, with the exception of cost of operations and company restaurant expenses, which are expressed as a percentage of company-operated restaurant revenue, are compared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September 25, 2019</w:t>
            </w:r>
          </w:p>
        </w:tc>
        <w:tc>
          <w:tcPr>
            <w:tcW w:w="200" w:type="dxa"/>
            <w:vAlign w:val="bottom"/>
          </w:tcPr>
          <w:p>
            <w:pPr>
              <w:spacing w:after="0"/>
              <w:rPr>
                <w:sz w:val="13"/>
                <w:szCs w:val="13"/>
                <w:color w:val="auto"/>
              </w:rPr>
            </w:pPr>
          </w:p>
        </w:tc>
        <w:tc>
          <w:tcPr>
            <w:tcW w:w="20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September 26, 2018</w:t>
            </w:r>
          </w:p>
        </w:tc>
        <w:tc>
          <w:tcPr>
            <w:tcW w:w="200" w:type="dxa"/>
            <w:vAlign w:val="bottom"/>
          </w:tcPr>
          <w:p>
            <w:pPr>
              <w:spacing w:after="0"/>
              <w:rPr>
                <w:sz w:val="13"/>
                <w:szCs w:val="13"/>
                <w:color w:val="auto"/>
              </w:rPr>
            </w:pPr>
          </w:p>
        </w:tc>
        <w:tc>
          <w:tcPr>
            <w:tcW w:w="1260" w:type="dxa"/>
            <w:vAlign w:val="bottom"/>
            <w:gridSpan w:val="3"/>
          </w:tcPr>
          <w:p>
            <w:pPr>
              <w:jc w:val="center"/>
              <w:ind w:left="412"/>
              <w:spacing w:after="0" w:line="153" w:lineRule="exact"/>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Statements of Income Data</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99,052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100,024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7,273</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6,665</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112,067</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112,178</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Food and paper costs(1)</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27,512</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28,349</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Labor and related expenses(1)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29,292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29,164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Occupancy and other operating expenses(1)</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23,844</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24,187</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80,648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81,700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9,539</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12,186</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4,343</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4,507</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Loss on disposition of restaurants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101,949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102,686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10,118</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9,492</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Income tax receivable agreement income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9,342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9,223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6,402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6,835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660" w:right="18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04" w:right="239" w:bottom="1440" w:gutter="0" w:footer="0" w:header="0"/>
        </w:sectPr>
      </w:pPr>
    </w:p>
    <w:bookmarkStart w:id="39" w:name="page40"/>
    <w:bookmarkEnd w:id="39"/>
    <w:p>
      <w:pPr>
        <w:ind w:right="240"/>
        <w:spacing w:after="0" w:line="264" w:lineRule="auto"/>
        <w:rPr>
          <w:sz w:val="20"/>
          <w:szCs w:val="20"/>
          <w:color w:val="auto"/>
        </w:rPr>
      </w:pPr>
      <w:r>
        <w:rPr>
          <w:rFonts w:ascii="Arial" w:cs="Arial" w:eastAsia="Arial" w:hAnsi="Arial"/>
          <w:sz w:val="18"/>
          <w:szCs w:val="18"/>
          <w:color w:val="auto"/>
        </w:rPr>
        <w:t>Our operating results for the thirty-nine weeks ended September 25, 2019 and September 26, 2018, in absolute terms, and expressed as percentages of total revenue, with the exception of cost of operations and company restaurant expenses, which are expressed as a percentage of company-operated restaurant revenue, are compared below.</w:t>
      </w: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4"/>
          </w:tcPr>
          <w:p>
            <w:pPr>
              <w:ind w:left="60"/>
              <w:spacing w:after="0"/>
              <w:rPr>
                <w:sz w:val="20"/>
                <w:szCs w:val="20"/>
                <w:color w:val="auto"/>
              </w:rPr>
            </w:pPr>
            <w:r>
              <w:rPr>
                <w:rFonts w:ascii="Arial" w:cs="Arial" w:eastAsia="Arial" w:hAnsi="Arial"/>
                <w:sz w:val="14"/>
                <w:szCs w:val="14"/>
                <w:b w:val="1"/>
                <w:bCs w:val="1"/>
                <w:color w:val="auto"/>
              </w:rPr>
              <w:t>Thirty-Nine Weeks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September 25, 2019</w:t>
            </w:r>
          </w:p>
        </w:tc>
        <w:tc>
          <w:tcPr>
            <w:tcW w:w="180" w:type="dxa"/>
            <w:vAlign w:val="bottom"/>
          </w:tcPr>
          <w:p>
            <w:pPr>
              <w:spacing w:after="0"/>
              <w:rPr>
                <w:sz w:val="14"/>
                <w:szCs w:val="14"/>
                <w:color w:val="auto"/>
              </w:rPr>
            </w:pPr>
          </w:p>
        </w:tc>
        <w:tc>
          <w:tcPr>
            <w:tcW w:w="20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September 26, 2018</w:t>
            </w:r>
          </w:p>
        </w:tc>
        <w:tc>
          <w:tcPr>
            <w:tcW w:w="200" w:type="dxa"/>
            <w:vAlign w:val="bottom"/>
          </w:tcPr>
          <w:p>
            <w:pPr>
              <w:spacing w:after="0"/>
              <w:rPr>
                <w:sz w:val="14"/>
                <w:szCs w:val="14"/>
                <w:color w:val="auto"/>
              </w:rPr>
            </w:pPr>
          </w:p>
        </w:tc>
        <w:tc>
          <w:tcPr>
            <w:tcW w:w="126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60" w:type="dxa"/>
            <w:vAlign w:val="bottom"/>
            <w:gridSpan w:val="3"/>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Pr>
          <w:p>
            <w:pPr>
              <w:spacing w:after="0"/>
              <w:rPr>
                <w:sz w:val="21"/>
                <w:szCs w:val="21"/>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 ,000)</w:t>
            </w:r>
          </w:p>
        </w:tc>
        <w:tc>
          <w:tcPr>
            <w:tcW w:w="120" w:type="dxa"/>
            <w:vAlign w:val="bottom"/>
          </w:tcPr>
          <w:p>
            <w:pPr>
              <w:spacing w:after="0"/>
              <w:rPr>
                <w:sz w:val="21"/>
                <w:szCs w:val="21"/>
                <w:color w:val="auto"/>
              </w:rPr>
            </w:pPr>
          </w:p>
        </w:tc>
        <w:tc>
          <w:tcPr>
            <w:tcW w:w="1040" w:type="dxa"/>
            <w:vAlign w:val="bottom"/>
          </w:tcPr>
          <w:p>
            <w:pPr>
              <w:jc w:val="right"/>
              <w:ind w:right="31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Pr>
          <w:p>
            <w:pPr>
              <w:spacing w:after="0"/>
              <w:rPr>
                <w:sz w:val="21"/>
                <w:szCs w:val="21"/>
                <w:color w:val="auto"/>
              </w:rPr>
            </w:pPr>
          </w:p>
        </w:tc>
        <w:tc>
          <w:tcPr>
            <w:tcW w:w="1020" w:type="dxa"/>
            <w:vAlign w:val="bottom"/>
          </w:tcPr>
          <w:p>
            <w:pPr>
              <w:jc w:val="right"/>
              <w:ind w:right="3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296,341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294,204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21,635</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19,324</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16,808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46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334,784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329,567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5,217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82,550</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84,265</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88,140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70,103</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69,019</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240,793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237,966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30,235</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37,862</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20,692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13,558</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13,063</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Loss on disposition of restaurants</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5,062</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301,794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308,038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32,990</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21,529</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11,461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b w:val="1"/>
                <w:bCs w:val="1"/>
                <w:color w:val="auto"/>
              </w:rPr>
              <w:t>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Income tax receivable agreement income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30,356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19,618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10,738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54.7</w:t>
            </w:r>
          </w:p>
        </w:tc>
        <w:tc>
          <w:tcPr>
            <w:tcW w:w="0" w:type="dxa"/>
            <w:vAlign w:val="bottom"/>
          </w:tcPr>
          <w:p>
            <w:pPr>
              <w:spacing w:after="0"/>
              <w:rPr>
                <w:sz w:val="1"/>
                <w:szCs w:val="1"/>
                <w:color w:val="auto"/>
              </w:rPr>
            </w:pPr>
          </w:p>
        </w:tc>
      </w:tr>
      <w:tr>
        <w:trPr>
          <w:trHeight w:val="243"/>
        </w:trPr>
        <w:tc>
          <w:tcPr>
            <w:tcW w:w="4660" w:type="dxa"/>
            <w:vAlign w:val="bottom"/>
            <w:gridSpan w:val="3"/>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8,954</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21,402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14,416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180" w:hanging="652"/>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quarter, company-operated restaurant revenue decreased $1.0 million, or 1.0%, from the comparable period in the prior year. The decline in company-operated restaurant sales was primarily due to a $4.4 million decrease in revenue from the closure of five restaurants during or subsequent to the third quarter of 2018 and the eleven company-operated restaurants sold by the Company to franchisees earlier this year. This restaurant sales decrease was partially offset by an increase of $1.5 million from a 1.6% increase in company-operated comparable restaurant sales, an increase of $1.4 million of non-comparable restaurant sales on restaurants that had not been open the fifteen months required to be included in comparable restaurant sales and $0.5 million related to an increase in revenue recognized from our loyalty points program. The company-operated comparable restaurant sales increase consisted of an increase in average check size of 2.0% partially offset by a decline in transactions of 0.4%.</w:t>
      </w:r>
    </w:p>
    <w:p>
      <w:pPr>
        <w:spacing w:after="0" w:line="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Year-to-date, company-operated restaurant revenue increased $2.1 million, or 0.7%, from the comparable period in the prior year. The growth in company-operated restaurant sales was primarily due to an increase of $6.8 million of non-comparable restaurant sales on restaurants that had not been open the fifteen months required to be included in comparable restaurant sales, an increase of $3.3 million from a 1.2% increase in company-operated comparable sales and $0.6 million related to an increase in revenue recognized from our loyalty points program. This restaurant sales increase was partially offset by an $8.6 million decrease due to the closure of nine restaurants during or subsequent to the first quarter of 2018 and the eleven company-operated restaurants sold by the Company to franchisees earlier this year. The company-operated comparable restaurant sales increase consisted of an increase in average check size of 3.3% partially offset by a decline in transactions of 2.1%.</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quarter, franchise revenue increased $0.6 million, or 9.1%, from the comparable period in the prior year. This increase was primarily due to a franchise comparable restaurant sales increase of 0.6%, the opening of seven new franchised restaurants during or after the prior year quarter and eleven company-operated restaurants sold by the Company to franchisees earlier this year. This franchise revenue increase was partially offset by the closure of three franchise locations during the same period.</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Year-to-date, franchise revenue increased $2.3 million, or 12.0%, from the comparable period in the prior year. This increase was primarily due to higher fees received from franchised restaurants related to their use of our point-of-sales system, a franchise comparable restaurant sales increase of 1.5%, the opening of eleven new franchised restaurants during or after the first quarter of the prior year and eleven company-operated restaurants sold by the Company to franchisees earlier this year. This franchise revenue increase was partially offset by the closure of three franchise locations during the same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Advertising Fee Revenue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quarter, franchise advertising fee revenue increased $0.3 million, or 4.6%, from the comparable period in the prior year. This increase was primarily due to an increase in the number of franchise locations and increased franchise comparable restaurant sales.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Year-to-date, franchise advertising fee revenue increased $0.8 million, or 4.8%, from the comparable period in the prior year. This increase was primarily due to an increase in the number of franchise locations and increased franchise comparable restaurant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quarter, food and paper costs decreased $0.8 million, or 3.0%, from the comparable period in the prior year, primarily due to a $0.6 million decrease in food costs and a $0.2 million decrease in paper costs. Year-to-date, food and paper costs decreased $1.7 million, or 2.0%, from the comparable period in the prior year, due to a $1.6 million decrease in food costs and a $0.1 million decrease in paper costs. The decrease in food and paper costs, for the quarter and year-to-date periods, resulted primarily from lower company transactions, partially offset by higher commodity inflation.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quarter, food and paper costs as a percentage of company-operated restaurant revenue were 27.8%, down from 28.3% in the comparable period of the prior year. Year-to-date, food and paper costs as a percentage of company-operated restaurant revenue were 27.9%, down from 28.6% in the comparable period of the prior year. The percentage decrease for the quarter and year-to-date periods was due primarily to an increase in pricing, partially offset by commodity inflation.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quarter, labor and related expenses increased $0.1 million, or 0.4%, from the comparable period in the prior year. Year-to-date, labor and related expenses increased $3.5 million, or 4.1%, from the comparable period in the prior year. The increase for the quarter and year-to-date periods was due primarily to increased labor costs resulting from new restaurants opened in fiscal 2018, the impact of the wage increases in California and Los Angeles during fiscal 2018 and 2019 and higher workers' compensation expense due to increased claims activity and premiums, partially offset by a reduction in labor by restaurants closed or sold to franchisees.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quarter, labor and related expenses as a percentage of company-operated restaurant revenue were 29.6%, up from 29.2% in the comparable period in the prior year. Year-to-date, payroll and benefit expenses as a percentage of company-operated restaurant revenue were 29.7%, up from 28.8% in the comparable period in the prior year. The increases for the quarter and year-to-date periods were due primarily to wage increases in California and Los Angeles and higher workers’ compensation expense due to increased claims activity. Partially offsetting these increases was the positive impact from pricing increases.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quarter, occupancy and other operating expenses decreased $0.3 million, or 1.4%, from the comparable period of the prior year. The decrease was primarily due to a $0.3 million decrease in advertising expenses, a $0.2 million decrease in occupancy costs, primarily related to rent expense and a $0.2 million decrease in utilities costs, partially offset by a $0.4 million increase in customer order delivery fees due to an increase in delivery orders. Year-to-date, occupancy and other operating expenses increased $1.1 million, or 1.6%, from the comparable period of the prior year. The increase was primarily due to a $0.7 million increase in customer order delivery fees due to increased delivery orders, a $0.3 million increase in repair and maintenance costs, a $0.2 million increase in occupancy costs due primarily to additional property tax and higher general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09" w:right="239" w:bottom="1440" w:gutter="0" w:footer="0" w:header="0"/>
        </w:sectPr>
      </w:pPr>
    </w:p>
    <w:bookmarkStart w:id="41" w:name="page42"/>
    <w:bookmarkEnd w:id="41"/>
    <w:p>
      <w:pPr>
        <w:ind w:right="360"/>
        <w:spacing w:after="0" w:line="277" w:lineRule="auto"/>
        <w:rPr>
          <w:sz w:val="20"/>
          <w:szCs w:val="20"/>
          <w:color w:val="auto"/>
        </w:rPr>
      </w:pPr>
      <w:r>
        <w:rPr>
          <w:rFonts w:ascii="Arial" w:cs="Arial" w:eastAsia="Arial" w:hAnsi="Arial"/>
          <w:sz w:val="18"/>
          <w:szCs w:val="18"/>
          <w:color w:val="auto"/>
        </w:rPr>
        <w:t>liability claims, a $0.2 million increase in utilities costs and a $0.3 million increase in other operating expenses. These increases were partially offset by a $0.6 million decrease in advertising costs.</w:t>
      </w:r>
    </w:p>
    <w:p>
      <w:pPr>
        <w:spacing w:after="0" w:line="17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 the quarter, occupancy and other operating expenses as a percentage of company-operated restaurant revenue were 24.1%, down slightly from 24.2% in the comparable period of the prior year. Year-to-date, occupancy and other operating expenses as a percentage of company-operated restaurant revenue were 23.7%, up slightly from 23.5% in the comparable period of the prior year. The fluctuations resulted primarily from the changes noted above, partially offset by increased pricing.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quarter, general and administrative expenses decreased $2.6 million, or 21.7%, from the comparable period in the prior year. The decrease for the quarter was due primarily to a $3.3 million decrease in legal expenses related primarily to a decrease in securities class action litigation costs, partially offset by a $0.4 million increase in labor related costs, driven primarily by an increase in severance costs, an increase in estimated management bonus expense and a $0.3 million increase in stock compensation expenses.</w:t>
      </w:r>
    </w:p>
    <w:p>
      <w:pPr>
        <w:spacing w:after="0" w:line="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Year-to-date, general and administrative expenses decreased $7.6 million, or 20.1%, from the comparable period in the prior year. The decrease for the year-to-date period was due primarily to (i) a $7.7 million decrease in legal expenses related primarily to a decrease in securities class action litigation costs, (ii) a $0.5 million decrease in restaurant pre-opening costs, (iii) a $0.3 million decrease in travel expense, (iv) a $0.3 million decrease in recruiting costs and (v) a $0.2 million decrease in dead site costs related to costs incurred for potential new restaurant locations that we chose not to continue to pursue. These decreases were partially offset by a $0.9 million increase in labor related costs, primarily related to an increase in estimated management bonus expenses, a $0.2 million increase in stock compensation expenses and a $0.2 million increase in other general and administrative expenses.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general and administrative expenses as a percentage of total revenue were 8.5%, down from 10.9% in the comparable period of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Year-to-date, general and administrative expenses as a percentage of total revenue were 9.0%, down from 11.5% in the comparable period of the prior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decrease is primarily due to the cost decreases discussed above.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Securities Class Action Legal Expense</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thirty-nine weeks ended September 25, 2019, we received insurance proceeds of $10.0 million related to the settlement of the securities class action lawsuit. During the thirteen and thirty-nine weeks ended September 26, 2018, we received insurance proceeds of $2.0 million and $6.1 million, respectively, related to the reimbursement of certain legal expenses paid in prior years for the defense of securities lawsuits. See Note 7, Commitments and Contingencies, Legal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Disposition of Restaurants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thirty-nine weeks ended September 25, 2019, we completed the sale of four company-operated restaurants within the San Francisco area to an existing franchisee and seven company-operated restaurants in the Phoenix area to another existing franchisee. We determined that these restaurant dispositions represent multiple element arrangements, and as a result, the cash consideration received was allocated to the separate elements based on their relative selling price. Cash proceeds included upfront consideration for the sale of the restaurants and franchise fees, as well as future cash consideration for royalties and lease payments. We also considered the future lease payments in allocating the initial cash consideration received. The cash consideration per restaurant for franchise fees is consistent with the amounts stated in the related franchise agreements, which are charged for separate standalone arrangements. We initially defer and subsequently recognize the franchise fees over the term of the franchise agreement. Future royalty income is also recognized in revenue as earned.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These sales resulted in cash proceeds of $4.8 million and a net loss on sale of restaurants of $5.1 million for the thirty-nine weeks ended September 25,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restaurants are included in the total number of franchised El Pollo Loco restaurants.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thirteen weeks and thirty-nine weeks ended September 25, 2019, we recognized $0.1 million and $0.3 million of non-cash impairment charges, respectively, primarily related to the carrying value of one restaurant in California. We recorded a non-cash impairment charge of $0.1 million and $1.8 million for the thirteen and thirty-nine weeks ended September 26, 2018, respectively, primarily related to the carrying value of the assets of one restaurant in Arizona. Given the difficulty in projecting results for newer restaurants in newer markets, we are monitoring the recoverability of the carrying value of the assets of several restaurants on an ongoing basis.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2" w:name="page43"/>
    <w:bookmarkEnd w:id="42"/>
    <w:p>
      <w:pPr>
        <w:ind w:right="40"/>
        <w:spacing w:after="0" w:line="257" w:lineRule="auto"/>
        <w:rPr>
          <w:sz w:val="20"/>
          <w:szCs w:val="20"/>
          <w:color w:val="auto"/>
        </w:rPr>
      </w:pPr>
      <w:r>
        <w:rPr>
          <w:rFonts w:ascii="Arial" w:cs="Arial" w:eastAsia="Arial" w:hAnsi="Arial"/>
          <w:sz w:val="18"/>
          <w:szCs w:val="18"/>
          <w:color w:val="auto"/>
        </w:rPr>
        <w:t>During the thirteen weeks ended September 26, 2018, we closed one restaurant in California and one restaurant in Arizona. During the thirty-nine weeks ended September 26, 2018, we closed six restaurants, including four locations in Texas, one in California and one in Arizona, and decided not to move forward with the development of a third location in Texas. All four Texas locations were previously impaired during the third quarter of 2017. This resulted in a closed-store reserve recovery of $0.2 million for the thirteen weeks ended September 26, 2018 and closed-store reserve expense $4.8 million for the thirty-nine weeks ended September 26, 2018.</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Subsequent to the adoption of Topic 842, the Company no longer recognizes a closed-store reserve when the Company closes a restaurant, as there is already a lease liability on its books related to the future lease payments. Rather, when a restaurant is closed, the Company will evaluate the ROU Asset for impairment, based on anticipated sublease recoveries. The remaining value of the ROU Asset is amortized on a straight-line basis, with the expense recognized in closed-store reserve expense. During the thirty-nine weeks ended September 25, 2019, the Company closed one restaurant in California and one in Texas and recognized $0.3 million and $1.0 million of closed-store reserve expense for the thirteen and thirty-nine weeks ended September 25, 2019, respectively, of closed-store reserve expense, primarily related to the amortization of ROU Assets for closed stores.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For each of the quarter and year-to-date periods, interest expense, net, increased $0.1 million from the comparable period in the prior year. The increase was due to higher outstanding balances on our 2018 Revolver, partially offset by interest income received related to the interest rate swap entered into during the thirteen and thirty-nine weeks ended September 25, 2019. See Note 4, Long-Term Debt, Interest Rate Swap.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thirteen and thirty-nine weeks ended September 25, 2019 we recorded income tax receivable agreement income of $0.2 million and $0.1 million, respectively, and for the thirteen and thirty-nine weeks ended September 26, 2018, and we recorded income tax receivable agreement income of $0.6 million and $0.8 million,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For the quarter ended September 25, 2019, we recorded an income tax provision of $2.9 million, reflecting an estimated effective tax rate of 31.5%. For the quarter ended September 26, 2018, we recorded an income tax provision of $2.4 million, reflecting an estimated effective tax rate of approximately 25.9%. Year-to-date ended September 25, 2019, we recorded an income tax provision of $9.0 million, reflecting an estimated effective tax rate of approximately 29.5%. Year-to-date ended September 26, 2018 we recorded an income tax provision of $5.2 million, reflecting an estimated effective tax rate of approximately 26.5%. The difference between the 21.0% statutory rate and the Company’s effective tax rate of 29.5% for the year-to-date ended September 25, 2019 is primarily a result of state taxes, a Work Opportunity Tax Credit benefit, the Company’s valuation allowance against certain state credits as a result of future forecasted income apportioned to the state jurisdiction, non-deductible executive compensation and changes to total expected TRA payments due to changes in future forecasted taxable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September 25, 2019 and September 26, 2018, there were 462 and 449 comparable restaurants, 198 and 195 company-operated restaurants and 264 and 254 franchised restaurants, respectively. Comparable restaurant sales indicate the performance of existing restaurants, since new restaurants are excluded.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2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asset impairment and closed-store reserve and other costs that are considered normal operating costs and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909"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6"/>
                <w:szCs w:val="16"/>
                <w:color w:val="auto"/>
              </w:rPr>
            </w:pPr>
          </w:p>
        </w:tc>
        <w:tc>
          <w:tcPr>
            <w:tcW w:w="270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9/25/2019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9/26/2018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9/25/2019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9/26/2018</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10,118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9,492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32,990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21,529</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(less):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12,186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30,235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37,862</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20,692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18,424</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13,558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13,063</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(19,324)</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(16,039)</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Recovery of securities lawsuits related legal expenses</w:t>
            </w: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(6,099)</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 impairment and closed-store reserves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6,629</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Loss on sale of restaurants</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5,062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18,404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18,324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55,548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56,238</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112,067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112,178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334,784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329,567</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(19,324)</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(16,039)</w:t>
            </w: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99,052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100,024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296,341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294,204</w:t>
            </w:r>
          </w:p>
        </w:tc>
      </w:tr>
      <w:tr>
        <w:trPr>
          <w:trHeight w:val="284"/>
        </w:trPr>
        <w:tc>
          <w:tcPr>
            <w:tcW w:w="5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8"/>
                <w:szCs w:val="18"/>
                <w:color w:val="auto"/>
              </w:rPr>
              <w:t>Restaurant contribution margin (%)</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6" w:right="23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t>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6"/>
                <w:szCs w:val="16"/>
                <w:color w:val="auto"/>
              </w:rPr>
            </w:pPr>
          </w:p>
        </w:tc>
        <w:tc>
          <w:tcPr>
            <w:tcW w:w="25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9/25/2019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9/26/2018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9/25/2019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9/26/2018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14,416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2,688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14,658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14,570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46,668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35,369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(a)</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on disposal of assets (b)</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 (c)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Asset impairment and closed-store reserves (recovery) </w:t>
            </w:r>
            <w:r>
              <w:rPr>
                <w:rFonts w:ascii="Arial" w:cs="Arial" w:eastAsia="Arial" w:hAnsi="Arial"/>
                <w:sz w:val="16"/>
                <w:szCs w:val="16"/>
                <w:color w:val="auto"/>
              </w:rPr>
              <w:t>(d)</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6,629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disposition of restaurants (e)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receivable agreement income (f)</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class action legal expense (g)</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Pre-opening costs (h)</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transition costs (i)</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15,930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16,293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48,014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48,416</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660" w:right="28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ind w:left="66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thirty-nine weeks ended September 25, 2019, we received insurance proceeds of $10.0 million related to the settlement of the securities class action lawsuit and during the thirteen and thirty-nine weeks ended September 26, 2018, we received insurance proceeds of $2.0 million and $6.1 million, respectively, related to the reimbursement of certain legal expenses paid in prior years for the defense of securities lawsuits. See Note 7, Commitments and Contingencies, Legal Matters.</w:t>
      </w:r>
    </w:p>
    <w:p>
      <w:pPr>
        <w:spacing w:after="0" w:line="1" w:lineRule="exact"/>
        <w:rPr>
          <w:rFonts w:ascii="Arial" w:cs="Arial" w:eastAsia="Arial" w:hAnsi="Arial"/>
          <w:sz w:val="18"/>
          <w:szCs w:val="18"/>
          <w:color w:val="auto"/>
        </w:rPr>
      </w:pPr>
    </w:p>
    <w:p>
      <w:pPr>
        <w:ind w:left="660" w:right="400" w:hanging="652"/>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 During the thirteen and thirty-nine weeks ended September 25, 2019, we recorded a non-cash impairment charge of $0.1 million and $0.3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46" w:name="page47"/>
    <w:bookmarkEnd w:id="46"/>
    <w:p>
      <w:pPr>
        <w:jc w:val="both"/>
        <w:ind w:left="660" w:right="100"/>
        <w:spacing w:after="0" w:line="311" w:lineRule="auto"/>
        <w:rPr>
          <w:sz w:val="20"/>
          <w:szCs w:val="20"/>
          <w:color w:val="auto"/>
        </w:rPr>
      </w:pPr>
      <w:r>
        <w:rPr>
          <w:rFonts w:ascii="Arial" w:cs="Arial" w:eastAsia="Arial" w:hAnsi="Arial"/>
          <w:sz w:val="18"/>
          <w:szCs w:val="18"/>
          <w:color w:val="auto"/>
        </w:rPr>
        <w:t>respectively, primarily related to the carrying value of the assets of one restaurant in California. We recorded a non-cash impairment charge of $0.1 million and $1.8 million for the thirteen and thirty-nine weeks ended September 26, 2018, respectively, primarily related to the carrying value of the assets of one restaurant in Arizona.</w:t>
      </w:r>
    </w:p>
    <w:p>
      <w:pPr>
        <w:spacing w:after="0" w:line="154"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During the thirteen weeks ended September 26, 2018, we closed one restaurant in California and one restaurant in Arizona. During the thirty-nine weeks ended September 26, 2018, we closed six restaurants, including four locations in Texas, one in California and one in Arizona, and decided not to move forward with the development of a third location in Texas. All four Texas locations were previously impaired during the third quarter</w:t>
      </w:r>
    </w:p>
    <w:p>
      <w:pPr>
        <w:ind w:left="660" w:right="240"/>
        <w:spacing w:after="0" w:line="250" w:lineRule="auto"/>
        <w:rPr>
          <w:sz w:val="20"/>
          <w:szCs w:val="20"/>
          <w:color w:val="auto"/>
        </w:rPr>
      </w:pPr>
      <w:r>
        <w:rPr>
          <w:rFonts w:ascii="Arial" w:cs="Arial" w:eastAsia="Arial" w:hAnsi="Arial"/>
          <w:sz w:val="18"/>
          <w:szCs w:val="18"/>
          <w:color w:val="auto"/>
        </w:rPr>
        <w:t>of 2017. This resulted in a closed-store reserve recovery of $0.2 million for the thirteen weeks ended September 26, 2018 and closed-store reserve expense of $4.8 million for the thirty-nine weeks ended September 26, 2018.</w:t>
      </w:r>
    </w:p>
    <w:p>
      <w:pPr>
        <w:spacing w:after="0" w:line="1" w:lineRule="exact"/>
        <w:rPr>
          <w:sz w:val="20"/>
          <w:szCs w:val="20"/>
          <w:color w:val="auto"/>
        </w:rPr>
      </w:pPr>
    </w:p>
    <w:p>
      <w:pPr>
        <w:ind w:left="660" w:right="120" w:hanging="652"/>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thirty-nine weeks ended September 25, 2019, we completed the sale of four company-operated restaurants within the San Francisco area to an existing franchisee and seven company-operated restaurants in the Phoenix area to another existing franchisee. These sales resulted in cash proceeds of $4.8 million and a net loss on sale of restaurants of $5.1 million. These restaurants are now included in our franchised restaurant totals.</w:t>
      </w:r>
    </w:p>
    <w:p>
      <w:pPr>
        <w:spacing w:after="0" w:line="2" w:lineRule="exact"/>
        <w:rPr>
          <w:rFonts w:ascii="Arial" w:cs="Arial" w:eastAsia="Arial" w:hAnsi="Arial"/>
          <w:sz w:val="16"/>
          <w:szCs w:val="16"/>
          <w:color w:val="auto"/>
        </w:rPr>
      </w:pPr>
    </w:p>
    <w:p>
      <w:pPr>
        <w:ind w:left="660" w:right="20" w:hanging="652"/>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thirty-nine weeks ended September 25, 2019 and September 26, 2018, income tax receivable agreement income consisted of the amortization of interest expense and changes in estimates for actual tax returns filed, related to our total expected TRA payments.</w:t>
      </w: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"Note 7, Commitments and Contingencies, Legal Matters."</w:t>
      </w:r>
    </w:p>
    <w:p>
      <w:pPr>
        <w:spacing w:after="0" w:line="9" w:lineRule="exact"/>
        <w:rPr>
          <w:rFonts w:ascii="Arial" w:cs="Arial" w:eastAsia="Arial" w:hAnsi="Arial"/>
          <w:sz w:val="18"/>
          <w:szCs w:val="18"/>
          <w:color w:val="auto"/>
        </w:rPr>
      </w:pPr>
    </w:p>
    <w:p>
      <w:pPr>
        <w:ind w:left="660" w:right="20" w:hanging="652"/>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ind w:left="660" w:right="120" w:hanging="652"/>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executive recruiter costs, CEO sign-on bonus, and former CEO stock modification expense.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primary sources of liquidity and capital resources have been cash provided from operations, cash and cash equivalents, and the 2018 Revolver.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our sources of liquidity and capital are sufficient to finance our continued operations and expansion plans for at least the next twelve months from the filing of the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4"/>
          </w:tcPr>
          <w:p>
            <w:pPr>
              <w:jc w:val="right"/>
              <w:ind w:right="1434"/>
              <w:spacing w:after="0"/>
              <w:rPr>
                <w:sz w:val="20"/>
                <w:szCs w:val="20"/>
                <w:color w:val="auto"/>
              </w:rPr>
            </w:pPr>
            <w:r>
              <w:rPr>
                <w:rFonts w:ascii="Arial" w:cs="Arial" w:eastAsia="Arial" w:hAnsi="Arial"/>
                <w:sz w:val="14"/>
                <w:szCs w:val="14"/>
                <w:b w:val="1"/>
                <w:bCs w:val="1"/>
                <w:color w:val="auto"/>
              </w:rPr>
              <w:t>Thirty-Nine Weeks Ended</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9"/>
                <w:szCs w:val="19"/>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25, 2019</w:t>
            </w:r>
          </w:p>
        </w:tc>
        <w:tc>
          <w:tcPr>
            <w:tcW w:w="320" w:type="dxa"/>
            <w:vAlign w:val="bottom"/>
          </w:tcPr>
          <w:p>
            <w:pPr>
              <w:spacing w:after="0"/>
              <w:rPr>
                <w:sz w:val="19"/>
                <w:szCs w:val="19"/>
                <w:color w:val="auto"/>
              </w:rPr>
            </w:pPr>
          </w:p>
        </w:tc>
        <w:tc>
          <w:tcPr>
            <w:tcW w:w="1960" w:type="dxa"/>
            <w:vAlign w:val="bottom"/>
          </w:tcPr>
          <w:p>
            <w:pPr>
              <w:jc w:val="right"/>
              <w:ind w:right="454"/>
              <w:spacing w:after="0"/>
              <w:rPr>
                <w:sz w:val="20"/>
                <w:szCs w:val="20"/>
                <w:color w:val="auto"/>
              </w:rPr>
            </w:pPr>
            <w:r>
              <w:rPr>
                <w:rFonts w:ascii="Arial" w:cs="Arial" w:eastAsia="Arial" w:hAnsi="Arial"/>
                <w:sz w:val="14"/>
                <w:szCs w:val="14"/>
                <w:b w:val="1"/>
                <w:bCs w:val="1"/>
                <w:color w:val="auto"/>
              </w:rPr>
              <w:t>September 26,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31,895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41,601</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(20,711)</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(20,717)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(21,298)</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thirty-nine weeks ended September 25, 2019, net cash provided by operating activities decreased by approximately $9.7 million from the comparable period of the prior year. This was due primarily to a $10.0 million payment, net of insurance reimbursements, related to our securities litigation settlement (see Note 7), partially offset by favorable working capital fluctuations.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1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thirty-nine weeks ended September 25, 2019, net cash used in investing activities decreased by $14.6 million from the comparable period of the prior year. This was due primarily to opening one new company restaurant and completing three remodels in the thirty-nine weeks ended September 25, 2019 compared to six new company restaurants and six completed remodels in the thirty-nine weeks ended September 26, 2018, and cash proceeds of $4.8 million received related to the sale of four company-operated restaurants within the San Francisco area to an existing franchisee and seven company-operated restaurants in the Phoenix area to another existing franchisee.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 ending December 25, 2019, we expect to incur capital expenditures of $12.0 million to $15.0 million, consisting of $4.0 to $7.0 million related to new restaurants, $2.0 million related to the remodeling of existing restaurants, and $6.0 million related to major maintenance and other corporate capital expenditures.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For the thirty-nine weeks ended September 25, 2019, net cash used in financing activities decreased by $0.6 million from the comparable period of the prior year. This was due primarily to an increase in net borrowings of $49.8 million on the 2018 Revolver during the thirty-nine weeks ended September 25, 2019 compared to the thirty-nine weeks ended September 26, 2018. This was partially offset by a $47.4 million increase in cash outflow related to stock buybacks in the thirteen and thirty-nine weeks ended September 25, 2019 and net stock activity of $1.9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13, 2018, the Company entered into the 2018 Credit Agreement, which provides for the 2018 Revolver to refinance the previous 2014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3.65% to 3.90% and 3.65% to 6.00% for the thirteen and thirty-nine weeks ended September 25, 2019, respectively, and 3.57% to 3.84% and 3.30% to 3.84% for the thirteen and thirty-nine weeks ended September 26,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2018 Credit Agreement contains certain financial covenants. The Company was in compliance with the financial covenants as of September 25, 2019.</w:t>
      </w:r>
    </w:p>
    <w:p>
      <w:pPr>
        <w:spacing w:after="0" w:line="3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September 25, 2019, $8.5 million of letters of credit and $101.0 million of borrowings were outstanding under the 2018 Revolver. The amount available under the 2018 Revolver was $40.5 million at September 25, 2019.</w:t>
      </w:r>
    </w:p>
    <w:p>
      <w:pPr>
        <w:spacing w:after="0" w:line="6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During the thirty-nine weeks ended September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2.81%. The interest rate swap matures in June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contractual commitments outstanding on September 25, 2019 have not changed materially since our annual report on Form 10-K for the year ended December 26, 2018. These relate to future (i) debt payments, including expected interest expense, calculated based on current interest rates, (ii) restaurant operating lease payments, (iii) income tax receivable agreement payments, and (iv) purchasing commitments for chicken.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909" w:right="259" w:bottom="1440" w:gutter="0" w:footer="0" w:header="0"/>
        </w:sectPr>
      </w:pPr>
    </w:p>
    <w:bookmarkStart w:id="48" w:name="page49"/>
    <w:bookmarkEnd w:id="48"/>
    <w:p>
      <w:pPr>
        <w:ind w:right="100"/>
        <w:spacing w:after="0" w:line="277" w:lineRule="auto"/>
        <w:rPr>
          <w:sz w:val="20"/>
          <w:szCs w:val="20"/>
          <w:color w:val="auto"/>
        </w:rPr>
      </w:pPr>
      <w:r>
        <w:rPr>
          <w:rFonts w:ascii="Arial" w:cs="Arial" w:eastAsia="Arial" w:hAnsi="Arial"/>
          <w:sz w:val="18"/>
          <w:szCs w:val="18"/>
          <w:color w:val="auto"/>
        </w:rPr>
        <w:t>As of September 25, 2019 and December 26, 2018, we were using $8.5 million of borrowing capacity on the 2018 Revolver for letters of credit in support of our insurance programs.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are exposed to market risk from changes in the interest rate on our debt, which bears interest, at our option, at rates based on LIBOR or a base rate, plus, for each rate, a margin determined in accordance with the terms of the 2018 Credit Agreement. For LIBOR loans, the margin is in the range of 1.25% and</w:t>
      </w:r>
    </w:p>
    <w:p>
      <w:pPr>
        <w:ind w:right="200"/>
        <w:spacing w:after="0" w:line="261" w:lineRule="auto"/>
        <w:rPr>
          <w:sz w:val="20"/>
          <w:szCs w:val="20"/>
          <w:color w:val="auto"/>
        </w:rPr>
      </w:pPr>
      <w:r>
        <w:rPr>
          <w:rFonts w:ascii="Arial" w:cs="Arial" w:eastAsia="Arial" w:hAnsi="Arial"/>
          <w:sz w:val="18"/>
          <w:szCs w:val="18"/>
          <w:color w:val="auto"/>
        </w:rPr>
        <w:t>2.25%. As of September 25, 2019, we had outstanding borrowings of $101.0 million under our 2018 Revolver, $8.5 million of letters of credit in support of our insurance programs, and the applicable margin on outstanding borrowings under 2018 Revolver was 1.5%.</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 To balance our portfolio,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2.81%. The interest rate swap matures in June 2023.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maintain disclosure controls and procedures (as such term is defined in Rules 13a-15(e) and 15d-15(d)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of the end of the period covered by this report. Based on this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92" w:right="259" w:bottom="1440" w:gutter="0" w:footer="0" w:header="0"/>
        </w:sectPr>
      </w:pPr>
    </w:p>
    <w:bookmarkStart w:id="49" w:name="page50"/>
    <w:bookmarkEnd w:id="49"/>
    <w:p>
      <w:pPr>
        <w:ind w:right="480"/>
        <w:spacing w:after="0" w:line="277" w:lineRule="auto"/>
        <w:rPr>
          <w:sz w:val="20"/>
          <w:szCs w:val="20"/>
          <w:color w:val="auto"/>
        </w:rPr>
      </w:pPr>
      <w:r>
        <w:rPr>
          <w:rFonts w:ascii="Arial" w:cs="Arial" w:eastAsia="Arial" w:hAnsi="Arial"/>
          <w:sz w:val="18"/>
          <w:szCs w:val="18"/>
          <w:color w:val="auto"/>
        </w:rPr>
        <w:t>evaluation, our Chief Executive Officer and Chief Financial Officer have concluded that our disclosure controls and procedures were effective, at the reasonable assurance level, as of September 25,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changes in our internal control over financial reporting occurred during the period covered by this report that have materially affected, or are reasonably likely to materially affect, our internal control over financial reporting.</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800" w:right="4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information regarding legal proceedings, see "Note 7. Commitments and Contingencies—Legal Matters" in the accompanying "Notes to Condensed Consolidated Financial Statements" in this Quarterly Report, which information is incorporated by reference into this Item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26, 2018 filed with the SEC on March 8, 2019.</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On August 2, 2018, the Company announced that the Board of Directors had authorized a stock repurchase program. The Company entered into a stock repurchase plan on August 28, 2018 (the "2018 Stock Repurchase Plan"), which allowed the repurchase of up to $20.0 million of the Company’s common stock. The 2018 Stock Repurchase Plan commenced purchases on November 6, 2018 and terminated on June 26, 2019.</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30, 2019, as part of the Company’s focus on stockholder returns, the Board of Directors approved a new stock repurchase program. The Company entered into a stock repurchase plan on May 17, 2019 (the “2019 Stock Repurchase Plan”), which allowed for the repurchase up to $30.0 million of the Company’s common stock. The 2019 Stock Repurchase Plan commenced purchases on June 27, 2019, and will terminate on March 25, 2020, if not exhausted or terminated sooner pursuant to the provisions of the 2019 Stock Repurchase Plan.</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Under the 2019 Stock Repurchase Plan, the Company may repurchase its common stock from time to time, in amounts and at prices that the Company deems appropriate, subject to market conditions and other considerations. The Company’s repurchases may be executed using open market purchases, including pursuant to Rule 10b5-1 trading plans, and/or through privately negotiated transactions.</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Company’s purchases of its common stock, including under the 2019 Stock Repurchase Program (as defined above) in the quarterly period ended September 25, 2019 (in thousands, except number of shares and per share amounts):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Shares That May Be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2"/>
                <w:szCs w:val="12"/>
                <w:color w:val="auto"/>
              </w:rPr>
            </w:pPr>
          </w:p>
        </w:tc>
        <w:tc>
          <w:tcPr>
            <w:tcW w:w="1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Purchased Under the Plans or</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27, 2019 to July 24, 2019</w:t>
            </w:r>
          </w:p>
        </w:tc>
        <w:tc>
          <w:tcPr>
            <w:tcW w:w="1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850,538</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850,538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21,127</w:t>
            </w:r>
          </w:p>
        </w:tc>
        <w:tc>
          <w:tcPr>
            <w:tcW w:w="0" w:type="dxa"/>
            <w:vAlign w:val="bottom"/>
          </w:tcPr>
          <w:p>
            <w:pPr>
              <w:spacing w:after="0"/>
              <w:rPr>
                <w:sz w:val="1"/>
                <w:szCs w:val="1"/>
                <w:color w:val="auto"/>
              </w:rPr>
            </w:pPr>
          </w:p>
        </w:tc>
      </w:tr>
      <w:tr>
        <w:trPr>
          <w:trHeight w:val="264"/>
        </w:trPr>
        <w:tc>
          <w:tcPr>
            <w:tcW w:w="4100" w:type="dxa"/>
            <w:vAlign w:val="bottom"/>
          </w:tcPr>
          <w:p>
            <w:pPr>
              <w:ind w:left="20"/>
              <w:spacing w:after="0"/>
              <w:rPr>
                <w:sz w:val="20"/>
                <w:szCs w:val="20"/>
                <w:color w:val="auto"/>
              </w:rPr>
            </w:pPr>
            <w:r>
              <w:rPr>
                <w:rFonts w:ascii="Arial" w:cs="Arial" w:eastAsia="Arial" w:hAnsi="Arial"/>
                <w:sz w:val="14"/>
                <w:szCs w:val="14"/>
                <w:color w:val="auto"/>
              </w:rPr>
              <w:t xml:space="preserve">July 25, 2019 to August 21, 2019 </w:t>
            </w:r>
            <w:r>
              <w:rPr>
                <w:rFonts w:ascii="Arial" w:cs="Arial" w:eastAsia="Arial" w:hAnsi="Arial"/>
                <w:sz w:val="8"/>
                <w:szCs w:val="8"/>
                <w:color w:val="auto"/>
              </w:rPr>
              <w:t>(1)</w:t>
            </w: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900,977</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1820" w:type="dxa"/>
            <w:vAlign w:val="bottom"/>
          </w:tcPr>
          <w:p>
            <w:pPr>
              <w:jc w:val="right"/>
              <w:ind w:right="39"/>
              <w:spacing w:after="0"/>
              <w:rPr>
                <w:sz w:val="20"/>
                <w:szCs w:val="20"/>
                <w:color w:val="auto"/>
              </w:rPr>
            </w:pPr>
            <w:r>
              <w:rPr>
                <w:rFonts w:ascii="Arial" w:cs="Arial" w:eastAsia="Arial" w:hAnsi="Arial"/>
                <w:sz w:val="18"/>
                <w:szCs w:val="18"/>
                <w:color w:val="auto"/>
              </w:rPr>
              <w:t>900,977</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11,807</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22, 2019 to September 25, 2019</w:t>
            </w:r>
          </w:p>
        </w:tc>
        <w:tc>
          <w:tcPr>
            <w:tcW w:w="1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1,078,557</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1,078,557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1"/>
        </w:trPr>
        <w:tc>
          <w:tcPr>
            <w:tcW w:w="4100" w:type="dxa"/>
            <w:vAlign w:val="bottom"/>
          </w:tcPr>
          <w:p>
            <w:pPr>
              <w:ind w:left="1840"/>
              <w:spacing w:after="0"/>
              <w:rPr>
                <w:sz w:val="20"/>
                <w:szCs w:val="20"/>
                <w:color w:val="auto"/>
              </w:rPr>
            </w:pPr>
            <w:r>
              <w:rPr>
                <w:rFonts w:ascii="Arial" w:cs="Arial" w:eastAsia="Arial" w:hAnsi="Arial"/>
                <w:sz w:val="14"/>
                <w:szCs w:val="14"/>
                <w:color w:val="auto"/>
              </w:rPr>
              <w:t>Total</w:t>
            </w: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2,830,072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39"/>
              <w:spacing w:after="0"/>
              <w:rPr>
                <w:sz w:val="20"/>
                <w:szCs w:val="20"/>
                <w:color w:val="auto"/>
              </w:rPr>
            </w:pPr>
            <w:r>
              <w:rPr>
                <w:rFonts w:ascii="Arial" w:cs="Arial" w:eastAsia="Arial" w:hAnsi="Arial"/>
                <w:sz w:val="18"/>
                <w:szCs w:val="18"/>
                <w:color w:val="auto"/>
              </w:rPr>
              <w:t>2,830,072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0</wp:posOffset>
            </wp:positionV>
            <wp:extent cx="11493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0</wp:posOffset>
            </wp:positionV>
            <wp:extent cx="1157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3"/>
          <w:szCs w:val="13"/>
          <w:color w:val="auto"/>
        </w:rPr>
        <w:t>Includes 4,176 shares acquired by the Company to satisfy tax withholding obligations upon the vesting of previously issued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-93980</wp:posOffset>
            </wp:positionV>
            <wp:extent cx="11493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-93980</wp:posOffset>
            </wp:positionV>
            <wp:extent cx="1157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of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904"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vMerge w:val="restart"/>
          </w:tcPr>
          <w:p>
            <w:pPr>
              <w:spacing w:after="0"/>
              <w:rPr>
                <w:sz w:val="20"/>
                <w:szCs w:val="20"/>
                <w:color w:val="auto"/>
              </w:rPr>
            </w:pPr>
            <w:r>
              <w:rPr>
                <w:rFonts w:ascii="Arial" w:cs="Arial" w:eastAsia="Arial" w:hAnsi="Arial"/>
                <w:sz w:val="14"/>
                <w:szCs w:val="14"/>
                <w:color w:val="auto"/>
              </w:rPr>
              <w:t>Number</w:t>
            </w:r>
          </w:p>
        </w:tc>
        <w:tc>
          <w:tcPr>
            <w:tcW w:w="1440" w:type="dxa"/>
            <w:vAlign w:val="bottom"/>
          </w:tcPr>
          <w:p>
            <w:pPr>
              <w:spacing w:after="0"/>
              <w:rPr>
                <w:sz w:val="14"/>
                <w:szCs w:val="14"/>
                <w:color w:val="auto"/>
              </w:rPr>
            </w:pPr>
          </w:p>
        </w:tc>
        <w:tc>
          <w:tcPr>
            <w:tcW w:w="3520" w:type="dxa"/>
            <w:vAlign w:val="bottom"/>
            <w:gridSpan w:val="11"/>
            <w:vMerge w:val="restart"/>
          </w:tcPr>
          <w:p>
            <w:pPr>
              <w:ind w:left="58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4"/>
                <w:szCs w:val="1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Filed</w:t>
            </w:r>
          </w:p>
        </w:tc>
        <w:tc>
          <w:tcPr>
            <w:tcW w:w="220" w:type="dxa"/>
            <w:vAlign w:val="bottom"/>
          </w:tcPr>
          <w:p>
            <w:pPr>
              <w:spacing w:after="0"/>
              <w:rPr>
                <w:sz w:val="14"/>
                <w:szCs w:val="14"/>
                <w:color w:val="auto"/>
              </w:rPr>
            </w:pPr>
          </w:p>
        </w:tc>
        <w:tc>
          <w:tcPr>
            <w:tcW w:w="380" w:type="dxa"/>
            <w:vAlign w:val="bottom"/>
            <w:gridSpan w:val="2"/>
            <w:vMerge w:val="restart"/>
          </w:tcPr>
          <w:p>
            <w:pPr>
              <w:spacing w:after="0"/>
              <w:rPr>
                <w:sz w:val="20"/>
                <w:szCs w:val="20"/>
                <w:color w:val="auto"/>
              </w:rPr>
            </w:pPr>
            <w:r>
              <w:rPr>
                <w:rFonts w:ascii="Arial" w:cs="Arial" w:eastAsia="Arial" w:hAnsi="Arial"/>
                <w:sz w:val="14"/>
                <w:szCs w:val="14"/>
                <w:color w:val="auto"/>
              </w:rPr>
              <w:t>Form</w:t>
            </w:r>
          </w:p>
        </w:tc>
        <w:tc>
          <w:tcPr>
            <w:tcW w:w="1120" w:type="dxa"/>
            <w:vAlign w:val="bottom"/>
            <w:gridSpan w:val="3"/>
            <w:vMerge w:val="restart"/>
          </w:tcPr>
          <w:p>
            <w:pPr>
              <w:ind w:left="240"/>
              <w:spacing w:after="0"/>
              <w:rPr>
                <w:sz w:val="20"/>
                <w:szCs w:val="20"/>
                <w:color w:val="auto"/>
              </w:rPr>
            </w:pPr>
            <w:r>
              <w:rPr>
                <w:rFonts w:ascii="Arial" w:cs="Arial" w:eastAsia="Arial" w:hAnsi="Arial"/>
                <w:sz w:val="14"/>
                <w:szCs w:val="14"/>
                <w:color w:val="auto"/>
              </w:rPr>
              <w:t>Period Ended</w:t>
            </w:r>
          </w:p>
        </w:tc>
        <w:tc>
          <w:tcPr>
            <w:tcW w:w="22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color w:val="auto"/>
              </w:rPr>
              <w:t>Exhibit</w:t>
            </w:r>
          </w:p>
        </w:tc>
        <w:tc>
          <w:tcPr>
            <w:tcW w:w="900" w:type="dxa"/>
            <w:vAlign w:val="bottom"/>
            <w:gridSpan w:val="3"/>
            <w:vMerge w:val="restart"/>
          </w:tcPr>
          <w:p>
            <w:pPr>
              <w:ind w:left="160"/>
              <w:spacing w:after="0"/>
              <w:rPr>
                <w:sz w:val="20"/>
                <w:szCs w:val="20"/>
                <w:color w:val="auto"/>
              </w:rPr>
            </w:pPr>
            <w:r>
              <w:rPr>
                <w:rFonts w:ascii="Arial" w:cs="Arial" w:eastAsia="Arial" w:hAnsi="Arial"/>
                <w:sz w:val="14"/>
                <w:szCs w:val="14"/>
                <w:color w:val="auto"/>
              </w:rPr>
              <w:t>Filing Date</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w w:val="93"/>
              </w:rPr>
              <w:t>SEC File Number</w:t>
            </w:r>
          </w:p>
        </w:tc>
        <w:tc>
          <w:tcPr>
            <w:tcW w:w="0" w:type="dxa"/>
            <w:vAlign w:val="bottom"/>
          </w:tcPr>
          <w:p>
            <w:pPr>
              <w:spacing w:after="0"/>
              <w:rPr>
                <w:sz w:val="1"/>
                <w:szCs w:val="1"/>
                <w:color w:val="auto"/>
              </w:rPr>
            </w:pPr>
          </w:p>
        </w:tc>
      </w:tr>
      <w:tr>
        <w:trPr>
          <w:trHeight w:val="129"/>
        </w:trPr>
        <w:tc>
          <w:tcPr>
            <w:tcW w:w="92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3520" w:type="dxa"/>
            <w:vAlign w:val="bottom"/>
            <w:gridSpan w:val="11"/>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0"/>
              </w:rPr>
              <w:t>Herewith</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4520" w:type="dxa"/>
            <w:vAlign w:val="bottom"/>
            <w:tcBorders>
              <w:bottom w:val="single" w:sz="8" w:color="0000FF"/>
            </w:tcBorders>
            <w:gridSpan w:val="7"/>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Amended and Restated Certificate of Incorporation of El Pollo</w:t>
              </w:r>
            </w:hyperlink>
          </w:p>
        </w:tc>
        <w:tc>
          <w:tcPr>
            <w:tcW w:w="4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Loco Holdings, Inc.</w:t>
              </w:r>
            </w:hyperlink>
          </w:p>
        </w:tc>
        <w:tc>
          <w:tcPr>
            <w:tcW w:w="352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10-Q</w:t>
            </w:r>
          </w:p>
        </w:tc>
        <w:tc>
          <w:tcPr>
            <w:tcW w:w="10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9"/>
              </w:rPr>
              <w:t>6/25/2014</w:t>
            </w:r>
          </w:p>
        </w:tc>
        <w:tc>
          <w:tcPr>
            <w:tcW w:w="100" w:type="dxa"/>
            <w:vAlign w:val="bottom"/>
          </w:tcPr>
          <w:p>
            <w:pPr>
              <w:spacing w:after="0"/>
              <w:rPr>
                <w:sz w:val="17"/>
                <w:szCs w:val="17"/>
                <w:color w:val="auto"/>
              </w:rPr>
            </w:pPr>
          </w:p>
        </w:tc>
        <w:tc>
          <w:tcPr>
            <w:tcW w:w="640" w:type="dxa"/>
            <w:vAlign w:val="bottom"/>
            <w:gridSpan w:val="2"/>
          </w:tcPr>
          <w:p>
            <w:pPr>
              <w:jc w:val="right"/>
              <w:ind w:right="228"/>
              <w:spacing w:after="0" w:line="196"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9"/>
              </w:rPr>
              <w:t>9/5/2014</w:t>
            </w:r>
          </w:p>
        </w:tc>
        <w:tc>
          <w:tcPr>
            <w:tcW w:w="80" w:type="dxa"/>
            <w:vAlign w:val="bottom"/>
          </w:tcPr>
          <w:p>
            <w:pPr>
              <w:spacing w:after="0"/>
              <w:rPr>
                <w:sz w:val="17"/>
                <w:szCs w:val="17"/>
                <w:color w:val="auto"/>
              </w:rPr>
            </w:pPr>
          </w:p>
        </w:tc>
        <w:tc>
          <w:tcPr>
            <w:tcW w:w="1300" w:type="dxa"/>
            <w:vAlign w:val="bottom"/>
            <w:gridSpan w:val="2"/>
          </w:tcPr>
          <w:p>
            <w:pPr>
              <w:jc w:val="right"/>
              <w:ind w:right="368"/>
              <w:spacing w:after="0" w:line="196" w:lineRule="exact"/>
              <w:rPr>
                <w:sz w:val="20"/>
                <w:szCs w:val="20"/>
                <w:color w:val="auto"/>
              </w:rPr>
            </w:pPr>
            <w:r>
              <w:rPr>
                <w:rFonts w:ascii="Arial" w:cs="Arial" w:eastAsia="Arial" w:hAnsi="Arial"/>
                <w:sz w:val="18"/>
                <w:szCs w:val="18"/>
                <w:color w:val="auto"/>
                <w:w w:val="97"/>
              </w:rPr>
              <w:t>001-36556</w:t>
            </w:r>
          </w:p>
        </w:tc>
        <w:tc>
          <w:tcPr>
            <w:tcW w:w="0" w:type="dxa"/>
            <w:vAlign w:val="bottom"/>
          </w:tcPr>
          <w:p>
            <w:pPr>
              <w:spacing w:after="0"/>
              <w:rPr>
                <w:sz w:val="1"/>
                <w:szCs w:val="1"/>
                <w:color w:val="auto"/>
              </w:rPr>
            </w:pPr>
          </w:p>
        </w:tc>
      </w:tr>
      <w:tr>
        <w:trPr>
          <w:trHeight w:val="372"/>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4680" w:type="dxa"/>
            <w:vAlign w:val="bottom"/>
            <w:tcBorders>
              <w:bottom w:val="single" w:sz="8" w:color="0000FF"/>
            </w:tcBorders>
            <w:gridSpan w:val="11"/>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Amended and Restated By-Laws of El Pollo Loco Holdings, Inc.</w:t>
              </w:r>
            </w:hyperlink>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ind w:left="100"/>
              <w:spacing w:after="0"/>
              <w:rPr>
                <w:sz w:val="20"/>
                <w:szCs w:val="20"/>
                <w:color w:val="auto"/>
              </w:rPr>
            </w:pPr>
            <w:r>
              <w:rPr>
                <w:rFonts w:ascii="Arial" w:cs="Arial" w:eastAsia="Arial" w:hAnsi="Arial"/>
                <w:sz w:val="18"/>
                <w:szCs w:val="18"/>
                <w:color w:val="auto"/>
              </w:rPr>
              <w:t>10-Q</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6/25/2014</w:t>
            </w:r>
          </w:p>
        </w:tc>
        <w:tc>
          <w:tcPr>
            <w:tcW w:w="100" w:type="dxa"/>
            <w:vAlign w:val="bottom"/>
          </w:tcPr>
          <w:p>
            <w:pPr>
              <w:spacing w:after="0"/>
              <w:rPr>
                <w:sz w:val="24"/>
                <w:szCs w:val="24"/>
                <w:color w:val="auto"/>
              </w:rPr>
            </w:pPr>
          </w:p>
        </w:tc>
        <w:tc>
          <w:tcPr>
            <w:tcW w:w="640" w:type="dxa"/>
            <w:vAlign w:val="bottom"/>
            <w:gridSpan w:val="2"/>
          </w:tcPr>
          <w:p>
            <w:pPr>
              <w:jc w:val="right"/>
              <w:ind w:right="228"/>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9/5/2014</w:t>
            </w:r>
          </w:p>
        </w:tc>
        <w:tc>
          <w:tcPr>
            <w:tcW w:w="80" w:type="dxa"/>
            <w:vAlign w:val="bottom"/>
          </w:tcPr>
          <w:p>
            <w:pPr>
              <w:spacing w:after="0"/>
              <w:rPr>
                <w:sz w:val="24"/>
                <w:szCs w:val="24"/>
                <w:color w:val="auto"/>
              </w:rPr>
            </w:pPr>
          </w:p>
        </w:tc>
        <w:tc>
          <w:tcPr>
            <w:tcW w:w="1300" w:type="dxa"/>
            <w:vAlign w:val="bottom"/>
            <w:gridSpan w:val="2"/>
          </w:tcPr>
          <w:p>
            <w:pPr>
              <w:jc w:val="right"/>
              <w:ind w:right="368"/>
              <w:spacing w:after="0"/>
              <w:rPr>
                <w:sz w:val="20"/>
                <w:szCs w:val="20"/>
                <w:color w:val="auto"/>
              </w:rPr>
            </w:pPr>
            <w:r>
              <w:rPr>
                <w:rFonts w:ascii="Arial" w:cs="Arial" w:eastAsia="Arial" w:hAnsi="Arial"/>
                <w:sz w:val="18"/>
                <w:szCs w:val="18"/>
                <w:color w:val="auto"/>
                <w:w w:val="97"/>
              </w:rPr>
              <w:t>001-36556</w:t>
            </w:r>
          </w:p>
        </w:tc>
        <w:tc>
          <w:tcPr>
            <w:tcW w:w="0" w:type="dxa"/>
            <w:vAlign w:val="bottom"/>
          </w:tcPr>
          <w:p>
            <w:pPr>
              <w:spacing w:after="0"/>
              <w:rPr>
                <w:sz w:val="1"/>
                <w:szCs w:val="1"/>
                <w:color w:val="auto"/>
              </w:rPr>
            </w:pPr>
          </w:p>
        </w:tc>
      </w:tr>
      <w:tr>
        <w:trPr>
          <w:trHeight w:val="372"/>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464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Certification of Principal Executive Officer under section 302 of</w:t>
              </w:r>
            </w:hyperlink>
          </w:p>
        </w:tc>
        <w:tc>
          <w:tcPr>
            <w:tcW w:w="3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the Sarbanes–Oxley Act of 2002</w:t>
              </w:r>
            </w:hyperlink>
          </w:p>
        </w:tc>
        <w:tc>
          <w:tcPr>
            <w:tcW w:w="26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center"/>
              <w:ind w:right="240"/>
              <w:spacing w:after="0" w:line="196" w:lineRule="exact"/>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4960" w:type="dxa"/>
            <w:vAlign w:val="bottom"/>
            <w:gridSpan w:val="1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of Principal Financial Officer under section 302 of</w:t>
              </w:r>
            </w:hyperlink>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the Sarbanes–Oxley Act of 2002</w:t>
              </w:r>
            </w:hyperlink>
          </w:p>
        </w:tc>
        <w:tc>
          <w:tcPr>
            <w:tcW w:w="3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434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57">
              <w:r>
                <w:rPr>
                  <w:rFonts w:ascii="Arial" w:cs="Arial" w:eastAsia="Arial" w:hAnsi="Arial"/>
                  <w:sz w:val="18"/>
                  <w:szCs w:val="18"/>
                  <w:color w:val="0000FF"/>
                  <w:w w:val="93"/>
                </w:rPr>
                <w:t>Certification of Chief Executive Officer and Chief Financial</w:t>
              </w:r>
            </w:hyperlink>
          </w:p>
        </w:tc>
        <w:tc>
          <w:tcPr>
            <w:tcW w:w="620" w:type="dxa"/>
            <w:vAlign w:val="bottom"/>
            <w:gridSpan w:val="6"/>
          </w:tcPr>
          <w:p>
            <w:pPr>
              <w:spacing w:after="0"/>
              <w:rPr>
                <w:sz w:val="24"/>
                <w:szCs w:val="24"/>
                <w:color w:val="auto"/>
              </w:rPr>
            </w:pPr>
          </w:p>
        </w:tc>
        <w:tc>
          <w:tcPr>
            <w:tcW w:w="40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gridSpan w:val="12"/>
          </w:tcPr>
          <w:p>
            <w:pPr>
              <w:spacing w:after="0" w:line="196" w:lineRule="exact"/>
              <w:rPr>
                <w:rFonts w:ascii="Arial" w:cs="Arial" w:eastAsia="Arial" w:hAnsi="Arial"/>
                <w:sz w:val="18"/>
                <w:szCs w:val="18"/>
                <w:color w:val="0000FF"/>
                <w:w w:val="96"/>
              </w:rPr>
            </w:pPr>
            <w:hyperlink w:anchor="page57">
              <w:r>
                <w:rPr>
                  <w:rFonts w:ascii="Arial" w:cs="Arial" w:eastAsia="Arial" w:hAnsi="Arial"/>
                  <w:sz w:val="18"/>
                  <w:szCs w:val="18"/>
                  <w:color w:val="0000FF"/>
                  <w:w w:val="96"/>
                </w:rPr>
                <w:t>Officer under 18 U.S.C. section 1350, adopted by section 906 of</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the Sarbanes–Oxley Act of 2002</w:t>
              </w:r>
            </w:hyperlink>
          </w:p>
        </w:tc>
        <w:tc>
          <w:tcPr>
            <w:tcW w:w="3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3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26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9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9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9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9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9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20" w:type="dxa"/>
            <w:vAlign w:val="bottom"/>
          </w:tcPr>
          <w:p>
            <w:pPr>
              <w:spacing w:after="0"/>
              <w:rPr>
                <w:sz w:val="24"/>
                <w:szCs w:val="24"/>
                <w:color w:val="auto"/>
              </w:rPr>
            </w:pPr>
          </w:p>
        </w:tc>
        <w:tc>
          <w:tcPr>
            <w:tcW w:w="5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652"/>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0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El Pollo Loco Holdings, Inc.</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67"/>
        </w:trPr>
        <w:tc>
          <w:tcPr>
            <w:tcW w:w="3460" w:type="dxa"/>
            <w:vAlign w:val="bottom"/>
          </w:tcPr>
          <w:p>
            <w:pPr>
              <w:spacing w:after="0"/>
              <w:rPr>
                <w:sz w:val="20"/>
                <w:szCs w:val="20"/>
                <w:color w:val="auto"/>
              </w:rPr>
            </w:pPr>
            <w:r>
              <w:rPr>
                <w:rFonts w:ascii="Arial" w:cs="Arial" w:eastAsia="Arial" w:hAnsi="Arial"/>
                <w:sz w:val="18"/>
                <w:szCs w:val="18"/>
                <w:color w:val="auto"/>
              </w:rPr>
              <w:t>November 1, 2019</w:t>
            </w:r>
          </w:p>
        </w:tc>
        <w:tc>
          <w:tcPr>
            <w:tcW w:w="29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Bernard Acoca</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Bernard Acoca</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7"/>
        </w:trPr>
        <w:tc>
          <w:tcPr>
            <w:tcW w:w="3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020" w:type="dxa"/>
            <w:vAlign w:val="bottom"/>
          </w:tcPr>
          <w:p>
            <w:pPr>
              <w:ind w:left="80"/>
              <w:spacing w:after="0"/>
              <w:rPr>
                <w:sz w:val="20"/>
                <w:szCs w:val="20"/>
                <w:color w:val="auto"/>
              </w:rPr>
            </w:pPr>
            <w:r>
              <w:rPr>
                <w:rFonts w:ascii="Arial" w:cs="Arial" w:eastAsia="Arial" w:hAnsi="Arial"/>
                <w:sz w:val="18"/>
                <w:szCs w:val="18"/>
                <w:i w:val="1"/>
                <w:iCs w:val="1"/>
                <w:color w:val="auto"/>
              </w:rPr>
              <w:t>(duly authorized officer)</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8"/>
                <w:szCs w:val="18"/>
                <w:color w:val="auto"/>
              </w:rPr>
              <w:t>November 1, 2019</w:t>
            </w:r>
          </w:p>
        </w:tc>
        <w:tc>
          <w:tcPr>
            <w:tcW w:w="29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Laurance Roberts</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Laurance Roberts</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02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486"/>
        </w:trPr>
        <w:tc>
          <w:tcPr>
            <w:tcW w:w="3460" w:type="dxa"/>
            <w:vAlign w:val="bottom"/>
          </w:tcPr>
          <w:p>
            <w:pPr>
              <w:spacing w:after="0"/>
              <w:rPr>
                <w:sz w:val="24"/>
                <w:szCs w:val="24"/>
                <w:color w:val="auto"/>
              </w:rPr>
            </w:pPr>
          </w:p>
        </w:tc>
        <w:tc>
          <w:tcPr>
            <w:tcW w:w="2900" w:type="dxa"/>
            <w:vAlign w:val="bottom"/>
          </w:tcPr>
          <w:p>
            <w:pPr>
              <w:jc w:val="right"/>
              <w:ind w:right="510"/>
              <w:spacing w:after="0"/>
              <w:rPr>
                <w:sz w:val="20"/>
                <w:szCs w:val="20"/>
                <w:color w:val="auto"/>
              </w:rPr>
            </w:pPr>
            <w:r>
              <w:rPr>
                <w:rFonts w:ascii="Arial" w:cs="Arial" w:eastAsia="Arial" w:hAnsi="Arial"/>
                <w:sz w:val="18"/>
                <w:szCs w:val="18"/>
                <w:color w:val="auto"/>
              </w:rPr>
              <w:t>54</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7"/>
    </w:lvl>
  </w:abstractNum>
  <w:abstractNum w:abstractNumId="7">
    <w:nsid w:val="431BD7B7"/>
    <w:multiLevelType w:val="hybridMultilevel"/>
    <w:lvl w:ilvl="0">
      <w:lvlJc w:val="left"/>
      <w:lvlText w:val="(%1)"/>
      <w:numFmt w:val="lowerRoman"/>
      <w:start w:val="1"/>
    </w:lvl>
  </w:abstractNum>
  <w:abstractNum w:abstractNumId="8">
    <w:nsid w:val="3F2DBA31"/>
    <w:multiLevelType w:val="hybridMultilevel"/>
    <w:lvl w:ilvl="0">
      <w:lvlJc w:val="left"/>
      <w:lvlText w:val="%1."/>
      <w:numFmt w:val="decimal"/>
      <w:start w:val="10"/>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842"/>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5"/>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5"/>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5"/>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27" Type="http://schemas.openxmlformats.org/officeDocument/2006/relationships/hyperlink" Target="http://www.sec.gov/Archives/edgar/data/1606366/000119312514332367/d779664dex31.htm" TargetMode="External"/><Relationship Id="rId28" Type="http://schemas.openxmlformats.org/officeDocument/2006/relationships/hyperlink" Target="http://www.sec.gov/Archives/edgar/data/1606366/000119312514332367/d77966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2019-12-28T03:13:43Z</dcterms:created>
  <dcterms:modified xsi:type="dcterms:W3CDTF">2019-12-28T03:13:43Z</dcterms:modified>
</cp:coreProperties>
</file>