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612140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629285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219075</wp:posOffset>
            </wp:positionV>
            <wp:extent cx="1551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247015</wp:posOffset>
            </wp:positionV>
            <wp:extent cx="1551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1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28, 2018</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1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240665</wp:posOffset>
            </wp:positionV>
            <wp:extent cx="1551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EL POLLO LOCO HOLDINGS,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227965</wp:posOffset>
            </wp:positionV>
            <wp:extent cx="1551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6760" w:type="dxa"/>
            <w:vAlign w:val="bottom"/>
          </w:tcPr>
          <w:p>
            <w:pPr>
              <w:jc w:val="center"/>
              <w:ind w:right="259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right"/>
              <w:ind w:right="579"/>
              <w:spacing w:after="0"/>
              <w:rPr>
                <w:sz w:val="20"/>
                <w:szCs w:val="20"/>
                <w:color w:val="auto"/>
              </w:rPr>
            </w:pPr>
            <w:r>
              <w:rPr>
                <w:rFonts w:ascii="Arial" w:cs="Arial" w:eastAsia="Arial" w:hAnsi="Arial"/>
                <w:sz w:val="18"/>
                <w:szCs w:val="18"/>
                <w:b w:val="1"/>
                <w:bCs w:val="1"/>
                <w:color w:val="auto"/>
              </w:rPr>
              <w:t>20-3563182</w:t>
            </w:r>
          </w:p>
        </w:tc>
      </w:tr>
      <w:tr>
        <w:trPr>
          <w:trHeight w:val="218"/>
        </w:trPr>
        <w:tc>
          <w:tcPr>
            <w:tcW w:w="6760" w:type="dxa"/>
            <w:vAlign w:val="bottom"/>
          </w:tcPr>
          <w:p>
            <w:pPr>
              <w:jc w:val="center"/>
              <w:ind w:right="259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0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0"/>
        </w:trPr>
        <w:tc>
          <w:tcPr>
            <w:tcW w:w="6760" w:type="dxa"/>
            <w:vAlign w:val="bottom"/>
          </w:tcPr>
          <w:p>
            <w:pPr>
              <w:jc w:val="center"/>
              <w:ind w:right="2579"/>
              <w:spacing w:after="0"/>
              <w:rPr>
                <w:sz w:val="20"/>
                <w:szCs w:val="20"/>
                <w:color w:val="auto"/>
              </w:rPr>
            </w:pPr>
            <w:r>
              <w:rPr>
                <w:rFonts w:ascii="Arial" w:cs="Arial" w:eastAsia="Arial" w:hAnsi="Arial"/>
                <w:sz w:val="18"/>
                <w:szCs w:val="18"/>
                <w:b w:val="1"/>
                <w:bCs w:val="1"/>
                <w:color w:val="auto"/>
                <w:w w:val="92"/>
              </w:rPr>
              <w:t>3535 Harbor Blvd., Suite 100, Costa Mesa, California</w:t>
            </w:r>
          </w:p>
        </w:tc>
        <w:tc>
          <w:tcPr>
            <w:tcW w:w="2300" w:type="dxa"/>
            <w:vAlign w:val="bottom"/>
          </w:tcPr>
          <w:p>
            <w:pPr>
              <w:jc w:val="right"/>
              <w:ind w:right="779"/>
              <w:spacing w:after="0"/>
              <w:rPr>
                <w:sz w:val="20"/>
                <w:szCs w:val="20"/>
                <w:color w:val="auto"/>
              </w:rPr>
            </w:pPr>
            <w:r>
              <w:rPr>
                <w:rFonts w:ascii="Arial" w:cs="Arial" w:eastAsia="Arial" w:hAnsi="Arial"/>
                <w:sz w:val="18"/>
                <w:szCs w:val="18"/>
                <w:b w:val="1"/>
                <w:bCs w:val="1"/>
                <w:color w:val="auto"/>
              </w:rPr>
              <w:t>92626</w:t>
            </w:r>
          </w:p>
        </w:tc>
      </w:tr>
      <w:tr>
        <w:trPr>
          <w:trHeight w:val="218"/>
        </w:trPr>
        <w:tc>
          <w:tcPr>
            <w:tcW w:w="6760" w:type="dxa"/>
            <w:vAlign w:val="bottom"/>
          </w:tcPr>
          <w:p>
            <w:pPr>
              <w:jc w:val="center"/>
              <w:ind w:right="2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jc w:val="center"/>
              <w:ind w:left="39"/>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760" w:type="dxa"/>
            <w:vAlign w:val="bottom"/>
          </w:tcPr>
          <w:p>
            <w:pPr>
              <w:jc w:val="right"/>
              <w:ind w:right="1099"/>
              <w:spacing w:after="0"/>
              <w:rPr>
                <w:sz w:val="20"/>
                <w:szCs w:val="20"/>
                <w:color w:val="auto"/>
              </w:rPr>
            </w:pPr>
            <w:r>
              <w:rPr>
                <w:rFonts w:ascii="Arial" w:cs="Arial" w:eastAsia="Arial" w:hAnsi="Arial"/>
                <w:sz w:val="18"/>
                <w:szCs w:val="18"/>
                <w:b w:val="1"/>
                <w:bCs w:val="1"/>
                <w:color w:val="auto"/>
              </w:rPr>
              <w:t>(714) 599-5000</w:t>
            </w:r>
          </w:p>
        </w:tc>
        <w:tc>
          <w:tcPr>
            <w:tcW w:w="2300" w:type="dxa"/>
            <w:vAlign w:val="bottom"/>
          </w:tcPr>
          <w:p>
            <w:pPr>
              <w:spacing w:after="0"/>
              <w:rPr>
                <w:sz w:val="24"/>
                <w:szCs w:val="24"/>
                <w:color w:val="auto"/>
              </w:rPr>
            </w:pPr>
          </w:p>
        </w:tc>
      </w:tr>
      <w:tr>
        <w:trPr>
          <w:trHeight w:val="186"/>
        </w:trPr>
        <w:tc>
          <w:tcPr>
            <w:tcW w:w="6760" w:type="dxa"/>
            <w:vAlign w:val="bottom"/>
          </w:tcPr>
          <w:p>
            <w:pPr>
              <w:jc w:val="center"/>
              <w:ind w:left="31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300" w:type="dxa"/>
            <w:vAlign w:val="bottom"/>
          </w:tcPr>
          <w:p>
            <w:pPr>
              <w:spacing w:after="0"/>
              <w:rPr>
                <w:sz w:val="16"/>
                <w:szCs w:val="16"/>
                <w:color w:val="auto"/>
              </w:rPr>
            </w:pPr>
          </w:p>
        </w:tc>
      </w:tr>
    </w:tbl>
    <w:p>
      <w:pPr>
        <w:spacing w:after="0" w:line="8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227965</wp:posOffset>
            </wp:positionV>
            <wp:extent cx="15519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right="180"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200"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5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4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1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4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54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360"/>
          </w:cols>
          <w:pgMar w:left="240" w:top="1044" w:right="299" w:bottom="1440" w:gutter="0" w:footer="0" w:header="0"/>
        </w:sectPr>
      </w:pPr>
    </w:p>
    <w:bookmarkStart w:id="1" w:name="page2"/>
    <w:bookmarkEnd w:id="1"/>
    <w:p>
      <w:pPr>
        <w:ind w:firstLine="500"/>
        <w:spacing w:after="0" w:line="28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left="500" w:right="12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April 23, 2018, there were 38,636,038 shares of the issuer’s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180340</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240"/>
          </w:cols>
          <w:pgMar w:left="240" w:top="800"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9"/>
              </w:rPr>
              <w:t>Table of Contents</w:t>
            </w:r>
          </w:p>
        </w:tc>
        <w:tc>
          <w:tcPr>
            <w:tcW w:w="7740" w:type="dxa"/>
            <w:vAlign w:val="bottom"/>
            <w:gridSpan w:val="15"/>
          </w:tcPr>
          <w:p>
            <w:pPr>
              <w:spacing w:after="0"/>
              <w:rPr>
                <w:sz w:val="14"/>
                <w:szCs w:val="14"/>
                <w:color w:val="auto"/>
              </w:rPr>
            </w:pPr>
          </w:p>
        </w:tc>
        <w:tc>
          <w:tcPr>
            <w:tcW w:w="254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Page</w:t>
            </w:r>
          </w:p>
        </w:tc>
      </w:tr>
      <w:tr>
        <w:trPr>
          <w:trHeight w:val="20"/>
        </w:trPr>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8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254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50"/>
        </w:trPr>
        <w:tc>
          <w:tcPr>
            <w:tcW w:w="2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860" w:type="dxa"/>
            <w:vAlign w:val="bottom"/>
            <w:tcBorders>
              <w:top w:val="single" w:sz="8" w:color="0000EE"/>
            </w:tcBorders>
            <w:gridSpan w:val="4"/>
          </w:tcPr>
          <w:p>
            <w:pPr>
              <w:spacing w:after="0"/>
              <w:rPr>
                <w:sz w:val="21"/>
                <w:szCs w:val="21"/>
                <w:color w:val="auto"/>
              </w:rPr>
            </w:pPr>
          </w:p>
        </w:tc>
        <w:tc>
          <w:tcPr>
            <w:tcW w:w="5860" w:type="dxa"/>
            <w:vAlign w:val="bottom"/>
            <w:gridSpan w:val="7"/>
          </w:tcPr>
          <w:p>
            <w:pPr>
              <w:spacing w:after="0"/>
              <w:rPr>
                <w:sz w:val="21"/>
                <w:szCs w:val="21"/>
                <w:color w:val="auto"/>
              </w:rPr>
            </w:pPr>
          </w:p>
        </w:tc>
        <w:tc>
          <w:tcPr>
            <w:tcW w:w="244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88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54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3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(Unaudited)</w:t>
              </w:r>
            </w:hyperlink>
          </w:p>
        </w:tc>
        <w:tc>
          <w:tcPr>
            <w:tcW w:w="4500" w:type="dxa"/>
            <w:vAlign w:val="bottom"/>
            <w:gridSpan w:val="5"/>
          </w:tcPr>
          <w:p>
            <w:pPr>
              <w:spacing w:after="0"/>
              <w:rPr>
                <w:sz w:val="21"/>
                <w:szCs w:val="21"/>
                <w:color w:val="auto"/>
              </w:rPr>
            </w:pPr>
          </w:p>
        </w:tc>
        <w:tc>
          <w:tcPr>
            <w:tcW w:w="244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88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w:t>
              </w:r>
            </w:hyperlink>
          </w:p>
        </w:tc>
        <w:tc>
          <w:tcPr>
            <w:tcW w:w="254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2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254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760" w:type="dxa"/>
            <w:vAlign w:val="bottom"/>
            <w:gridSpan w:val="16"/>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2. Management’s Discussion and Analysis of Financial Condition and Results of Income</w:t>
              </w:r>
            </w:hyperlink>
          </w:p>
        </w:tc>
        <w:tc>
          <w:tcPr>
            <w:tcW w:w="2060" w:type="dxa"/>
            <w:vAlign w:val="bottom"/>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4940" w:type="dxa"/>
            <w:vAlign w:val="bottom"/>
            <w:gridSpan w:val="15"/>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Item 3. Quantitative and Qualitative Disclosures About Market Risk.</w:t>
              </w:r>
            </w:hyperlink>
          </w:p>
        </w:tc>
        <w:tc>
          <w:tcPr>
            <w:tcW w:w="18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880" w:type="dxa"/>
            <w:vAlign w:val="bottom"/>
            <w:tcBorders>
              <w:left w:val="single" w:sz="8" w:color="0000EE"/>
            </w:tcBorders>
            <w:gridSpan w:val="2"/>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360" w:type="dxa"/>
            <w:vAlign w:val="bottom"/>
            <w:gridSpan w:val="7"/>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Item 4. Controls and Procedures.</w:t>
              </w:r>
            </w:hyperlink>
          </w:p>
        </w:tc>
        <w:tc>
          <w:tcPr>
            <w:tcW w:w="2580" w:type="dxa"/>
            <w:vAlign w:val="bottom"/>
            <w:gridSpan w:val="8"/>
          </w:tcPr>
          <w:p>
            <w:pPr>
              <w:spacing w:after="0"/>
              <w:rPr>
                <w:sz w:val="21"/>
                <w:szCs w:val="21"/>
                <w:color w:val="auto"/>
              </w:rPr>
            </w:pPr>
          </w:p>
        </w:tc>
        <w:tc>
          <w:tcPr>
            <w:tcW w:w="3880" w:type="dxa"/>
            <w:vAlign w:val="bottom"/>
            <w:gridSpan w:val="2"/>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PART II—OTHER INFORMATION</w:t>
              </w:r>
            </w:hyperlink>
          </w:p>
        </w:tc>
        <w:tc>
          <w:tcPr>
            <w:tcW w:w="6160" w:type="dxa"/>
            <w:vAlign w:val="bottom"/>
            <w:gridSpan w:val="9"/>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 Legal Proceedings.</w:t>
              </w:r>
            </w:hyperlink>
          </w:p>
        </w:tc>
        <w:tc>
          <w:tcPr>
            <w:tcW w:w="6160" w:type="dxa"/>
            <w:vAlign w:val="bottom"/>
            <w:gridSpan w:val="9"/>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1640" w:type="dxa"/>
            <w:vAlign w:val="bottom"/>
            <w:gridSpan w:val="4"/>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Item 1A. Risk Factors.</w:t>
              </w:r>
            </w:hyperlink>
          </w:p>
        </w:tc>
        <w:tc>
          <w:tcPr>
            <w:tcW w:w="260" w:type="dxa"/>
            <w:vAlign w:val="bottom"/>
          </w:tcPr>
          <w:p>
            <w:pPr>
              <w:spacing w:after="0"/>
              <w:rPr>
                <w:sz w:val="21"/>
                <w:szCs w:val="21"/>
                <w:color w:val="auto"/>
              </w:rPr>
            </w:pPr>
          </w:p>
        </w:tc>
        <w:tc>
          <w:tcPr>
            <w:tcW w:w="6920" w:type="dxa"/>
            <w:vAlign w:val="bottom"/>
            <w:gridSpan w:val="12"/>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882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2. Unregistered Sales of Equity Securities and Use of Proceeds.</w:t>
              </w:r>
            </w:hyperlink>
          </w:p>
        </w:tc>
        <w:tc>
          <w:tcPr>
            <w:tcW w:w="254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920" w:type="dxa"/>
            <w:vAlign w:val="bottom"/>
            <w:gridSpan w:val="9"/>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3. Defaults Upon Senior Securities.</w:t>
              </w:r>
            </w:hyperlink>
          </w:p>
        </w:tc>
        <w:tc>
          <w:tcPr>
            <w:tcW w:w="2020" w:type="dxa"/>
            <w:vAlign w:val="bottom"/>
            <w:gridSpan w:val="6"/>
          </w:tcPr>
          <w:p>
            <w:pPr>
              <w:spacing w:after="0"/>
              <w:rPr>
                <w:sz w:val="21"/>
                <w:szCs w:val="21"/>
                <w:color w:val="auto"/>
              </w:rPr>
            </w:pPr>
          </w:p>
        </w:tc>
        <w:tc>
          <w:tcPr>
            <w:tcW w:w="3880" w:type="dxa"/>
            <w:vAlign w:val="bottom"/>
            <w:gridSpan w:val="2"/>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920" w:type="dxa"/>
            <w:vAlign w:val="bottom"/>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 Mine Safety Disclosures.</w:t>
              </w:r>
            </w:hyperlink>
          </w:p>
        </w:tc>
        <w:tc>
          <w:tcPr>
            <w:tcW w:w="5900" w:type="dxa"/>
            <w:vAlign w:val="bottom"/>
            <w:gridSpan w:val="8"/>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460" w:type="dxa"/>
            <w:vAlign w:val="bottom"/>
            <w:gridSpan w:val="10"/>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36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5. Other Information.</w:t>
              </w:r>
            </w:hyperlink>
          </w:p>
        </w:tc>
        <w:tc>
          <w:tcPr>
            <w:tcW w:w="6460" w:type="dxa"/>
            <w:vAlign w:val="bottom"/>
            <w:gridSpan w:val="10"/>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920" w:type="dxa"/>
            <w:vAlign w:val="bottom"/>
            <w:gridSpan w:val="12"/>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1200" w:type="dxa"/>
            <w:vAlign w:val="bottom"/>
            <w:gridSpan w:val="3"/>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Item 6. Exhibits.</w:t>
              </w:r>
            </w:hyperlink>
          </w:p>
        </w:tc>
        <w:tc>
          <w:tcPr>
            <w:tcW w:w="700" w:type="dxa"/>
            <w:vAlign w:val="bottom"/>
            <w:gridSpan w:val="2"/>
          </w:tcPr>
          <w:p>
            <w:pPr>
              <w:spacing w:after="0"/>
              <w:rPr>
                <w:sz w:val="21"/>
                <w:szCs w:val="21"/>
                <w:color w:val="auto"/>
              </w:rPr>
            </w:pPr>
          </w:p>
        </w:tc>
        <w:tc>
          <w:tcPr>
            <w:tcW w:w="6920" w:type="dxa"/>
            <w:vAlign w:val="bottom"/>
            <w:gridSpan w:val="12"/>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620" w:type="dxa"/>
            <w:vAlign w:val="bottom"/>
            <w:gridSpan w:val="14"/>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Signatures</w:t>
              </w:r>
            </w:hyperlink>
          </w:p>
        </w:tc>
        <w:tc>
          <w:tcPr>
            <w:tcW w:w="440" w:type="dxa"/>
            <w:vAlign w:val="bottom"/>
            <w:gridSpan w:val="2"/>
          </w:tcPr>
          <w:p>
            <w:pPr>
              <w:spacing w:after="0"/>
              <w:rPr>
                <w:sz w:val="21"/>
                <w:szCs w:val="21"/>
                <w:color w:val="auto"/>
              </w:rPr>
            </w:pPr>
          </w:p>
        </w:tc>
        <w:tc>
          <w:tcPr>
            <w:tcW w:w="7620" w:type="dxa"/>
            <w:vAlign w:val="bottom"/>
            <w:gridSpan w:val="14"/>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723"/>
        </w:trPr>
        <w:tc>
          <w:tcPr>
            <w:tcW w:w="760" w:type="dxa"/>
            <w:vAlign w:val="bottom"/>
            <w:tcBorders>
              <w:top w:val="single" w:sz="8" w:color="0000EE"/>
            </w:tcBorders>
          </w:tcPr>
          <w:p>
            <w:pPr>
              <w:spacing w:after="0"/>
              <w:rPr>
                <w:sz w:val="24"/>
                <w:szCs w:val="24"/>
                <w:color w:val="auto"/>
              </w:rPr>
            </w:pPr>
          </w:p>
        </w:tc>
        <w:tc>
          <w:tcPr>
            <w:tcW w:w="6000" w:type="dxa"/>
            <w:vAlign w:val="bottom"/>
            <w:gridSpan w:val="15"/>
          </w:tcPr>
          <w:p>
            <w:pPr>
              <w:jc w:val="right"/>
              <w:ind w:right="1040"/>
              <w:spacing w:after="0"/>
              <w:rPr>
                <w:sz w:val="20"/>
                <w:szCs w:val="20"/>
                <w:color w:val="auto"/>
              </w:rPr>
            </w:pPr>
            <w:r>
              <w:rPr>
                <w:rFonts w:ascii="Arial" w:cs="Arial" w:eastAsia="Arial" w:hAnsi="Arial"/>
                <w:sz w:val="18"/>
                <w:szCs w:val="18"/>
                <w:color w:val="auto"/>
              </w:rPr>
              <w:t>3</w:t>
            </w:r>
          </w:p>
        </w:tc>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735" w:right="2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28, 2018</w:t>
            </w:r>
          </w:p>
        </w:tc>
        <w:tc>
          <w:tcPr>
            <w:tcW w:w="120" w:type="dxa"/>
            <w:vAlign w:val="bottom"/>
          </w:tcPr>
          <w:p>
            <w:pPr>
              <w:spacing w:after="0"/>
              <w:rPr>
                <w:sz w:val="16"/>
                <w:szCs w:val="16"/>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b w:val="1"/>
                <w:bCs w:val="1"/>
                <w:color w:val="auto"/>
                <w:w w:val="93"/>
              </w:rPr>
              <w:t>December 27, 2017</w:t>
            </w:r>
          </w:p>
        </w:tc>
        <w:tc>
          <w:tcPr>
            <w:tcW w:w="0" w:type="dxa"/>
            <w:vAlign w:val="bottom"/>
          </w:tcPr>
          <w:p>
            <w:pPr>
              <w:spacing w:after="0"/>
              <w:rPr>
                <w:sz w:val="1"/>
                <w:szCs w:val="1"/>
                <w:color w:val="auto"/>
              </w:rPr>
            </w:pPr>
          </w:p>
        </w:tc>
      </w:tr>
      <w:tr>
        <w:trPr>
          <w:trHeight w:val="250"/>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3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Accounts and other receivables, net</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Property and equipment owned, net</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102,499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102,794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held under capital leases, net</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248,674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248,674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61,888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440,934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442,711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vMerge w:val="continue"/>
          </w:tcPr>
          <w:p>
            <w:pPr>
              <w:spacing w:after="0"/>
              <w:rPr>
                <w:sz w:val="20"/>
                <w:szCs w:val="20"/>
                <w:color w:val="auto"/>
              </w:rPr>
            </w:pPr>
          </w:p>
        </w:tc>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Current portion of obligations under capital leases</w:t>
            </w:r>
          </w:p>
        </w:tc>
        <w:tc>
          <w:tcPr>
            <w:tcW w:w="3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Accrued salaries and vacation</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9,235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7,339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insurance</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Accrued income taxes payable</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Current portion of income tax receivable agreement payable</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11,876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8,281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 and current liabilities</w:t>
            </w:r>
          </w:p>
        </w:tc>
        <w:tc>
          <w:tcPr>
            <w:tcW w:w="3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13,270</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3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51,362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47,325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Revolver loan</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93,000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intangible liabilities, net</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tax receivable agreement payable, net of current portion</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13,694</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19,463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3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166,417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167,761</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3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40"/>
              <w:spacing w:after="0"/>
              <w:rPr>
                <w:sz w:val="20"/>
                <w:szCs w:val="20"/>
                <w:color w:val="auto"/>
              </w:rPr>
            </w:pPr>
            <w:r>
              <w:rPr>
                <w:rFonts w:ascii="Arial" w:cs="Arial" w:eastAsia="Arial" w:hAnsi="Arial"/>
                <w:sz w:val="18"/>
                <w:szCs w:val="18"/>
                <w:color w:val="auto"/>
                <w:w w:val="89"/>
              </w:rPr>
              <w:t>Preferred stock, $0.01 par value, 100,000,000 shares authorized; none</w:t>
            </w:r>
          </w:p>
        </w:tc>
        <w:tc>
          <w:tcPr>
            <w:tcW w:w="3460" w:type="dxa"/>
            <w:vAlign w:val="bottom"/>
            <w:gridSpan w:val="2"/>
          </w:tcPr>
          <w:p>
            <w:pPr>
              <w:jc w:val="right"/>
              <w:ind w:right="2780"/>
              <w:spacing w:after="0"/>
              <w:rPr>
                <w:sz w:val="20"/>
                <w:szCs w:val="20"/>
                <w:color w:val="auto"/>
              </w:rPr>
            </w:pPr>
            <w:r>
              <w:rPr>
                <w:rFonts w:ascii="Arial" w:cs="Arial" w:eastAsia="Arial" w:hAnsi="Arial"/>
                <w:sz w:val="18"/>
                <w:szCs w:val="18"/>
                <w:color w:val="auto"/>
                <w:w w:val="90"/>
              </w:rPr>
              <w:t>issued or</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Common stock, $0.01 par value—200,000,000 shares authorized; 38,636,038</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38,661,850 shares issued and outstanding</w:t>
            </w:r>
          </w:p>
        </w:tc>
        <w:tc>
          <w:tcPr>
            <w:tcW w:w="3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Additional paid-in-capital</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373,522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372,990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(98,427)</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3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274,517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274,950</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440,934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442,711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360"/>
          </w:cols>
          <w:pgMar w:left="240" w:top="580" w:right="299" w:bottom="144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580" w:right="2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28, 2018</w:t>
            </w:r>
          </w:p>
        </w:tc>
        <w:tc>
          <w:tcPr>
            <w:tcW w:w="160" w:type="dxa"/>
            <w:vAlign w:val="bottom"/>
          </w:tcPr>
          <w:p>
            <w:pPr>
              <w:spacing w:after="0"/>
              <w:rPr>
                <w:sz w:val="22"/>
                <w:szCs w:val="22"/>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March 29, 2017</w:t>
            </w:r>
          </w:p>
        </w:tc>
        <w:tc>
          <w:tcPr>
            <w:tcW w:w="0" w:type="dxa"/>
            <w:vAlign w:val="bottom"/>
          </w:tcPr>
          <w:p>
            <w:pPr>
              <w:spacing w:after="0"/>
              <w:rPr>
                <w:sz w:val="1"/>
                <w:szCs w:val="1"/>
                <w:color w:val="auto"/>
              </w:rPr>
            </w:pPr>
          </w:p>
        </w:tc>
      </w:tr>
      <w:tr>
        <w:trPr>
          <w:trHeight w:val="236"/>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Company-operated restaurant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94,553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93,449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Franchise advertising fee revenue</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99,771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Cost of operations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paper 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Labor and related expenses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27,662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26,833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other operating expenses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Company restaurant expenses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76,816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74,447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Franchise expenses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Loss on disposal of assets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90,410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Interest expense, net of interest income of $8 and $5 for the quarters ended March 28, 2018 and March 29, 2017,</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used in computing net income per share</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38,465,208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38,437,020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38,987,351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39,079,007</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28, 2018</w:t>
            </w:r>
          </w:p>
        </w:tc>
        <w:tc>
          <w:tcPr>
            <w:tcW w:w="200" w:type="dxa"/>
            <w:vAlign w:val="bottom"/>
          </w:tcPr>
          <w:p>
            <w:pPr>
              <w:spacing w:after="0"/>
              <w:rPr>
                <w:sz w:val="22"/>
                <w:szCs w:val="22"/>
                <w:color w:val="auto"/>
              </w:rPr>
            </w:pPr>
          </w:p>
        </w:tc>
        <w:tc>
          <w:tcPr>
            <w:tcW w:w="1280" w:type="dxa"/>
            <w:vAlign w:val="bottom"/>
          </w:tcPr>
          <w:p>
            <w:pPr>
              <w:jc w:val="right"/>
              <w:ind w:right="171"/>
              <w:spacing w:after="0"/>
              <w:rPr>
                <w:sz w:val="20"/>
                <w:szCs w:val="20"/>
                <w:color w:val="auto"/>
              </w:rPr>
            </w:pPr>
            <w:r>
              <w:rPr>
                <w:rFonts w:ascii="Arial" w:cs="Arial" w:eastAsia="Arial" w:hAnsi="Arial"/>
                <w:sz w:val="14"/>
                <w:szCs w:val="14"/>
                <w:b w:val="1"/>
                <w:bCs w:val="1"/>
                <w:color w:val="auto"/>
              </w:rPr>
              <w:t>March 29,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4,877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flows provided by operating</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4,317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Impairment of property and equipment</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Closed-store reserve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favorable and unfavorable leases,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3,400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and other receivables,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salaries and vacation</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3,624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insurance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accrued expenses and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525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19,133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(11,601)</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revolver loan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 of obligations under capital leases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4,484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6,203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6,652</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710"/>
        </w:trPr>
        <w:tc>
          <w:tcPr>
            <w:tcW w:w="8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28, 2018</w:t>
            </w:r>
          </w:p>
        </w:tc>
        <w:tc>
          <w:tcPr>
            <w:tcW w:w="200" w:type="dxa"/>
            <w:vAlign w:val="bottom"/>
          </w:tcPr>
          <w:p>
            <w:pPr>
              <w:spacing w:after="0"/>
              <w:rPr>
                <w:sz w:val="22"/>
                <w:szCs w:val="22"/>
                <w:color w:val="auto"/>
              </w:rPr>
            </w:pPr>
          </w:p>
        </w:tc>
        <w:tc>
          <w:tcPr>
            <w:tcW w:w="1280" w:type="dxa"/>
            <w:vAlign w:val="bottom"/>
          </w:tcPr>
          <w:p>
            <w:pPr>
              <w:jc w:val="right"/>
              <w:ind w:right="171"/>
              <w:spacing w:after="0"/>
              <w:rPr>
                <w:sz w:val="20"/>
                <w:szCs w:val="20"/>
                <w:color w:val="auto"/>
              </w:rPr>
            </w:pPr>
            <w:r>
              <w:rPr>
                <w:rFonts w:ascii="Arial" w:cs="Arial" w:eastAsia="Arial" w:hAnsi="Arial"/>
                <w:sz w:val="14"/>
                <w:szCs w:val="14"/>
                <w:b w:val="1"/>
                <w:bCs w:val="1"/>
                <w:color w:val="auto"/>
              </w:rPr>
              <w:t>March 29, 2017</w:t>
            </w:r>
          </w:p>
        </w:tc>
      </w:tr>
      <w:tr>
        <w:trPr>
          <w:trHeight w:val="263"/>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821</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91"/>
        </w:trPr>
        <w:tc>
          <w:tcPr>
            <w:tcW w:w="8340" w:type="dxa"/>
            <w:vAlign w:val="bottom"/>
          </w:tcPr>
          <w:p>
            <w:pPr>
              <w:ind w:left="40"/>
              <w:spacing w:after="0"/>
              <w:rPr>
                <w:sz w:val="20"/>
                <w:szCs w:val="20"/>
                <w:color w:val="auto"/>
              </w:rPr>
            </w:pPr>
            <w:r>
              <w:rPr>
                <w:rFonts w:ascii="Arial" w:cs="Arial" w:eastAsia="Arial" w:hAnsi="Arial"/>
                <w:sz w:val="18"/>
                <w:szCs w:val="18"/>
                <w:color w:val="auto"/>
              </w:rPr>
              <w:t>Cash paid during the period for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51"/>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Unpaid purchases of property and equipment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3,161</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ectPr>
          <w:pgSz w:w="11900" w:h="16838" w:orient="portrait"/>
          <w:cols w:equalWidth="0" w:num="1">
            <w:col w:w="11420"/>
          </w:cols>
          <w:pgMar w:left="240" w:top="68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688" w:right="239" w:bottom="1440" w:gutter="0" w:footer="0" w:header="0"/>
          <w:type w:val="continuous"/>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66" w:lineRule="exact"/>
        <w:rPr>
          <w:sz w:val="20"/>
          <w:szCs w:val="20"/>
          <w:color w:val="auto"/>
        </w:rPr>
      </w:pPr>
    </w:p>
    <w:p>
      <w:pPr>
        <w:ind w:right="378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ind w:right="200"/>
        <w:spacing w:after="0" w:line="279" w:lineRule="auto"/>
        <w:rPr>
          <w:sz w:val="20"/>
          <w:szCs w:val="20"/>
          <w:color w:val="auto"/>
        </w:rPr>
      </w:pPr>
      <w:r>
        <w:rPr>
          <w:rFonts w:ascii="Arial" w:cs="Arial" w:eastAsia="Arial" w:hAnsi="Arial"/>
          <w:sz w:val="17"/>
          <w:szCs w:val="17"/>
          <w:color w:val="auto"/>
        </w:rPr>
        <w:t>El Pollo Loco Holdings, Inc. (“Holdings”) is a Delaware corporation headquartered in Costa Mesa, California. Holdings and its direct and indirect subsidiaries are collectively known as “we,” “us” or the “Company.” The Company's activities are conducted principally through its indirect wholly-owned subsidiary, El Pollo Loco, Inc. (“EPL”), which develops, franchises, licenses, and operates quick-service restaurants under the name El Pollo Loco® and operates under one operating segment. At March 28, 2018, the Company operated 212 and franchised 268 El Pollo Loco restaurants.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presentation of the Company's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27, 2017.</w:t>
      </w:r>
    </w:p>
    <w:p>
      <w:pPr>
        <w:spacing w:after="0" w:line="19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2017 and 2018 are both 52-week years, ending on December 27, 2017 and December 26, 2018, respectively. Revenues, expenses, and other financial and operational figures may be elevated in a 53-week year.</w:t>
      </w:r>
    </w:p>
    <w:p>
      <w:pPr>
        <w:spacing w:after="0" w:line="15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Holdings has no material assets or operations. Holdings and Holdings’ direct subsidiary, EPL Intermediate, Inc. (“Intermediate”), guarantee EPL’s 2014 Revolver (see Note 4)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$5.0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 reported. Actual results could materially differ from those estimates. The Company’s significant estimates include estimates for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7" w:name="page8"/>
    <w:bookmarkEnd w:id="7"/>
    <w:p>
      <w:pPr>
        <w:ind w:right="360"/>
        <w:spacing w:after="0" w:line="277" w:lineRule="auto"/>
        <w:rPr>
          <w:sz w:val="20"/>
          <w:szCs w:val="20"/>
          <w:color w:val="auto"/>
        </w:rPr>
      </w:pPr>
      <w:r>
        <w:rPr>
          <w:rFonts w:ascii="Arial" w:cs="Arial" w:eastAsia="Arial" w:hAnsi="Arial"/>
          <w:sz w:val="18"/>
          <w:szCs w:val="18"/>
          <w:color w:val="auto"/>
        </w:rPr>
        <w:t>impairment of goodwill, intangible assets and property and equipment, insurance reserves, lease termination liabilities, closed-store reserves, stock-based compensation, income tax receivable agreement liability, and income tax valuation allowances.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highly-liquid instruments with an original maturity of three months or less at the date of purchase to be cash equivalents.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principal liquidity requirements are to service its debt and to meet capital expenditure needs. At March 28, 2018, the Company’s total debt (including capital lease liabilities) was $85.3 million. The Company’s ability to make payments on its indebtedness and to fund planned capital expenditures depends on available cash and on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$6.2 million at March 28, 2018, and available borrowings under the 2014 Revolver (which availability was approximately $107.3 million at March 28, 2018) will be adequate to meet the Company’s liquidity needs for the next twelve months from the issuance of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Recovery of Securities Class Action Legal Expense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thirteen weeks ended March 28, 2018, the Company received insurance proceeds of $1.6 million, related to the reimbursement of certain legal expenses paid in prior years for the defense of securities lawsuits.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May 2017, the Financial Accounting Standards Board ("FASB") issued Accounting Standards Update ("ASU") 2017-09, which provides clarity, reduces diversity in practice, and reduces cost and complexity when applying the guidance in Topic 718 Compensation—Stock Compensation, regarding a change to the terms or conditions of a share-based payment award. Specifically, an entity is to account for the effects of a modification, unless all of the following are satisfied: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as a liability instrument is the same as the classification of the original award immediately before the original award is modified. The Company adopted ASU 2017-09 in the first quarter of fiscal 2018, and this adoption did not result in any impact on the Company’s consolidated financial position or results of operations.</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January 2017, the FASB issued ASU 2017-01, clarifying the definition of a business. ASU 2017-01 clarifies the definition of a business with the objective of adding guidance to assist entities with evaluating whether transactions should be accounted for as acquisitions (or disposals) of assets or businesses. The Company adopted ASU 2017-01 in the first quarter of fiscal 2018, and this adoption did not result in any impact on the Company’s consolidated financial position or results of operations.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2016, the FASB issued ASU 2016-18, "Restricted Cash." ASU 2016-18 addresses the diversity in practice that exists regarding the classification and the presentation of changes in restricted cash on the statements of cash flows under Topic 230, Statements of Cash Flow, and other Topics. The amendments in ASU No. 2016-18 require that amounts generally described as restricted cash and restricted cash equivalents should be included with cash and cash equivalents when reconciling the beginning-of-period and the end-of-period total amounts set forth on the statements of cash flows. The Company adopted ASU 2016-18 in the first quarter of fiscal 2018, and this adoption did not result in any impact on the Company’s consolidated financial position or results of operations.</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ASU 2016-15 addresses how certain cash receipts and cash payments are presented and classified in the statements of cash flows under Topic 230, Statements of Cash Flow. The Company adopted ASU 2016-15 in the first quarter of fiscal 2018, and this adoption did not result in any impact on the Company’s consolidated financial position or results of operations.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692" w:right="259" w:bottom="1440" w:gutter="0" w:footer="0" w:header="0"/>
        </w:sectPr>
      </w:pPr>
    </w:p>
    <w:bookmarkStart w:id="8" w:name="page9"/>
    <w:bookmarkEnd w:id="8"/>
    <w:p>
      <w:pPr>
        <w:spacing w:after="0" w:line="279" w:lineRule="auto"/>
        <w:rPr>
          <w:sz w:val="20"/>
          <w:szCs w:val="20"/>
          <w:color w:val="auto"/>
        </w:rPr>
      </w:pPr>
      <w:r>
        <w:rPr>
          <w:rFonts w:ascii="Arial" w:cs="Arial" w:eastAsia="Arial" w:hAnsi="Arial"/>
          <w:sz w:val="17"/>
          <w:szCs w:val="17"/>
          <w:color w:val="auto"/>
        </w:rPr>
        <w:t>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 Company adopted ASU 2016-01 in the first quarter of fiscal 2018, and this adoption did not result in any impact on the Company’s consolidated financial position or results of operations.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w:t>
      </w:r>
    </w:p>
    <w:p>
      <w:pPr>
        <w:spacing w:after="0" w:line="1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addition, the FASB has issued the following Technical Corrections, Practical Expedients and Improvements to Topic 606, Revenue from Contracts with Customers: ASU 2017-13 in September 2017, ASU No. 2016-20, in December 2016, ASU No. 2016-12, in May 2016, and ASU No. 2016-10, in April 2016.</w:t>
      </w:r>
    </w:p>
    <w:p>
      <w:pPr>
        <w:spacing w:after="0" w:line="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adopted ASU 2014-09, and all related ASU's in the first quarter of 2018. See Changes in Accounting Policies, below, and Note 10 for further details.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In March 2018, the FASB issued ASU 2018-05, which adds various SEC paragraphs pursuant to the issuance of SEC Staff Accounting Bulletin No. 118. In particular, ASU 2018-05 amends Subtopic 740-10 Income Taxes, overall, to add information regarding Income Tax Accounting Implications of the Tax Cuts and Jobs Act, as well as other paragraphs and sections related to the income tax accounting implications of the Tax Cuts and Jobs Act. There is no transition date related to this guidance, and there is no impact on the Company's consolidated financial position or results of operations.</w:t>
      </w:r>
    </w:p>
    <w:p>
      <w:pPr>
        <w:spacing w:after="0" w:line="17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January 2017, the FASB issued ASU 2017-04, simplifying the manner in which an entity is required to test for goodwill impairment by eliminating Step 2 from the goodwill impairment test. ASU 2017-04 is effective for financial statements issued for annual periods beginning after December 15, 2019. The adoption of ASU 2017-04 is not expected to have a significant impact on the Company’s consolidated financial position or results of operations.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2016, the FASB issued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Although early adoption is permitted, the Company will adopt these provisions in the first quarter of 2019.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has $286.5 million of operating lease obligations as of March 28, 2018 and upon adoption of this standard will record a ROU asset and lease liability equal to the present value of these leases, which will have a material impact on the consolidated balance sheet. However, the recognition of lease expense in the consolidated statement of operations is not expected to change from the current methodology.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Subsequent to March 28, 2018, the Company received an additional $0.3 million of insurance proceeds related to the reimbursement of certain legal expenses paid in prior years for the defense of securities lawsuits. In addition, one of our franchisees opened one restaurant in Texas and the Company closed two restaurants in Texas, which is expected to result in closed-store reserve expense of $2.0 million. Furthermore, the Company made a $3.0 million borrowing on the 2014 Revolver.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right="40"/>
        <w:spacing w:after="0" w:line="277" w:lineRule="auto"/>
        <w:rPr>
          <w:sz w:val="20"/>
          <w:szCs w:val="20"/>
          <w:color w:val="auto"/>
        </w:rPr>
      </w:pPr>
      <w:r>
        <w:rPr>
          <w:rFonts w:ascii="Arial" w:cs="Arial" w:eastAsia="Arial" w:hAnsi="Arial"/>
          <w:sz w:val="18"/>
          <w:szCs w:val="18"/>
          <w:color w:val="auto"/>
        </w:rPr>
        <w:t>The Company evaluated subsequent events that have occurred after March 28, 2018, and determined that there were no other events or transactions occurring during this reporting period that require recognition or disclosure in the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170"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The Company had one supplier for which amounts due totaled 20.2% of the Company's accounts payable at March 28, 2018. As of December 27, 2017, the Company had one supplier for which amounts due totaled 14% of the Company’s accounts payable. Purchases from the Company’s largest supplier totaled 28% of total expenses for the thirteen weeks ended March 28, 2018, and 29% of total expenses for the thirteen weeks ended March 29, 2017.</w:t>
      </w:r>
    </w:p>
    <w:p>
      <w:pPr>
        <w:spacing w:after="0" w:line="147"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Company-operated and franchised restaurants in the greater Los Angeles area generated, in the aggregate, approximately 69% and 73% of total revenue for the thirteen weeks ended March 28, 2018 and March 29, 2017,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the first quarter of 2018 the Company implemented ASU 2014-09. Revenue is measured based on a consideration specified in a contract with a customer. The Company recognizes revenue when it satisfies a performance obligation by transferring control over a product or service to a customer. ASU 2014-09 defines a five-step process to achieve this core principle. Refer to Note 10 for further details on the Company's revenue recognition policy.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Upon the sale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performs annual impairment tests for goodwill during the fourth fiscal quarter of each year, or more frequently if impairment indicators arise.</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reviews goodwill for impairment utilizing either a qualitative assessment or a two-step process. If the Company decides that it is appropriate to perform a qualitative assessment and concludes that the fair value of a reporting unit more likely than not exceeds its carrying value, no further evaluation is necessary. If the Company performs the two-step process, the 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5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Company performs annual impairment tests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5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did not identify any indicators of potential impairment of its goodwill or indefinite-lived intangible assets during the thirteen weeks ended March 28, 2018 or March 29, 2017, and therefore did not record any impairment during the respective periods.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80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or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28, 2018 and December 27, 2017, the Company had no assets or liabilities measured at fair value on a recurring basis.</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Certain assets and liabilities are measured at fair value on a nonrecurring basis. In other words, the instruments are not measured at fair value on an ongoing basis but are subject to fair value adjustments only in certain circumstances (for example, when there is evidence of impairment).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reviews its long-lived assets for impairment on a restaurant-by-restaurant basis whenever events or changes in circumstances indicate that the carrying value of certain assets may not be recoverable. The Company considers a triggering event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If the Company concludes that the carrying value of certain assets will not be recovered based on expected undiscounted future cash flows, an impairment write-down is recorded to reduce the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Based on the results of the analysis, the Company did not recognize any impairment charges during the thirteen weeks ended March 28, 2018, or the thirteen weeks ended March 29, 2017. Given the difficulty in projecting results for newer restaurants in newer markets, we are monitoring the recoverability of the carrying value of the assets of several restaurants on an ongoing basis, including those in the Arizona and Northern California markets. For these restaurants, if expected performance improvements are not realized, an impairment charge may be recognized in future periods, and such charge could be material.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Closed-Store Reserves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When the Company closes a restaurant, it reviews the future minimum lease payments and related ancillary costs from the date of the restaurant closure to the end of the remaining lease term and records a lease charge for the lease liabilities to be incurred, net of any estimated sublease recoveries. There is uncertainty in the estimates of future lease costs and sublease recoveries. In addition an impairment charge is recognized for any remaining carrying value of certain restaurant assets. During the thirteen weeks ended March 28, 2018, the Company closed two restaurants in Texas, both of which were previously impaired during the third quarter of 2017, and decided not to move forward with the development of a third location in Texas. This resulted in a closed-store reserve expense of $2.8 million for the thirteen weeks ended March 28, 2018. Additionally, during the thirteen weeks ended March 29, 2017, we closed one restaurant in Arizona and one restaurant in Texas, resulting in a closed store reserve expense of $0.8 million.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expected to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04" w:right="239" w:bottom="1440" w:gutter="0" w:footer="0" w:header="0"/>
        </w:sectPr>
      </w:pPr>
    </w:p>
    <w:bookmarkStart w:id="11" w:name="page12"/>
    <w:bookmarkEnd w:id="11"/>
    <w:p>
      <w:pPr>
        <w:spacing w:after="0" w:line="272" w:lineRule="auto"/>
        <w:rPr>
          <w:sz w:val="20"/>
          <w:szCs w:val="20"/>
          <w:color w:val="auto"/>
        </w:rPr>
      </w:pPr>
      <w:r>
        <w:rPr>
          <w:rFonts w:ascii="Arial" w:cs="Arial" w:eastAsia="Arial" w:hAnsi="Arial"/>
          <w:sz w:val="17"/>
          <w:szCs w:val="17"/>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consolidated financial position, results of operations, and cash flows.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The Company had no accrual for interest or penalties at March 28, 2018 or at December 27, 2017, and did not recognize interest or penalties during the thirteen weeks ended March 28, 2018 or March 29, 2017, since there were no material unrecognized tax benefits. Management believes no material changes to the amount of unrecognized tax benefits will occur within the next twelve months.</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fiscal 2017, President Trump signed into law "the Tax Act”. The Tax Act provides for significant changes in the U.S. Internal Revenue Code of 1986, as amended. The Tax Act contains provisions with separate effective dates but is generally effective for taxable years beginning after December 31, 2017. Among other changes, The Tax Act lowers the corporate income tax rate from 35% to 21%,repeals the corporate alternative minimum tax, limits the deductibility of interest expense and performance based incentive compensation, allows for 100% bonus depreciation on qualified fixed asset additions placed in service on or after September 27, 2017 and implements a modified territorial tax system. The Tax Act impacted the Company's consolidated results of operations in the current period, and is expected to continue to impact its consolidated results of operations in future periods.</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July 30, 2014, the Company entered into the TRA. The TRA calls for the Company to pay to its pre-IPO stockholders 85% of the savings in cash that the Company realizes in its taxes as a result of utilizing its net operating losses and other tax attributes attributable to preceding periods. For the thirteen weeks ended March 28, 2018, we recorded income tax receivable agreement income of $0.9 million and for the thirteen weeks ended March 29, 2017, we recorded income tax receivable agreement expense of $0.2 million, related to the amortization of interest expense related to our total expected TRA payments and changes in estimates for actual tax returns filed.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Except for the changes below, the Company has consistently applied the accounting policies to all periods presented in these consolidated financial statements.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adopted ASU 2014-09 with a date of initial application of December 28, 2017. As a result, the Company has changed its accounting policy for revenue recognition as detailed below.</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generates a substantial amount of its revenues from company-operated restaurants. This revenue stream was not impacted by the adoption of ASU No. 2014-09, or any of the subsequent related ASU’s.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applied ASU 2014-09 using the cumulative effect method - by recognizing the cumulative effect of initially applying ASU 2014-09 as an adjustment to the opening balance of equity at December 28, 2017. Therefore, the comparative information has not been adjusted and continues to be reported under Topic 605. The details of the significant changes and quantitative impact of the changes are set out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Franchise revenue consists of franchise royalties, initial franchise fees, license fees due from franchisees and IT support services. Rental income for leases and subleases to franchisees are outside of the scope of the revenue standard and are within the scope of lease guidance. Franchise royalties are based upon a percentage of net sales of the franchisee and were previously recorded as income as such sales are earned by the franchisees, which will not change with the adoption of ASU 2014-09.</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franchise and development agreement fees, the Company's previous accounting policy was to recognize initial franchise fees, development fees, and franchise agreement renewals when all material obligations had been performed and conditions had been satisfied, typically when operations of the franchised restaurant had commenced. In accordance with the new guidance, the initial franchise services, or exclusivity of the development agreements, are not distinct from the continuing rights or services offered during the term of the franchise agreement, and will therefore be treated as a single performance obligation. 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00" w:right="259" w:bottom="1440" w:gutter="0" w:footer="0" w:header="0"/>
        </w:sectPr>
      </w:pPr>
    </w:p>
    <w:bookmarkStart w:id="12" w:name="page13"/>
    <w:bookmarkEnd w:id="12"/>
    <w:p>
      <w:pPr>
        <w:ind w:right="300"/>
        <w:spacing w:after="0" w:line="277" w:lineRule="auto"/>
        <w:rPr>
          <w:sz w:val="20"/>
          <w:szCs w:val="20"/>
          <w:color w:val="auto"/>
        </w:rPr>
      </w:pPr>
      <w:r>
        <w:rPr>
          <w:rFonts w:ascii="Arial" w:cs="Arial" w:eastAsia="Arial" w:hAnsi="Arial"/>
          <w:sz w:val="18"/>
          <w:szCs w:val="18"/>
          <w:color w:val="auto"/>
        </w:rPr>
        <w:t>such, initial franchise and development fees received, and subsequent renewal fees, will be recognized over the franchise or renewal term typically twenty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Advertising Fee Revenue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previous accounting policy is to recognize advertising funded by franchisees on a net basis in the consolidated statements of income, and as a liability within our consolidated balance sheets. Under the new guidance, we will present advertising contributions received from franchisees as franchise advertising fee revenue and record all expenses of the advertising fund within franchise expenses, resulting in an increase in revenues and expenses on our consolidated statements of income, with no change to the consolidated balance sheets.</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adoption of this guidance did not have a material change on revenue from Company-operated restaurant revenue, gift cards or the Company's loyalty program.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impacts of adopting ASU 2014-09 on the Company’s consolidated financial statements for the thirteen weeks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28, 2018:</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8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88"/>
              </w:rPr>
              <w:t>Impact of changes in accounting policies</w:t>
            </w:r>
          </w:p>
        </w:tc>
      </w:tr>
      <w:tr>
        <w:trPr>
          <w:trHeight w:val="252"/>
        </w:trPr>
        <w:tc>
          <w:tcPr>
            <w:tcW w:w="5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Balances without</w:t>
            </w:r>
          </w:p>
        </w:tc>
      </w:tr>
      <w:tr>
        <w:trPr>
          <w:trHeight w:val="216"/>
        </w:trPr>
        <w:tc>
          <w:tcPr>
            <w:tcW w:w="5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adoption of ASU</w:t>
            </w:r>
          </w:p>
        </w:tc>
      </w:tr>
      <w:tr>
        <w:trPr>
          <w:trHeight w:val="234"/>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March 28, 2018 (in thousands)</w:t>
            </w:r>
          </w:p>
        </w:tc>
        <w:tc>
          <w:tcPr>
            <w:tcW w:w="17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As Reported</w:t>
            </w:r>
          </w:p>
        </w:tc>
        <w:tc>
          <w:tcPr>
            <w:tcW w:w="24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Adjustments</w:t>
            </w:r>
          </w:p>
        </w:tc>
        <w:tc>
          <w:tcPr>
            <w:tcW w:w="340" w:type="dxa"/>
            <w:vAlign w:val="bottom"/>
          </w:tcPr>
          <w:p>
            <w:pPr>
              <w:spacing w:after="0"/>
              <w:rPr>
                <w:sz w:val="20"/>
                <w:szCs w:val="20"/>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2014-09</w:t>
            </w:r>
          </w:p>
        </w:tc>
      </w:tr>
      <w:tr>
        <w:trPr>
          <w:trHeight w:val="270"/>
        </w:trPr>
        <w:tc>
          <w:tcPr>
            <w:tcW w:w="5220" w:type="dxa"/>
            <w:vAlign w:val="bottom"/>
          </w:tcPr>
          <w:p>
            <w:pPr>
              <w:ind w:left="40"/>
              <w:spacing w:after="0"/>
              <w:rPr>
                <w:sz w:val="20"/>
                <w:szCs w:val="20"/>
                <w:color w:val="auto"/>
              </w:rPr>
            </w:pPr>
            <w:r>
              <w:rPr>
                <w:rFonts w:ascii="Arial" w:cs="Arial" w:eastAsia="Arial" w:hAnsi="Arial"/>
                <w:sz w:val="18"/>
                <w:szCs w:val="18"/>
                <w:color w:val="auto"/>
              </w:rPr>
              <w:t>Assets</w:t>
            </w:r>
          </w:p>
        </w:tc>
        <w:tc>
          <w:tcPr>
            <w:tcW w:w="17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5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7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52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7,078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1,285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5,793</w:t>
            </w:r>
          </w:p>
        </w:tc>
      </w:tr>
      <w:tr>
        <w:trPr>
          <w:trHeight w:val="27"/>
        </w:trPr>
        <w:tc>
          <w:tcPr>
            <w:tcW w:w="5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440,934</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1,285</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439,649</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Other accrued expenses and current liabilities</w:t>
            </w:r>
          </w:p>
        </w:tc>
        <w:tc>
          <w:tcPr>
            <w:tcW w:w="17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14,730</w:t>
            </w:r>
          </w:p>
        </w:tc>
        <w:tc>
          <w:tcPr>
            <w:tcW w:w="2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347</w:t>
            </w: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14,383</w:t>
            </w:r>
          </w:p>
        </w:tc>
      </w:tr>
      <w:tr>
        <w:trPr>
          <w:trHeight w:val="27"/>
        </w:trPr>
        <w:tc>
          <w:tcPr>
            <w:tcW w:w="5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51,362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347</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51,015</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7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19,463</w:t>
            </w:r>
          </w:p>
        </w:tc>
        <w:tc>
          <w:tcPr>
            <w:tcW w:w="2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4,420</w:t>
            </w: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15,043</w:t>
            </w:r>
          </w:p>
        </w:tc>
      </w:tr>
      <w:tr>
        <w:trPr>
          <w:trHeight w:val="27"/>
        </w:trPr>
        <w:tc>
          <w:tcPr>
            <w:tcW w:w="5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166,417</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4,767</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161,650</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(99,392)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(95,910)</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17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274,517</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(3,482)</w:t>
            </w: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277,999</w:t>
            </w:r>
          </w:p>
        </w:tc>
      </w:tr>
      <w:tr>
        <w:trPr>
          <w:trHeight w:val="27"/>
        </w:trPr>
        <w:tc>
          <w:tcPr>
            <w:tcW w:w="5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440,934</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1,285</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439,649</w:t>
            </w:r>
          </w:p>
        </w:tc>
      </w:tr>
      <w:tr>
        <w:trPr>
          <w:trHeight w:val="486"/>
        </w:trPr>
        <w:tc>
          <w:tcPr>
            <w:tcW w:w="5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8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1"/>
              </w:rPr>
              <w:t>Thirteen Weeks Ended March 28, 2018</w:t>
            </w:r>
          </w:p>
        </w:tc>
      </w:tr>
      <w:tr>
        <w:trPr>
          <w:trHeight w:val="252"/>
        </w:trPr>
        <w:tc>
          <w:tcPr>
            <w:tcW w:w="5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Balances without</w:t>
            </w:r>
          </w:p>
        </w:tc>
      </w:tr>
      <w:tr>
        <w:trPr>
          <w:trHeight w:val="216"/>
        </w:trPr>
        <w:tc>
          <w:tcPr>
            <w:tcW w:w="5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adoption of ASU</w:t>
            </w:r>
          </w:p>
        </w:tc>
      </w:tr>
      <w:tr>
        <w:trPr>
          <w:trHeight w:val="234"/>
        </w:trPr>
        <w:tc>
          <w:tcPr>
            <w:tcW w:w="5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As Reported</w:t>
            </w:r>
          </w:p>
        </w:tc>
        <w:tc>
          <w:tcPr>
            <w:tcW w:w="24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Adjustments</w:t>
            </w:r>
          </w:p>
        </w:tc>
        <w:tc>
          <w:tcPr>
            <w:tcW w:w="340" w:type="dxa"/>
            <w:vAlign w:val="bottom"/>
          </w:tcPr>
          <w:p>
            <w:pPr>
              <w:spacing w:after="0"/>
              <w:rPr>
                <w:sz w:val="20"/>
                <w:szCs w:val="20"/>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2014-09</w:t>
            </w:r>
          </w:p>
        </w:tc>
      </w:tr>
      <w:tr>
        <w:trPr>
          <w:trHeight w:val="270"/>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7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5220" w:type="dxa"/>
            <w:vAlign w:val="bottom"/>
          </w:tcPr>
          <w:p>
            <w:pPr>
              <w:ind w:left="40"/>
              <w:spacing w:after="0"/>
              <w:rPr>
                <w:sz w:val="20"/>
                <w:szCs w:val="20"/>
                <w:color w:val="auto"/>
              </w:rPr>
            </w:pPr>
            <w:r>
              <w:rPr>
                <w:rFonts w:ascii="Arial" w:cs="Arial" w:eastAsia="Arial" w:hAnsi="Arial"/>
                <w:sz w:val="18"/>
                <w:szCs w:val="18"/>
                <w:color w:val="auto"/>
              </w:rPr>
              <w:t>Franchise revenue</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6,106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6,118</w:t>
            </w:r>
          </w:p>
        </w:tc>
      </w:tr>
      <w:tr>
        <w:trPr>
          <w:trHeight w:val="27"/>
        </w:trPr>
        <w:tc>
          <w:tcPr>
            <w:tcW w:w="5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advertising fee revenue</w:t>
            </w:r>
          </w:p>
        </w:tc>
        <w:tc>
          <w:tcPr>
            <w:tcW w:w="1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5,097</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5,097</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7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105,756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5,085</w:t>
            </w: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100,671</w:t>
            </w:r>
          </w:p>
        </w:tc>
      </w:tr>
      <w:tr>
        <w:trPr>
          <w:trHeight w:val="27"/>
        </w:trPr>
        <w:tc>
          <w:tcPr>
            <w:tcW w:w="5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operations</w:t>
            </w:r>
          </w:p>
        </w:tc>
        <w:tc>
          <w:tcPr>
            <w:tcW w:w="1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Franchise expenses</w:t>
            </w:r>
          </w:p>
        </w:tc>
        <w:tc>
          <w:tcPr>
            <w:tcW w:w="17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5,832</w:t>
            </w:r>
          </w:p>
        </w:tc>
        <w:tc>
          <w:tcPr>
            <w:tcW w:w="2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5,097</w:t>
            </w: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735</w:t>
            </w:r>
          </w:p>
        </w:tc>
      </w:tr>
      <w:tr>
        <w:trPr>
          <w:trHeight w:val="27"/>
        </w:trPr>
        <w:tc>
          <w:tcPr>
            <w:tcW w:w="5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1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101,308</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5,097</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96,211</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17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4,448</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4,460</w:t>
            </w:r>
          </w:p>
        </w:tc>
      </w:tr>
      <w:tr>
        <w:trPr>
          <w:trHeight w:val="27"/>
        </w:trPr>
        <w:tc>
          <w:tcPr>
            <w:tcW w:w="5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provision for income taxes</w:t>
            </w:r>
          </w:p>
        </w:tc>
        <w:tc>
          <w:tcPr>
            <w:tcW w:w="1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4,478</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4,490</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7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2,529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2,541</w:t>
            </w: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692"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and equipment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28, 2018</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27,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141,608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124,056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6,506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8,225</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209,316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(128,679)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(106,522)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102,499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102,794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gross value of assets under capital leases for buildings and improvements was $1.6 million as of March 28, 2018 and December 27, 2017. Accumulated depreciation for assets under capital leases was $1.5 million as of March 28, 2018 and December 27,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$4.2 million and $4.3 million for the thirteen weeks ended March 28, 2018 and March 29, 2017,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March 28, 2018, options to purchase 2,225,251 shares of common stock were outstanding, including 1,909,440 vested and 315,811 unvested. Unvested options vest over time. However, upon a change in control, the board may accelerate vesting. At March 28, 2018, 1,599,944 premium options, options granted above the stock price at date of grant, remained outstanding. There were no stock option exercises during the thirteen weeks ended March 28, 2018 and March 29, 2017. For the thirteen weeks ended March 28, 2018 and March 29, 2017, there were no stock options granted. At March 28, 2018, the Company had total unrecognized compensation expense of $0.9 million related to unvested stock options, which it expects to recognize over a weighted-average period of 2.5 years.</w:t>
      </w:r>
    </w:p>
    <w:p>
      <w:pPr>
        <w:spacing w:after="0" w:line="19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For the thirteen weeks ended March 28, 2018 and March 29, 2017, there were no restricted shares granted. At March 28, 2018, there were 170,830 unvested restricted shares outstanding. At March 28, 2018, the Company had total unrecognized compensation expense of $1.8 million related to unvested restricted shares, which it expects to recognize over a weighted-average period of 2.9 years.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retirement of our former President and CEO, the Company has modified previously granted equity awards to accelerate the vesting of 33,545 shares, which would have otherwise vested in May 2018, and extended the exercise ability of all his vested and outstanding options until the expiration of the original term of such options. As a result, the Company incurred incremental stock-based compensation expense of $0.5 million for the thirteen weeks ended March 28, 2018. Total stock-based compensation expense was $0.5 million for the thirteen weeks ended March 28, 2018 and $0.1 million for the thirteen weeks ended March 29,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CREDIT AGREEMENTS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provides for a $200.0 million five-year senior secured revolving facility (the “2014 Revolver”). The 2014 Revolver includes a sub limit of $15.0 million for letters of credit and a sub limit of $15.0 million for swingline loans. At March 28, 2018, $7.7 million of letters of credit, and $85.0 million of the revolving line of credit were outstanding. The amount available under the revolving line of credit was $107.3 million at March 28, 2018. The 2014 Revolver will mature on or about December 11, 2019.</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96" w:right="239" w:bottom="1440" w:gutter="0" w:footer="0" w:header="0"/>
        </w:sectPr>
      </w:pPr>
    </w:p>
    <w:bookmarkStart w:id="14" w:name="page15"/>
    <w:bookmarkEnd w:id="14"/>
    <w:p>
      <w:pPr>
        <w:ind w:right="460"/>
        <w:spacing w:after="0" w:line="277" w:lineRule="auto"/>
        <w:rPr>
          <w:sz w:val="20"/>
          <w:szCs w:val="20"/>
          <w:color w:val="auto"/>
        </w:rPr>
      </w:pPr>
      <w:r>
        <w:rPr>
          <w:rFonts w:ascii="Arial" w:cs="Arial" w:eastAsia="Arial" w:hAnsi="Arial"/>
          <w:sz w:val="18"/>
          <w:szCs w:val="18"/>
          <w:color w:val="auto"/>
        </w:rPr>
        <w:t>for base rate loans the margin is in the range of 0.75% to 1.50%. The interest rate range was 3.3% to 3.4% for the thirteen weeks ended March 28, 2018, respectively, and 2.3% to 2.7% for the thirteen weeks ended March 29, 2017, respectively.</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The Company was in compliance with all such covenants at March 28, 2018. See Note 1 for restrictions on the payment of dividends under the 2014 Revolver.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There are no required principal payments prior to maturity for the 2014 Revolver. During the thirteen weeks ended March 28, 2018, the Company elected to pay down $8.0 million of outstanding borrowings on the Company's 2014 Revolver, primarily from its cash flow from operations. During the thirteen weeks ended March 29, 2017, the Company elected to pay down $3.0 million, respectively, of outstanding borrowings on the Company's 2014 Revolver.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28, 2018</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27, 2017</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and property taxes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4,792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Gift card liability</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6,159</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other accrued expenses and current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14,730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13,270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6. OTHER NONCURRENT LIABILITIES</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tcPr>
          <w:p>
            <w:pPr>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28, 2018</w:t>
            </w:r>
          </w:p>
        </w:tc>
        <w:tc>
          <w:tcPr>
            <w:tcW w:w="140" w:type="dxa"/>
            <w:vAlign w:val="bottom"/>
          </w:tcPr>
          <w:p>
            <w:pPr>
              <w:spacing w:after="0"/>
              <w:rPr>
                <w:sz w:val="24"/>
                <w:szCs w:val="24"/>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27, 2017</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Franchise contract liability</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other noncurrent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19,463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78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right="60"/>
        <w:spacing w:after="0" w:line="270" w:lineRule="auto"/>
        <w:rPr>
          <w:sz w:val="20"/>
          <w:szCs w:val="20"/>
          <w:color w:val="auto"/>
        </w:rPr>
      </w:pPr>
      <w:r>
        <w:rPr>
          <w:rFonts w:ascii="Arial" w:cs="Arial" w:eastAsia="Arial" w:hAnsi="Arial"/>
          <w:sz w:val="17"/>
          <w:szCs w:val="17"/>
          <w:color w:val="auto"/>
        </w:rPr>
        <w:t xml:space="preserve">On or about February 24, 2014, a former employee filed a class action in the Superior Court of the State of California, County of Orange, under the caption </w:t>
      </w:r>
      <w:r>
        <w:rPr>
          <w:rFonts w:ascii="Arial" w:cs="Arial" w:eastAsia="Arial" w:hAnsi="Arial"/>
          <w:sz w:val="17"/>
          <w:szCs w:val="17"/>
          <w:u w:val="single" w:color="auto"/>
          <w:color w:val="auto"/>
        </w:rPr>
        <w:t>Elliott Olvera, et al v. El Pollo Loco, Inc., et al</w:t>
      </w:r>
      <w:r>
        <w:rPr>
          <w:rFonts w:ascii="Arial" w:cs="Arial" w:eastAsia="Arial" w:hAnsi="Arial"/>
          <w:sz w:val="17"/>
          <w:szCs w:val="17"/>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executed a Stipulation of Class Settlement and Release which the court refused to approve on the grounds that it did not provide sufficient compensation for the putative class members. Further settlement discussions were not successful, and the litigation is moving forward with the filing deadline for plaintiff’s class certification motion postponed until May 4, 2018. Purported class actions alleging wage and hour violations are commonly filed against California employers. The Company has similar cases pending that overlap in part with the Olvera action and fully expects to have to defend against similar lawsuits in the future.</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Daniel Turocy, et al. v. El Pollo Loco Holdings, Inc., et al.</w:t>
      </w:r>
      <w:r>
        <w:rPr>
          <w:rFonts w:ascii="Arial" w:cs="Arial" w:eastAsia="Arial" w:hAnsi="Arial"/>
          <w:sz w:val="18"/>
          <w:szCs w:val="18"/>
          <w:color w:val="auto"/>
        </w:rPr>
        <w:t xml:space="preserve"> (Case No. 8:15-cv-01343) was filed in the United States District Court for the Central District of California on August 24, 2015, and </w:t>
      </w:r>
      <w:r>
        <w:rPr>
          <w:rFonts w:ascii="Arial" w:cs="Arial" w:eastAsia="Arial" w:hAnsi="Arial"/>
          <w:sz w:val="18"/>
          <w:szCs w:val="18"/>
          <w:u w:val="single" w:color="auto"/>
          <w:color w:val="auto"/>
        </w:rPr>
        <w:t>Ron Huston, et al. v. El Pollo Loco Holdings, Inc., et al.</w:t>
      </w:r>
      <w:r>
        <w:rPr>
          <w:rFonts w:ascii="Arial" w:cs="Arial" w:eastAsia="Arial" w:hAnsi="Arial"/>
          <w:sz w:val="18"/>
          <w:szCs w:val="18"/>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5" w:name="page16"/>
    <w:bookmarkEnd w:id="15"/>
    <w:p>
      <w:pPr>
        <w:ind w:right="180"/>
        <w:spacing w:after="0" w:line="284" w:lineRule="auto"/>
        <w:rPr>
          <w:sz w:val="20"/>
          <w:szCs w:val="20"/>
          <w:color w:val="auto"/>
        </w:rPr>
      </w:pPr>
      <w:r>
        <w:rPr>
          <w:rFonts w:ascii="Arial" w:cs="Arial" w:eastAsia="Arial" w:hAnsi="Arial"/>
          <w:sz w:val="16"/>
          <w:szCs w:val="16"/>
          <w:color w:val="auto"/>
        </w:rPr>
        <w:t>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w:t>
      </w:r>
    </w:p>
    <w:p>
      <w:pPr>
        <w:spacing w:after="0" w:line="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6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which is currently set for hearing on June 25, 2018. Defendants intend to continue to defend against the claims asserted.</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8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6"/>
          <w:szCs w:val="16"/>
          <w:u w:val="single" w:color="auto"/>
          <w:color w:val="auto"/>
        </w:rPr>
        <w:t>Turocy v. El Pollo Loco Holdings, Inc</w:t>
      </w:r>
      <w:r>
        <w:rPr>
          <w:rFonts w:ascii="Arial" w:cs="Arial" w:eastAsia="Arial" w:hAnsi="Arial"/>
          <w:sz w:val="16"/>
          <w:szCs w:val="16"/>
          <w:color w:val="auto"/>
        </w:rPr>
        <w:t xml:space="preserve">., discussed above.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xml:space="preserve">, CA 12760-VCL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6"/>
          <w:szCs w:val="16"/>
          <w:u w:val="single" w:color="auto"/>
          <w:color w:val="auto"/>
        </w:rPr>
        <w:t>Galustyan</w:t>
      </w:r>
      <w:r>
        <w:rPr>
          <w:rFonts w:ascii="Arial" w:cs="Arial" w:eastAsia="Arial" w:hAnsi="Arial"/>
          <w:sz w:val="16"/>
          <w:szCs w:val="16"/>
          <w:color w:val="auto"/>
        </w:rPr>
        <w:t xml:space="preserve">. Defendants moved to stay or dismiss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w:t>
      </w:r>
    </w:p>
    <w:p>
      <w:pPr>
        <w:spacing w:after="0" w:line="16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 xml:space="preserve">On March 17, 2017, the Delaware court granted in part, and denied in part, the motion to stay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for five months pending an investigation of the allegations in the action by a special litigation committee of the Holdings board of directors.</w:t>
      </w:r>
    </w:p>
    <w:p>
      <w:pPr>
        <w:spacing w:after="0" w:line="14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u w:val="single" w:color="auto"/>
          <w:color w:val="auto"/>
        </w:rPr>
        <w:t>Janice P. Handlers-Bryman and Michael D. Bryman v. El Pollo Loco, Inc.</w:t>
      </w:r>
      <w:r>
        <w:rPr>
          <w:rFonts w:ascii="Arial" w:cs="Arial" w:eastAsia="Arial" w:hAnsi="Arial"/>
          <w:sz w:val="16"/>
          <w:szCs w:val="16"/>
          <w:color w:val="auto"/>
        </w:rPr>
        <w:t>, Los Angeles Superior Court (Case 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company-owned El Pollo Loco restaurants in the “market area” of Plaintiffs’ existing El Pollo Loco restaurant in Lancaster. Plaintiffs’ asserted claims against us for, among other things, (i) 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company-owned locations to Plaintiffs or to continuously disgorge to Plaintiffs the unjust enrichment allegedly obtained by us through the operation of the company-owned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800" w:right="259" w:bottom="1440" w:gutter="0" w:footer="0" w:header="0"/>
        </w:sectPr>
      </w:pPr>
    </w:p>
    <w:bookmarkStart w:id="16" w:name="page17"/>
    <w:bookmarkEnd w:id="16"/>
    <w:p>
      <w:pPr>
        <w:spacing w:after="0" w:line="285" w:lineRule="auto"/>
        <w:rPr>
          <w:sz w:val="20"/>
          <w:szCs w:val="20"/>
          <w:color w:val="auto"/>
        </w:rPr>
      </w:pPr>
      <w:r>
        <w:rPr>
          <w:rFonts w:ascii="Arial" w:cs="Arial" w:eastAsia="Arial" w:hAnsi="Arial"/>
          <w:sz w:val="16"/>
          <w:szCs w:val="16"/>
          <w:color w:val="auto"/>
        </w:rPr>
        <w:t xml:space="preserve">restaurants in Lancaster. We denied Plaintiffs’ allegations as the franchise agreement did not grant Plaintiffs any exclusive territorial rights and, instead, expressly reserved for us the right to open and operate and the right to grant others the right to open and operate - El Pollo Loco restaurants “in the immediate vicinity of or adjacent to” Plaintiffs’ restaurant in Lancaster. On June 7, 2016, we filed a cross-complaint against Plaintiffs for breach of the franchise agreement due to Plaintiffs’ failure to pay to us liquidated damages provided for in the franchise agreement in connection with their solicitation and/or hiring of our general manager. This counterclaim was voluntarily dismissed by us, without prejudice, on February 27, 2017 and a related action before the San Bernardino Superior Court titled </w:t>
      </w:r>
      <w:r>
        <w:rPr>
          <w:rFonts w:ascii="Arial" w:cs="Arial" w:eastAsia="Arial" w:hAnsi="Arial"/>
          <w:sz w:val="16"/>
          <w:szCs w:val="16"/>
          <w:u w:val="single" w:color="auto"/>
          <w:color w:val="auto"/>
        </w:rPr>
        <w:t>El Pollo Loco, Inc. v. EPL 3766, Inc. was dismissed on April 6, 2017.</w:t>
      </w:r>
      <w:r>
        <w:rPr>
          <w:rFonts w:ascii="Arial" w:cs="Arial" w:eastAsia="Arial" w:hAnsi="Arial"/>
          <w:sz w:val="16"/>
          <w:szCs w:val="16"/>
          <w:color w:val="auto"/>
        </w:rPr>
        <w:t xml:space="preserve">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 2017. The trial in the case was bifurcated between the liability and damages phases. The liability phase went forward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 17200 et seq. , and declaratory relief were not presented to the jury as these types of equitable claims are to be decided by the court as a matter of law.). On December 11, 2017, the jury returned a verdict in favor of Plaintiffs finding that the Company breached the implied covenant of good faith and fair dealing by (1) constructing the two new company-owned El Pollo Loco restaurants in Lancaster, and (2) not offering the two new company-owned El Pollo Loco restaurants in Lancaster to Plaintiffs. Because the trial was bifurcated, the December 11, 2017 verdict did not include a determination of damages.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December 11, 2017 verdict did not include a determination of damages. The damages phase of the trial is currently scheduled to begin on April 20, 2018.</w:t>
      </w:r>
    </w:p>
    <w:p>
      <w:pPr>
        <w:spacing w:after="0" w:line="2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damages phase of the trial went forward on April 20, 2018. On May 1, 2018, the jury returned a verdict on damages in favor of Plaintiffs in the following amounts: (1) $4,356,600 in “impact damages” arising out of our construction of the two new company-owned El Pollo Loco restaurants in Lancaster, and (2) $4,481,206 in “lost opportunity damages” arising out of our failure to offer the two new company-owned El Pollo Loco restaurants in Lancaster to Plaintiffs. Because the “impact damages” and “lost opportunity damages” are in large part duplicative of one another, the court announced that it would be reducing the figures to avoid impermissible double recovery. Although we are still waiting on the court’s ruling on the final damages award for breach of the implied covenant of good faith and fair dealing, we anticipate that the verdict could be reduced by as much as one-half. The court has yet to rule on the causes of action for reformation due to mistake and unconscionability, unfair business practices under California Business &amp; Professions Code §§ 17200 et seq., and declaratory relief.</w:t>
      </w:r>
    </w:p>
    <w:p>
      <w:pPr>
        <w:spacing w:after="0" w:line="19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believes that both jury verdicts are in error due to express language of the franchise agreement and because of prejudicial and reversible errors of the court in the earlier phases of the litigation, during the liability phase of the trial, and during the damages phases of the trial. El Pollo Loco intends to file a motion challenging the verdicts, a motion for new trial (both the liability phase and damages phase) and, if unsuccessful, will appeal the verdict and various other rulings in the case. Based on the assessment by Management, together with our legal counsel, the Company believes that the loss is currently not probable under ASC 450 and as of March 27, 2018, no accrual has been made with regard to the jury verdict.</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March 28, 2018, the Company’s total estimated commitment to purchase chicken was $22.1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As a result of assigning the Company’s interest in obligations under real estate leases in connection with the sale of company-operated restaurants to some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Company’s franchisees, the Company is contingently liable on five lease agreements. These leases have various terms, the latest of which expires in 2036.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March 28, 2018, the potential amount of undiscounted payments the Company could be required to make in the event of non-payment by the primary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lessee was $2.5 million. The present value of these potential payments discounted at the Company’s estimated pre-tax cost of debt at March 28, 2018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 million. The Company’s franchisees are primarily liable on the leases. The Company has cross-default provisions with these franchisees that would put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them in default of their franchise agreements in the event of non-payment under the leases. The Company believes that these cross-default provisions reduce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risk that payments will be required to be made under these leases. Accordingly, no liability has been recorded in the Company’s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related to these contingent liabilities.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The Company has employment agreements with three of the officers of the Company on an at will basis. These agreements provide for minimum salary levels, possible annual adjustments for cost-of-living changes, and incentive bonuses that are payable under certain business conditions. The Company incurred $0.4 million of expense related to employment agreements for the thirteen weeks ended March 28,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SHARE</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Basic net income per share is calculated using the weighted-average number of shares of common stock outstanding during the thirteen weeks ended March 28, 2018 and March 29, 2017. Diluted net income per share is calculated using the weighted-average number of shares of common stock outstanding and potentially dilutive during the period, using the treasury stock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net income per share data for the periods indicated, which are in thousands except for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28, 2018</w:t>
            </w:r>
          </w:p>
        </w:tc>
        <w:tc>
          <w:tcPr>
            <w:tcW w:w="160" w:type="dxa"/>
            <w:vAlign w:val="bottom"/>
          </w:tcPr>
          <w:p>
            <w:pPr>
              <w:spacing w:after="0"/>
              <w:rPr>
                <w:sz w:val="22"/>
                <w:szCs w:val="22"/>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29, 2017</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2,529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4,877</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rPr>
              <w:t>Weighted-average shares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outstanding—basic</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38,465,208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38,437,020</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outstanding—diluted</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38,987,351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39,079,007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 per share—basic</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0.13</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0.12</w:t>
            </w:r>
          </w:p>
        </w:tc>
      </w:tr>
      <w:tr>
        <w:trPr>
          <w:trHeight w:val="209"/>
        </w:trPr>
        <w:tc>
          <w:tcPr>
            <w:tcW w:w="8580" w:type="dxa"/>
            <w:vAlign w:val="bottom"/>
          </w:tcPr>
          <w:p>
            <w:pPr>
              <w:ind w:left="40"/>
              <w:spacing w:after="0"/>
              <w:rPr>
                <w:sz w:val="20"/>
                <w:szCs w:val="20"/>
                <w:color w:val="auto"/>
              </w:rPr>
            </w:pPr>
            <w:r>
              <w:rPr>
                <w:rFonts w:ascii="Arial" w:cs="Arial" w:eastAsia="Arial" w:hAnsi="Arial"/>
                <w:sz w:val="18"/>
                <w:szCs w:val="18"/>
                <w:color w:val="auto"/>
              </w:rPr>
              <w:t>Anti-dilutive securities not considered in</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diluted EPS calculation</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652,871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468,705</w:t>
            </w:r>
          </w:p>
        </w:tc>
      </w:tr>
      <w:tr>
        <w:trPr>
          <w:trHeight w:val="27"/>
        </w:trPr>
        <w:tc>
          <w:tcPr>
            <w:tcW w:w="8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basic and diluted share counts.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28, 2018</w:t>
            </w:r>
          </w:p>
        </w:tc>
        <w:tc>
          <w:tcPr>
            <w:tcW w:w="1360" w:type="dxa"/>
            <w:vAlign w:val="bottom"/>
          </w:tcPr>
          <w:p>
            <w:pPr>
              <w:jc w:val="right"/>
              <w:ind w:right="114"/>
              <w:spacing w:after="0"/>
              <w:rPr>
                <w:sz w:val="20"/>
                <w:szCs w:val="20"/>
                <w:color w:val="auto"/>
              </w:rPr>
            </w:pPr>
            <w:r>
              <w:rPr>
                <w:rFonts w:ascii="Arial" w:cs="Arial" w:eastAsia="Arial" w:hAnsi="Arial"/>
                <w:sz w:val="14"/>
                <w:szCs w:val="14"/>
                <w:b w:val="1"/>
                <w:bCs w:val="1"/>
                <w:color w:val="auto"/>
              </w:rPr>
              <w:t>March 29, 2017</w:t>
            </w:r>
          </w:p>
        </w:tc>
        <w:tc>
          <w:tcPr>
            <w:tcW w:w="0" w:type="dxa"/>
            <w:vAlign w:val="bottom"/>
          </w:tcPr>
          <w:p>
            <w:pPr>
              <w:spacing w:after="0"/>
              <w:rPr>
                <w:sz w:val="1"/>
                <w:szCs w:val="1"/>
                <w:color w:val="auto"/>
              </w:rPr>
            </w:pPr>
          </w:p>
        </w:tc>
      </w:tr>
      <w:tr>
        <w:trPr>
          <w:trHeight w:val="215"/>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38,465,208</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38,437,020</w:t>
            </w:r>
          </w:p>
        </w:tc>
        <w:tc>
          <w:tcPr>
            <w:tcW w:w="0" w:type="dxa"/>
            <w:vAlign w:val="bottom"/>
          </w:tcPr>
          <w:p>
            <w:pPr>
              <w:spacing w:after="0"/>
              <w:rPr>
                <w:sz w:val="1"/>
                <w:szCs w:val="1"/>
                <w:color w:val="auto"/>
              </w:rPr>
            </w:pP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rPr>
              <w:t>Dilutive effect of stock options and</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restricted shares</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522,143</w:t>
            </w:r>
          </w:p>
        </w:tc>
        <w:tc>
          <w:tcPr>
            <w:tcW w:w="12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641,987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3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38,987,351</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39,079,007</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Trimaran Pollo Partners, L.L.C. (“LLC”), owns approximately 43.3%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w:t>
      </w:r>
    </w:p>
    <w:p>
      <w:pPr>
        <w:spacing w:after="0" w:line="2"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member of the board of directors may be removed at any time without cause by affirmative vote of a majority of the Company’s common stock, and</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stockholders representing 40% or greater ownership may cause special stockholder meetings to be called.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6" w:right="239" w:bottom="1440" w:gutter="0" w:footer="0" w:header="0"/>
        </w:sectPr>
      </w:pPr>
    </w:p>
    <w:bookmarkStart w:id="19" w:name="page20"/>
    <w:bookmarkEnd w:id="19"/>
    <w:p>
      <w:pPr>
        <w:ind w:right="6020" w:firstLine="8"/>
        <w:spacing w:after="0" w:line="445" w:lineRule="auto"/>
        <w:tabs>
          <w:tab w:leader="none" w:pos="27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REVENUE FROM CONTRACTS WITH CUSTOMERS Adoption of ASU 2014-09, "Revenue from Contracts with Customers"</w:t>
      </w:r>
    </w:p>
    <w:p>
      <w:pPr>
        <w:spacing w:after="0" w:line="35"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On December 28, 2017, the Company adopted ASU 2014-09 using the modified retrospective method applied to those contracts, which were not fully satisfied as of December 28, 2017. Results for reporting periods beginning after December 28, 2017 are presented under Topic 606, while prior period amounts are not adjusted and continue to be reported in accordance with our historic accounting under Topic 605.</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cumulative catch-up adjustment recorded to accumulated deficit was approximately $3.5 million, net of taxes, related to franchise and development fees.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revenue streams, company-operated restaurant revenue and franchise related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offers a loyalty rewards program, which awards a customer one point for ever $1 spent. When 100 points are accumulated a $10 reward to be used on future purchases is earned.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$10 reward and redeemed, or the likelihood of redemption is remote. A portion of the transaction price is allocated to loyalty points, if necessary, on a pro-rata basis, based on stand-alone selling price, as determined by menu pricing and loyalty points terms. As of March 28, 2018 and December 27, 2017 the revenue allocated to loyalty points that have not been redeemed are $0.6 million and $0.4 million, respectively, which are reflected in the Company's accompanying consolidated balance sheet within other accrued expenses and current liabilities. The Company expects the loyalty points to be redeemed and recognized over a one year period.</w:t>
      </w:r>
    </w:p>
    <w:p>
      <w:pPr>
        <w:spacing w:after="0" w:line="7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and franchise advertising revenue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Franchise revenue consists of franchise royalties, initial franchise fees, license fees due from franchisees, IT support services, and rental income for leases and subleases to franchisees. Franchise advertising revenue consists of advertising contributions received from franchisees. These revenue streams are made up of the following performance obligations:</w:t>
      </w:r>
    </w:p>
    <w:p>
      <w:pPr>
        <w:spacing w:after="0" w:line="7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Franchise License - inclusive of advertising services, development agreements, training, access to plans and help desk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Discounted renewal option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Hardware services</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6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ind w:right="240"/>
        <w:spacing w:after="0" w:line="277" w:lineRule="auto"/>
        <w:rPr>
          <w:sz w:val="20"/>
          <w:szCs w:val="20"/>
          <w:color w:val="auto"/>
        </w:rPr>
      </w:pPr>
      <w:r>
        <w:rPr>
          <w:rFonts w:ascii="Arial" w:cs="Arial" w:eastAsia="Arial" w:hAnsi="Arial"/>
          <w:sz w:val="18"/>
          <w:szCs w:val="18"/>
          <w:color w:val="auto"/>
        </w:rPr>
        <w:t>expedient regarding disclosure of the aggregate amount of the transaction price allocated to the performance obligations that are unsatisfied for sales-based royalties.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certain franchise agreements, the Company offers a discounted renewal to incentivize future renewals after the end of the initial franchise term. As this is considered a separate performance obligation, the Company allocated a portion of the initial franchise fee to this discounted renewal, on a pro-rata basis, assuming a 20 year renewal. This performance obligation is satisfied over the renewal term, typically 10 or 20 years, while payment is fixed and due at the time the renewal is signed.</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March 28, 2018 there were no performance obligations, related to hardware services, that were unsatisfied or partially satisfied.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revenue source and market (in thousands):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9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w w:val="92"/>
              </w:rPr>
              <w:t>Thirteen Weeks Ended</w:t>
            </w:r>
          </w:p>
        </w:tc>
        <w:tc>
          <w:tcPr>
            <w:tcW w:w="0" w:type="dxa"/>
            <w:vAlign w:val="bottom"/>
          </w:tcPr>
          <w:p>
            <w:pPr>
              <w:spacing w:after="0"/>
              <w:rPr>
                <w:sz w:val="1"/>
                <w:szCs w:val="1"/>
                <w:color w:val="auto"/>
              </w:rPr>
            </w:pPr>
          </w:p>
        </w:tc>
      </w:tr>
      <w:tr>
        <w:trPr>
          <w:trHeight w:val="183"/>
        </w:trPr>
        <w:tc>
          <w:tcPr>
            <w:tcW w:w="9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March 28, 2018</w:t>
            </w:r>
          </w:p>
        </w:tc>
        <w:tc>
          <w:tcPr>
            <w:tcW w:w="0" w:type="dxa"/>
            <w:vAlign w:val="bottom"/>
          </w:tcPr>
          <w:p>
            <w:pPr>
              <w:spacing w:after="0"/>
              <w:rPr>
                <w:sz w:val="1"/>
                <w:szCs w:val="1"/>
                <w:color w:val="auto"/>
              </w:rPr>
            </w:pPr>
          </w:p>
        </w:tc>
      </w:tr>
      <w:tr>
        <w:trPr>
          <w:trHeight w:val="160"/>
        </w:trPr>
        <w:tc>
          <w:tcPr>
            <w:tcW w:w="9660" w:type="dxa"/>
            <w:vAlign w:val="bottom"/>
          </w:tcPr>
          <w:p>
            <w:pPr>
              <w:ind w:left="20"/>
              <w:spacing w:after="0"/>
              <w:rPr>
                <w:sz w:val="20"/>
                <w:szCs w:val="20"/>
                <w:color w:val="auto"/>
              </w:rPr>
            </w:pPr>
            <w:r>
              <w:rPr>
                <w:rFonts w:ascii="Arial" w:cs="Arial" w:eastAsia="Arial" w:hAnsi="Arial"/>
                <w:sz w:val="13"/>
                <w:szCs w:val="13"/>
                <w:b w:val="1"/>
                <w:bCs w:val="1"/>
                <w:color w:val="auto"/>
              </w:rPr>
              <w:t>Core Market</w:t>
            </w:r>
            <w:r>
              <w:rPr>
                <w:rFonts w:ascii="Arial" w:cs="Arial" w:eastAsia="Arial" w:hAnsi="Arial"/>
                <w:sz w:val="8"/>
                <w:szCs w:val="8"/>
                <w:b w:val="1"/>
                <w:bCs w:val="1"/>
                <w:color w:val="auto"/>
              </w:rPr>
              <w:t>(1)</w:t>
            </w: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Company-operated restaurant revenue</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82,962</w:t>
            </w:r>
          </w:p>
        </w:tc>
        <w:tc>
          <w:tcPr>
            <w:tcW w:w="0" w:type="dxa"/>
            <w:vAlign w:val="bottom"/>
          </w:tcPr>
          <w:p>
            <w:pPr>
              <w:spacing w:after="0"/>
              <w:rPr>
                <w:sz w:val="1"/>
                <w:szCs w:val="1"/>
                <w:color w:val="auto"/>
              </w:rPr>
            </w:pPr>
          </w:p>
        </w:tc>
      </w:tr>
      <w:tr>
        <w:trPr>
          <w:trHeight w:val="208"/>
        </w:trPr>
        <w:tc>
          <w:tcPr>
            <w:tcW w:w="9660" w:type="dxa"/>
            <w:vAlign w:val="bottom"/>
          </w:tcPr>
          <w:p>
            <w:pPr>
              <w:ind w:left="380"/>
              <w:spacing w:after="0"/>
              <w:rPr>
                <w:sz w:val="20"/>
                <w:szCs w:val="20"/>
                <w:color w:val="auto"/>
              </w:rPr>
            </w:pPr>
            <w:r>
              <w:rPr>
                <w:rFonts w:ascii="Arial" w:cs="Arial" w:eastAsia="Arial" w:hAnsi="Arial"/>
                <w:sz w:val="13"/>
                <w:szCs w:val="13"/>
                <w:color w:val="auto"/>
              </w:rPr>
              <w:t>Franchise revenue</w:t>
            </w:r>
          </w:p>
        </w:tc>
        <w:tc>
          <w:tcPr>
            <w:tcW w:w="180" w:type="dxa"/>
            <w:vAlign w:val="bottom"/>
          </w:tcPr>
          <w:p>
            <w:pPr>
              <w:spacing w:after="0"/>
              <w:rPr>
                <w:sz w:val="18"/>
                <w:szCs w:val="18"/>
                <w:color w:val="auto"/>
              </w:rPr>
            </w:pP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3,375</w:t>
            </w:r>
          </w:p>
        </w:tc>
        <w:tc>
          <w:tcPr>
            <w:tcW w:w="0" w:type="dxa"/>
            <w:vAlign w:val="bottom"/>
          </w:tcPr>
          <w:p>
            <w:pPr>
              <w:spacing w:after="0"/>
              <w:rPr>
                <w:sz w:val="1"/>
                <w:szCs w:val="1"/>
                <w:color w:val="auto"/>
              </w:rPr>
            </w:pPr>
          </w:p>
        </w:tc>
      </w:tr>
      <w:tr>
        <w:trPr>
          <w:trHeight w:val="224"/>
        </w:trPr>
        <w:tc>
          <w:tcPr>
            <w:tcW w:w="96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Franchise advertising fee revenue</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2,610</w:t>
            </w:r>
          </w:p>
        </w:tc>
        <w:tc>
          <w:tcPr>
            <w:tcW w:w="0" w:type="dxa"/>
            <w:vAlign w:val="bottom"/>
          </w:tcPr>
          <w:p>
            <w:pPr>
              <w:spacing w:after="0"/>
              <w:rPr>
                <w:sz w:val="1"/>
                <w:szCs w:val="1"/>
                <w:color w:val="auto"/>
              </w:rPr>
            </w:pPr>
          </w:p>
        </w:tc>
      </w:tr>
      <w:tr>
        <w:trPr>
          <w:trHeight w:val="153"/>
        </w:trPr>
        <w:tc>
          <w:tcPr>
            <w:tcW w:w="9660" w:type="dxa"/>
            <w:vAlign w:val="bottom"/>
          </w:tcPr>
          <w:p>
            <w:pPr>
              <w:ind w:left="600"/>
              <w:spacing w:after="0"/>
              <w:rPr>
                <w:sz w:val="20"/>
                <w:szCs w:val="20"/>
                <w:color w:val="auto"/>
              </w:rPr>
            </w:pPr>
            <w:r>
              <w:rPr>
                <w:rFonts w:ascii="Arial" w:cs="Arial" w:eastAsia="Arial" w:hAnsi="Arial"/>
                <w:sz w:val="13"/>
                <w:szCs w:val="13"/>
                <w:color w:val="auto"/>
              </w:rPr>
              <w:t>Total core market</w:t>
            </w: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1520" w:type="dxa"/>
            <w:vAlign w:val="bottom"/>
            <w:vMerge w:val="restart"/>
          </w:tcPr>
          <w:p>
            <w:pPr>
              <w:jc w:val="right"/>
              <w:ind w:right="57"/>
              <w:spacing w:after="0"/>
              <w:rPr>
                <w:sz w:val="20"/>
                <w:szCs w:val="20"/>
                <w:color w:val="auto"/>
              </w:rPr>
            </w:pPr>
            <w:r>
              <w:rPr>
                <w:rFonts w:ascii="Arial" w:cs="Arial" w:eastAsia="Arial" w:hAnsi="Arial"/>
                <w:sz w:val="13"/>
                <w:szCs w:val="13"/>
                <w:color w:val="auto"/>
              </w:rPr>
              <w:t>88,947</w:t>
            </w:r>
          </w:p>
        </w:tc>
        <w:tc>
          <w:tcPr>
            <w:tcW w:w="0" w:type="dxa"/>
            <w:vAlign w:val="bottom"/>
          </w:tcPr>
          <w:p>
            <w:pPr>
              <w:spacing w:after="0"/>
              <w:rPr>
                <w:sz w:val="1"/>
                <w:szCs w:val="1"/>
                <w:color w:val="auto"/>
              </w:rPr>
            </w:pPr>
          </w:p>
        </w:tc>
      </w:tr>
      <w:tr>
        <w:trPr>
          <w:trHeight w:val="50"/>
        </w:trPr>
        <w:tc>
          <w:tcPr>
            <w:tcW w:w="96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vMerge w:val="continue"/>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9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Non-Core Market</w:t>
            </w:r>
            <w:r>
              <w:rPr>
                <w:rFonts w:ascii="Arial" w:cs="Arial" w:eastAsia="Arial" w:hAnsi="Arial"/>
                <w:sz w:val="8"/>
                <w:szCs w:val="8"/>
                <w:b w:val="1"/>
                <w:bCs w:val="1"/>
                <w:color w:val="auto"/>
              </w:rPr>
              <w:t>(2)</w:t>
            </w:r>
            <w:r>
              <w:rPr>
                <w:rFonts w:ascii="Arial" w:cs="Arial" w:eastAsia="Arial" w:hAnsi="Arial"/>
                <w:sz w:val="13"/>
                <w:szCs w:val="13"/>
                <w:b w:val="1"/>
                <w:bCs w:val="1"/>
                <w:color w:val="auto"/>
              </w:rPr>
              <w:t>:</w:t>
            </w: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9660" w:type="dxa"/>
            <w:vAlign w:val="bottom"/>
          </w:tcPr>
          <w:p>
            <w:pPr>
              <w:ind w:left="380"/>
              <w:spacing w:after="0"/>
              <w:rPr>
                <w:sz w:val="20"/>
                <w:szCs w:val="20"/>
                <w:color w:val="auto"/>
              </w:rPr>
            </w:pPr>
            <w:r>
              <w:rPr>
                <w:rFonts w:ascii="Arial" w:cs="Arial" w:eastAsia="Arial" w:hAnsi="Arial"/>
                <w:sz w:val="13"/>
                <w:szCs w:val="13"/>
                <w:color w:val="auto"/>
              </w:rPr>
              <w:t>Company-operated restaurant revenue</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11,591</w:t>
            </w:r>
          </w:p>
        </w:tc>
        <w:tc>
          <w:tcPr>
            <w:tcW w:w="0" w:type="dxa"/>
            <w:vAlign w:val="bottom"/>
          </w:tcPr>
          <w:p>
            <w:pPr>
              <w:spacing w:after="0"/>
              <w:rPr>
                <w:sz w:val="1"/>
                <w:szCs w:val="1"/>
                <w:color w:val="auto"/>
              </w:rPr>
            </w:pPr>
          </w:p>
        </w:tc>
      </w:tr>
      <w:tr>
        <w:trPr>
          <w:trHeight w:val="224"/>
        </w:trPr>
        <w:tc>
          <w:tcPr>
            <w:tcW w:w="96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Franchise revenue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2,730</w:t>
            </w:r>
          </w:p>
        </w:tc>
        <w:tc>
          <w:tcPr>
            <w:tcW w:w="0" w:type="dxa"/>
            <w:vAlign w:val="bottom"/>
          </w:tcPr>
          <w:p>
            <w:pPr>
              <w:spacing w:after="0"/>
              <w:rPr>
                <w:sz w:val="1"/>
                <w:szCs w:val="1"/>
                <w:color w:val="auto"/>
              </w:rPr>
            </w:pPr>
          </w:p>
        </w:tc>
      </w:tr>
      <w:tr>
        <w:trPr>
          <w:trHeight w:val="210"/>
        </w:trPr>
        <w:tc>
          <w:tcPr>
            <w:tcW w:w="966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Franchise advertising fee revenue</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2,488</w:t>
            </w:r>
          </w:p>
        </w:tc>
        <w:tc>
          <w:tcPr>
            <w:tcW w:w="0" w:type="dxa"/>
            <w:vAlign w:val="bottom"/>
          </w:tcPr>
          <w:p>
            <w:pPr>
              <w:spacing w:after="0"/>
              <w:rPr>
                <w:sz w:val="1"/>
                <w:szCs w:val="1"/>
                <w:color w:val="auto"/>
              </w:rPr>
            </w:pPr>
          </w:p>
        </w:tc>
      </w:tr>
      <w:tr>
        <w:trPr>
          <w:trHeight w:val="216"/>
        </w:trPr>
        <w:tc>
          <w:tcPr>
            <w:tcW w:w="9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Total non-core market</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16,809</w:t>
            </w:r>
          </w:p>
        </w:tc>
        <w:tc>
          <w:tcPr>
            <w:tcW w:w="0" w:type="dxa"/>
            <w:vAlign w:val="bottom"/>
          </w:tcPr>
          <w:p>
            <w:pPr>
              <w:spacing w:after="0"/>
              <w:rPr>
                <w:sz w:val="1"/>
                <w:szCs w:val="1"/>
                <w:color w:val="auto"/>
              </w:rPr>
            </w:pPr>
          </w:p>
        </w:tc>
      </w:tr>
      <w:tr>
        <w:trPr>
          <w:trHeight w:val="203"/>
        </w:trPr>
        <w:tc>
          <w:tcPr>
            <w:tcW w:w="9660" w:type="dxa"/>
            <w:vAlign w:val="bottom"/>
          </w:tcPr>
          <w:p>
            <w:pPr>
              <w:ind w:left="20"/>
              <w:spacing w:after="0"/>
              <w:rPr>
                <w:sz w:val="20"/>
                <w:szCs w:val="20"/>
                <w:color w:val="auto"/>
              </w:rPr>
            </w:pPr>
            <w:r>
              <w:rPr>
                <w:rFonts w:ascii="Arial" w:cs="Arial" w:eastAsia="Arial" w:hAnsi="Arial"/>
                <w:sz w:val="13"/>
                <w:szCs w:val="13"/>
                <w:b w:val="1"/>
                <w:bCs w:val="1"/>
                <w:color w:val="auto"/>
              </w:rPr>
              <w:t>Total revenue</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5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105,756</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Core Market includes markets with existing company-operated restaurants at the Initial Public Offering (IPO) date.</w:t>
      </w:r>
    </w:p>
    <w:p>
      <w:pPr>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Non-Core Market includes markets entered into subsequent to the IPO date.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geographic market:</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1"/>
          <w:szCs w:val="11"/>
          <w:color w:val="auto"/>
        </w:rPr>
        <w:t>Greater Los Angeles area market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markets</w:t>
      </w:r>
    </w:p>
    <w:p>
      <w:pPr>
        <w:spacing w:after="0" w:line="40"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center"/>
        <w:ind w:right="580"/>
        <w:spacing w:after="0"/>
        <w:rPr>
          <w:sz w:val="20"/>
          <w:szCs w:val="20"/>
          <w:color w:val="auto"/>
        </w:rPr>
      </w:pPr>
      <w:r>
        <w:rPr>
          <w:rFonts w:ascii="Arial" w:cs="Arial" w:eastAsia="Arial" w:hAnsi="Arial"/>
          <w:sz w:val="11"/>
          <w:szCs w:val="1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31750</wp:posOffset>
            </wp:positionV>
            <wp:extent cx="1475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24" w:lineRule="exact"/>
        <w:rPr>
          <w:sz w:val="20"/>
          <w:szCs w:val="20"/>
          <w:color w:val="auto"/>
        </w:rPr>
      </w:pPr>
    </w:p>
    <w:p>
      <w:pPr>
        <w:jc w:val="center"/>
        <w:ind w:right="580"/>
        <w:spacing w:after="0"/>
        <w:rPr>
          <w:sz w:val="20"/>
          <w:szCs w:val="20"/>
          <w:color w:val="auto"/>
        </w:rPr>
      </w:pPr>
      <w:r>
        <w:rPr>
          <w:rFonts w:ascii="Arial" w:cs="Arial" w:eastAsia="Arial" w:hAnsi="Arial"/>
          <w:sz w:val="13"/>
          <w:szCs w:val="13"/>
          <w:color w:val="auto"/>
        </w:rPr>
        <w:t>March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17145</wp:posOffset>
            </wp:positionV>
            <wp:extent cx="72466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3" w:lineRule="exact"/>
        <w:rPr>
          <w:sz w:val="20"/>
          <w:szCs w:val="20"/>
          <w:color w:val="auto"/>
        </w:rPr>
      </w:pPr>
    </w:p>
    <w:p>
      <w:pPr>
        <w:ind w:left="1360"/>
        <w:spacing w:after="0"/>
        <w:rPr>
          <w:sz w:val="20"/>
          <w:szCs w:val="20"/>
          <w:color w:val="auto"/>
        </w:rPr>
      </w:pPr>
      <w:r>
        <w:rPr>
          <w:rFonts w:ascii="Arial" w:cs="Arial" w:eastAsia="Arial" w:hAnsi="Arial"/>
          <w:sz w:val="11"/>
          <w:szCs w:val="11"/>
          <w:color w:val="auto"/>
        </w:rPr>
        <w:t>69.2%</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1"/>
          <w:szCs w:val="11"/>
          <w:color w:val="auto"/>
        </w:rPr>
        <w:t>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31750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2"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36830</wp:posOffset>
            </wp:positionV>
            <wp:extent cx="14751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0" w:space="720"/>
            <w:col w:w="1740"/>
          </w:cols>
          <w:pgMar w:left="240" w:top="692" w:right="2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franchise contract liability balances during the period (in thousands):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Borders>
              <w:bottom w:val="single" w:sz="8" w:color="CCEEFF"/>
            </w:tcBorders>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677"/>
              <w:spacing w:after="0"/>
              <w:rPr>
                <w:sz w:val="20"/>
                <w:szCs w:val="20"/>
                <w:color w:val="auto"/>
              </w:rPr>
            </w:pPr>
            <w:r>
              <w:rPr>
                <w:rFonts w:ascii="Arial" w:cs="Arial" w:eastAsia="Arial" w:hAnsi="Arial"/>
                <w:sz w:val="13"/>
                <w:szCs w:val="13"/>
                <w:color w:val="auto"/>
              </w:rPr>
              <w:t>March 28, 2018</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December 28, 2017</w:t>
            </w:r>
          </w:p>
        </w:tc>
        <w:tc>
          <w:tcPr>
            <w:tcW w:w="5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5,799</w:t>
            </w:r>
          </w:p>
        </w:tc>
        <w:tc>
          <w:tcPr>
            <w:tcW w:w="0" w:type="dxa"/>
            <w:vAlign w:val="bottom"/>
          </w:tcPr>
          <w:p>
            <w:pPr>
              <w:spacing w:after="0"/>
              <w:rPr>
                <w:sz w:val="1"/>
                <w:szCs w:val="1"/>
                <w:color w:val="auto"/>
              </w:rPr>
            </w:pPr>
          </w:p>
        </w:tc>
      </w:tr>
      <w:tr>
        <w:trPr>
          <w:trHeight w:val="181"/>
        </w:trPr>
        <w:tc>
          <w:tcPr>
            <w:tcW w:w="4260" w:type="dxa"/>
            <w:vAlign w:val="bottom"/>
          </w:tcPr>
          <w:p>
            <w:pPr>
              <w:ind w:left="380"/>
              <w:spacing w:after="0"/>
              <w:rPr>
                <w:sz w:val="20"/>
                <w:szCs w:val="20"/>
                <w:color w:val="auto"/>
              </w:rPr>
            </w:pPr>
            <w:r>
              <w:rPr>
                <w:rFonts w:ascii="Arial" w:cs="Arial" w:eastAsia="Arial" w:hAnsi="Arial"/>
                <w:sz w:val="13"/>
                <w:szCs w:val="13"/>
                <w:color w:val="auto"/>
              </w:rPr>
              <w:t>Revenue recognized - beginning balance</w:t>
            </w:r>
          </w:p>
        </w:tc>
        <w:tc>
          <w:tcPr>
            <w:tcW w:w="4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Additional contract liability</w:t>
            </w:r>
          </w:p>
        </w:tc>
        <w:tc>
          <w:tcPr>
            <w:tcW w:w="4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83"/>
        </w:trPr>
        <w:tc>
          <w:tcPr>
            <w:tcW w:w="426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Revenue recognized - additional contract liability</w:t>
            </w:r>
          </w:p>
        </w:tc>
        <w:tc>
          <w:tcPr>
            <w:tcW w:w="49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March 28, 2018</w:t>
            </w:r>
          </w:p>
        </w:tc>
        <w:tc>
          <w:tcPr>
            <w:tcW w:w="53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b w:val="1"/>
                <w:bCs w:val="1"/>
                <w:color w:val="auto"/>
              </w:rPr>
              <w:t>$</w:t>
            </w:r>
          </w:p>
        </w:tc>
        <w:tc>
          <w:tcPr>
            <w:tcW w:w="18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5,791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bottom w:val="single" w:sz="8" w:color="CCEEFF"/>
            </w:tcBorders>
            <w:vMerge w:val="restart"/>
          </w:tcPr>
          <w:p>
            <w:pPr>
              <w:jc w:val="right"/>
              <w:ind w:right="3288"/>
              <w:spacing w:after="0"/>
              <w:rPr>
                <w:sz w:val="20"/>
                <w:szCs w:val="20"/>
                <w:color w:val="auto"/>
              </w:rPr>
            </w:pPr>
            <w:r>
              <w:rPr>
                <w:rFonts w:ascii="Arial" w:cs="Arial" w:eastAsia="Arial" w:hAnsi="Arial"/>
                <w:sz w:val="18"/>
                <w:szCs w:val="18"/>
                <w:color w:val="auto"/>
              </w:rPr>
              <w:t>21</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6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type w:val="continuous"/>
        </w:sectPr>
      </w:pPr>
    </w:p>
    <w:bookmarkStart w:id="21" w:name="page22"/>
    <w:bookmarkEnd w:id="21"/>
    <w:p>
      <w:pPr>
        <w:ind w:right="260"/>
        <w:spacing w:after="0" w:line="276" w:lineRule="auto"/>
        <w:rPr>
          <w:sz w:val="20"/>
          <w:szCs w:val="20"/>
          <w:color w:val="auto"/>
        </w:rPr>
      </w:pPr>
      <w:r>
        <w:rPr>
          <w:rFonts w:ascii="Arial" w:cs="Arial" w:eastAsia="Arial" w:hAnsi="Arial"/>
          <w:sz w:val="17"/>
          <w:szCs w:val="17"/>
          <w:color w:val="auto"/>
        </w:rPr>
        <w:t>The Company’s franchise contract liability includes development fees, initial franchise and license fees, and franchise renewal fees and is included within other accrued expenses and current liabilities and other noncurrent liabilities within the accompanying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thirteen weeks ended March 28, 2018, there were no significant changes in the franchise contract liability balances. Additionally, the Company does not have any contract assets.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illustrates the estimated revenue to be recognized in the future related to performance obligations that are unsatisfied as of March 28, 2018:</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160" w:type="dxa"/>
            <w:vAlign w:val="bottom"/>
          </w:tcPr>
          <w:p>
            <w:pPr>
              <w:ind w:left="40"/>
              <w:spacing w:after="0"/>
              <w:rPr>
                <w:sz w:val="20"/>
                <w:szCs w:val="20"/>
                <w:color w:val="auto"/>
              </w:rPr>
            </w:pPr>
            <w:r>
              <w:rPr>
                <w:rFonts w:ascii="Arial" w:cs="Arial" w:eastAsia="Arial" w:hAnsi="Arial"/>
                <w:sz w:val="13"/>
                <w:szCs w:val="13"/>
                <w:b w:val="1"/>
                <w:bCs w:val="1"/>
                <w:color w:val="auto"/>
              </w:rPr>
              <w:t>Franchise revenues (in thousands):</w:t>
            </w: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97"/>
        </w:trPr>
        <w:tc>
          <w:tcPr>
            <w:tcW w:w="9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6"/>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2018</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281</w:t>
            </w:r>
          </w:p>
        </w:tc>
      </w:tr>
      <w:tr>
        <w:trPr>
          <w:trHeight w:val="208"/>
        </w:trPr>
        <w:tc>
          <w:tcPr>
            <w:tcW w:w="9160" w:type="dxa"/>
            <w:vAlign w:val="bottom"/>
          </w:tcPr>
          <w:p>
            <w:pPr>
              <w:ind w:left="380"/>
              <w:spacing w:after="0"/>
              <w:rPr>
                <w:sz w:val="20"/>
                <w:szCs w:val="20"/>
                <w:color w:val="auto"/>
              </w:rPr>
            </w:pPr>
            <w:r>
              <w:rPr>
                <w:rFonts w:ascii="Arial" w:cs="Arial" w:eastAsia="Arial" w:hAnsi="Arial"/>
                <w:sz w:val="13"/>
                <w:szCs w:val="13"/>
                <w:color w:val="auto"/>
              </w:rPr>
              <w:t>2019</w:t>
            </w:r>
          </w:p>
        </w:tc>
        <w:tc>
          <w:tcPr>
            <w:tcW w:w="9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391</w:t>
            </w:r>
          </w:p>
        </w:tc>
      </w:tr>
      <w:tr>
        <w:trPr>
          <w:trHeight w:val="224"/>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2020</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456</w:t>
            </w:r>
          </w:p>
        </w:tc>
      </w:tr>
      <w:tr>
        <w:trPr>
          <w:trHeight w:val="208"/>
        </w:trPr>
        <w:tc>
          <w:tcPr>
            <w:tcW w:w="9160" w:type="dxa"/>
            <w:vAlign w:val="bottom"/>
          </w:tcPr>
          <w:p>
            <w:pPr>
              <w:ind w:left="380"/>
              <w:spacing w:after="0"/>
              <w:rPr>
                <w:sz w:val="20"/>
                <w:szCs w:val="20"/>
                <w:color w:val="auto"/>
              </w:rPr>
            </w:pPr>
            <w:r>
              <w:rPr>
                <w:rFonts w:ascii="Arial" w:cs="Arial" w:eastAsia="Arial" w:hAnsi="Arial"/>
                <w:sz w:val="13"/>
                <w:szCs w:val="13"/>
                <w:color w:val="auto"/>
              </w:rPr>
              <w:t>2021</w:t>
            </w:r>
          </w:p>
        </w:tc>
        <w:tc>
          <w:tcPr>
            <w:tcW w:w="9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446</w:t>
            </w:r>
          </w:p>
        </w:tc>
      </w:tr>
      <w:tr>
        <w:trPr>
          <w:trHeight w:val="224"/>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Thereafter</w:t>
            </w:r>
          </w:p>
        </w:tc>
        <w:tc>
          <w:tcPr>
            <w:tcW w:w="9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4,217</w:t>
            </w:r>
          </w:p>
        </w:tc>
      </w:tr>
      <w:tr>
        <w:trPr>
          <w:trHeight w:val="203"/>
        </w:trPr>
        <w:tc>
          <w:tcPr>
            <w:tcW w:w="9160" w:type="dxa"/>
            <w:vAlign w:val="bottom"/>
          </w:tcPr>
          <w:p>
            <w:pPr>
              <w:ind w:left="380"/>
              <w:spacing w:after="0"/>
              <w:rPr>
                <w:sz w:val="20"/>
                <w:szCs w:val="20"/>
                <w:color w:val="auto"/>
              </w:rPr>
            </w:pPr>
            <w:r>
              <w:rPr>
                <w:rFonts w:ascii="Arial" w:cs="Arial" w:eastAsia="Arial" w:hAnsi="Arial"/>
                <w:sz w:val="13"/>
                <w:szCs w:val="13"/>
                <w:b w:val="1"/>
                <w:bCs w:val="1"/>
                <w:color w:val="auto"/>
              </w:rPr>
              <w:t>Total</w:t>
            </w:r>
          </w:p>
        </w:tc>
        <w:tc>
          <w:tcPr>
            <w:tcW w:w="980" w:type="dxa"/>
            <w:vAlign w:val="bottom"/>
            <w:tcBorders>
              <w:bottom w:val="single" w:sz="8" w:color="auto"/>
            </w:tcBorders>
          </w:tcPr>
          <w:p>
            <w:pPr>
              <w:jc w:val="right"/>
              <w:ind w:right="837"/>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5,791</w:t>
            </w:r>
          </w:p>
        </w:tc>
      </w:tr>
      <w:tr>
        <w:trPr>
          <w:trHeight w:val="20"/>
        </w:trPr>
        <w:tc>
          <w:tcPr>
            <w:tcW w:w="9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currently incur costs to obtain or fulfill a contract that would be considered contract assets under Topic 606.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discussion and analysis should be read in conjunction with Item 1 above and with the consolidated financial statements contained in our annual report on Form 10-K for the year ended December 27, 2017. This discussion and analysis contains forward-looking statements that involve risks, uncertainties and assumptions. Outcomes may differ materially from our expectations. For more information, we direct you to the sections “Risk Factors” (as updated by “PART II-OTHER INFORMATION-Item 1A. Risk Factors.” below) and “Forward-Looking Statements” in our annual report. We make no guarantees regarding outcomes, and assume no obligations to update the forward-looking statements herein, except pursuant to law.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limited service restaurant (“LSR”) segment. We strive to offer the quality of food and dining experience typical of fast casual restaurants while providing the speed, convenience, and value typical of traditional quick-service restaurants (“QSRs”), a combination that we call “QSR+” and to provide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team members in a contemporary restaurant environment. We serve individual and family-sized chicken meals, a variety of Mexican-inspired entrees, and sides, and, throughout the year, on a limited-time basis, additional proteins like shrimp and beef. Our entrees include favorites such as our Chicken Avocado Burrito, Under 500 Calorie entrees, Double Pollo Bowl, and Stuffed Chicken Avocado Quesadilla. Our famous Creamy Cilantro dressings and salsas are prepared fresh daily, allowing our customers to create their favorite flavor profiles to enhance their culinary experience. Our distinctive menu with healthier alternatives appeals to consumers across a wide variety of socio-economic backgrounds and drives our balanced day-part mix.</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expand our business, drive restaurant sales growth, and enhance our competitive positioning, by executing on the following strategies: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March 28, 2018, we had 480 locations in six states. In fiscal 2017, we opened 16 new company-operated and 7 new franchised restaurants across Arizona, California, Nevada, Utah and Texas. For the quarter ended March 28, 2018, we opened two new company-operated restaurants and three franchised restaurants in California, Texas, Louisiana and Utah. In 2018, we intend to open 6 to 8 new company-operated and 6 to 8 new franchised restaurants. To increase comparable restaurant sales, we plan to increase customer frequency, attract new customers, and improve per-person spend. These growth rates are not guaranteed.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System-wide, for the thirteen weeks ended March 28, 2018, comparable restaurant sales decreased 1.1% year over year. For company-operated restaurants, comparable restaurant sales, for the thirteen weeks ended March 28, 2018, decreased by 2.0%. For company-operated restaurants, the quarter’s change in comparable restaurant sales consisted of a 1.7% decline in transactions, and a 0.3% decrease in average check size. For franchised restaurants, comparable restaurant sales decreased 0.4% for the thirteen weeks ended March 28, 2018.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restaurant counts at the beginning and end of each of the last three fiscal years and the thirteen weeks ended March 28, 2018,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Thirteen Weeks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 Year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March 28, 2018</w:t>
            </w:r>
          </w:p>
        </w:tc>
        <w:tc>
          <w:tcPr>
            <w:tcW w:w="13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2"/>
                <w:szCs w:val="22"/>
                <w:color w:val="auto"/>
              </w:rPr>
            </w:pPr>
          </w:p>
        </w:tc>
        <w:tc>
          <w:tcPr>
            <w:tcW w:w="1340" w:type="dxa"/>
            <w:vAlign w:val="bottom"/>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activity:</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Restaurant sale to franchisee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Franchised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Restaurant sale to franchisee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System-wide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Closures</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477</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and our franchisees commenced our remodeling program in 2011 and, as of March 28, 2018, together we had remodeled 120 company-operated and 206 franchised restaurants, or 326 system-wide, over 75% of our restaurant system due to be remodeled. This includes 15 company-operated and 13 franchised restaurants that have been remodeled using our newest Vision restaurant design. The Vision design elevates the brand image with exterior and interior features that embrace the brand’s authentic roots with warm textures, rustic elements and a focus on the signature open kitchen layout established in previous designs. As of March 28, 2018, including new builds and remodels, we had 58 restaurants open with the Vision design in our system. Remodeling is a use of cash and has implications for our net property and equipment owned and depreciation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jc w:val="both"/>
        <w:ind w:right="160"/>
        <w:spacing w:after="0" w:line="264" w:lineRule="auto"/>
        <w:rPr>
          <w:sz w:val="20"/>
          <w:szCs w:val="20"/>
          <w:color w:val="auto"/>
        </w:rPr>
      </w:pPr>
      <w:r>
        <w:rPr>
          <w:rFonts w:ascii="Arial" w:cs="Arial" w:eastAsia="Arial" w:hAnsi="Arial"/>
          <w:sz w:val="18"/>
          <w:szCs w:val="18"/>
          <w:color w:val="auto"/>
        </w:rPr>
        <w:t>and amortization line items on our condensed consolidated balance sheets and consolidated statements of income, among others. The cost of our restaurant remodels varies depending on the scope of work required, but on average, the investment is $0.3 million to $0.4 million per restaurant. We believe that our remodeling program will result in higher restaurant revenue and a strengthened brand.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Loco Rewards</w:t>
      </w:r>
    </w:p>
    <w:p>
      <w:pPr>
        <w:spacing w:after="0" w:line="1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During the second quarter of 2017, we introduced a new loyalty rewards points program in an effort to increase sales and loyalty among our customers, by offering rewards that incentivize customers to visit our restaurants more often each month. Customers earn 1 point for each $1 spent and 100 points can be redeemed for a $10 reward to be used for a future purchase. In addition, customers can earn additional points and free entrées for a variety of engagement activities. As points are available for redemption past the quarter earned, a portion of the revenue associated with the earned points will be deferred until redemption. As of March 28, 2018, the amount of revenue deferred related to the earned points, net of redemptions, is $0.6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Income” in our annual report on Form 10-K for the year ended December 27, 2017, and Note 2, “Summary of Significant Accounting Policies,” to Item 8, “Financial Statements and Supplementary Data,” in our annual report. For a summary of our significant accounting policies and a discussion of our use of estimates, see also Note 1 and note 10 to Item 1 above.</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our critical accounting policies or uses of estimates since our annual report on Form 10-K, other than the adoption of ASU 2014-09, as described in Note 1 and Note 10 to Item 1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are described in Note 10 to our consolidated financial statements included elsewhere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presently qualify as an “emerging growth company” (“EGC”) under section 2(a) of the Securities Act, pursuant to the Jumpstart Our Business Startups Act of 2012 (the “JOBS Act”). An EGC has reduced public company reporting, accounting, and corporate governance requirements. We may take advantage of some of these benefits. In addition, the JOBS Act provides that an EGC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EGCs.</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will cease to be an EGC following the earliest of (i) five years after our IPO, (ii) $1.07 billion in annual revenue, (iii) $700.0 million in common stock market capitalization held by non-affiliates, or (iv) $1.0 billion in non-convertible debt security issuance on a three-year rolling basis. Please refer to our annual report on Form 10-K for more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692" w:right="339" w:bottom="1440" w:gutter="0" w:footer="0" w:header="0"/>
        </w:sectPr>
      </w:pPr>
    </w:p>
    <w:bookmarkStart w:id="24" w:name="page25"/>
    <w:bookmarkEnd w:id="24"/>
    <w:p>
      <w:pPr>
        <w:jc w:val="both"/>
        <w:ind w:right="40"/>
        <w:spacing w:after="0" w:line="342" w:lineRule="auto"/>
        <w:rPr>
          <w:sz w:val="20"/>
          <w:szCs w:val="20"/>
          <w:color w:val="auto"/>
        </w:rPr>
      </w:pPr>
      <w:r>
        <w:rPr>
          <w:rFonts w:ascii="Arial" w:cs="Arial" w:eastAsia="Arial" w:hAnsi="Arial"/>
          <w:sz w:val="16"/>
          <w:szCs w:val="16"/>
          <w:color w:val="auto"/>
        </w:rPr>
        <w:t>Our revenue is derived from two primary sources: company-operated restaurant revenue and franchise revenue, the latter of which is comprised primarily of franchise royalties and, to a lesser extent, franchise fees and sublease rental income. See Note 10 for further details regarding our revenue recognition policy.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and expenses incurred in support of franchisee information technology systems. Additionally, upon adoption of ASU 2014-09 in the first quarter of 2018, the franchisee's portion of advertising expenses is now included in franchise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primarily consist of the depreciation of property and equipment, including leasehold improvements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assets includes the loss on disposal of assets related to retirements and replacement or write-off of leasehold improvements or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a carrying value of the assets that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 Closure costs include non-cash restaurant</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692" w:right="31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charges such as up-front expensing of the net present value of unpaid rent remaining on the life of a lease, offset by assumed sublease income.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 consists primarily of interest on our outstanding debt. Debt issuance costs are amortized at cost over the life of the related debt.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consists of federal and state taxes on our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March 28, 2018 and March 29, 2017, there were 442 and 415 comparable restaurants, 192 and 174 company-operated and 250 and 241 franchised, respectively. Comparable restaurant sales indicate the performance of existing restaurants, since new restaurants are excluded.</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Restaurant contribution and restaurant contribution margin are neither required by, nor presented in accordance with,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believes that restaurant contribution and restaurant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92" w:right="259" w:bottom="1440" w:gutter="0" w:footer="0" w:header="0"/>
        </w:sectPr>
      </w:pPr>
    </w:p>
    <w:bookmarkStart w:id="26" w:name="page27"/>
    <w:bookmarkEnd w:id="26"/>
    <w:p>
      <w:pPr>
        <w:ind w:right="680"/>
        <w:spacing w:after="0" w:line="259" w:lineRule="auto"/>
        <w:rPr>
          <w:sz w:val="20"/>
          <w:szCs w:val="20"/>
          <w:color w:val="auto"/>
        </w:rPr>
      </w:pPr>
      <w:r>
        <w:rPr>
          <w:rFonts w:ascii="Arial" w:cs="Arial" w:eastAsia="Arial" w:hAnsi="Arial"/>
          <w:sz w:val="18"/>
          <w:szCs w:val="18"/>
          <w:color w:val="auto"/>
        </w:rPr>
        <w:t>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420" w:type="dxa"/>
            <w:vAlign w:val="bottom"/>
          </w:tcPr>
          <w:p>
            <w:pPr>
              <w:ind w:left="40"/>
              <w:spacing w:after="0"/>
              <w:rPr>
                <w:sz w:val="20"/>
                <w:szCs w:val="20"/>
                <w:color w:val="auto"/>
              </w:rPr>
            </w:pPr>
            <w:r>
              <w:rPr>
                <w:rFonts w:ascii="Arial" w:cs="Arial" w:eastAsia="Arial" w:hAnsi="Arial"/>
                <w:sz w:val="14"/>
                <w:szCs w:val="14"/>
                <w:b w:val="1"/>
                <w:bCs w:val="1"/>
                <w:color w:val="auto"/>
              </w:rPr>
              <w:t>(Dollar amounts in thousands)</w:t>
            </w:r>
          </w:p>
        </w:tc>
        <w:tc>
          <w:tcPr>
            <w:tcW w:w="18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28, 2018</w:t>
            </w:r>
          </w:p>
        </w:tc>
        <w:tc>
          <w:tcPr>
            <w:tcW w:w="180" w:type="dxa"/>
            <w:vAlign w:val="bottom"/>
          </w:tcPr>
          <w:p>
            <w:pPr>
              <w:spacing w:after="0"/>
              <w:rPr>
                <w:sz w:val="22"/>
                <w:szCs w:val="22"/>
                <w:color w:val="auto"/>
              </w:rPr>
            </w:pPr>
          </w:p>
        </w:tc>
        <w:tc>
          <w:tcPr>
            <w:tcW w:w="1260" w:type="dxa"/>
            <w:vAlign w:val="bottom"/>
          </w:tcPr>
          <w:p>
            <w:pPr>
              <w:jc w:val="right"/>
              <w:ind w:right="154"/>
              <w:spacing w:after="0"/>
              <w:rPr>
                <w:sz w:val="20"/>
                <w:szCs w:val="20"/>
                <w:color w:val="auto"/>
              </w:rPr>
            </w:pPr>
            <w:r>
              <w:rPr>
                <w:rFonts w:ascii="Arial" w:cs="Arial" w:eastAsia="Arial" w:hAnsi="Arial"/>
                <w:sz w:val="14"/>
                <w:szCs w:val="14"/>
                <w:b w:val="1"/>
                <w:bCs w:val="1"/>
                <w:color w:val="auto"/>
              </w:rPr>
              <w:t>March 29, 2017</w:t>
            </w:r>
          </w:p>
        </w:tc>
      </w:tr>
      <w:tr>
        <w:trPr>
          <w:trHeight w:val="250"/>
        </w:trPr>
        <w:tc>
          <w:tcPr>
            <w:tcW w:w="8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94,553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93,449</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Company restaurant expenses</w:t>
            </w:r>
          </w:p>
        </w:tc>
        <w:tc>
          <w:tcPr>
            <w:tcW w:w="180" w:type="dxa"/>
            <w:vAlign w:val="bottom"/>
          </w:tcPr>
          <w:p>
            <w:pPr>
              <w:spacing w:after="0"/>
              <w:rPr>
                <w:sz w:val="21"/>
                <w:szCs w:val="21"/>
                <w:color w:val="auto"/>
              </w:rPr>
            </w:pP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76,816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74,447</w:t>
            </w:r>
          </w:p>
        </w:tc>
      </w:tr>
      <w:tr>
        <w:trPr>
          <w:trHeight w:val="27"/>
        </w:trPr>
        <w:tc>
          <w:tcPr>
            <w:tcW w:w="8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17,737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19,002</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Restaurant contribution margin (%)</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7" w:name="page28"/>
    <w:bookmarkEnd w:id="27"/>
    <w:p>
      <w:pPr>
        <w:ind w:right="20"/>
        <w:spacing w:after="0" w:line="271" w:lineRule="auto"/>
        <w:rPr>
          <w:sz w:val="20"/>
          <w:szCs w:val="20"/>
          <w:color w:val="auto"/>
        </w:rPr>
      </w:pPr>
      <w:r>
        <w:rPr>
          <w:rFonts w:ascii="Arial" w:cs="Arial" w:eastAsia="Arial" w:hAnsi="Arial"/>
          <w:sz w:val="17"/>
          <w:szCs w:val="17"/>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 and for compensation performance benchmarks.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reconciliations of EBITDA and Adjusted EBITDA to our net income: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28, 2018</w:t>
            </w:r>
          </w:p>
        </w:tc>
        <w:tc>
          <w:tcPr>
            <w:tcW w:w="160" w:type="dxa"/>
            <w:vAlign w:val="bottom"/>
          </w:tcPr>
          <w:p>
            <w:pPr>
              <w:spacing w:after="0"/>
              <w:rPr>
                <w:sz w:val="22"/>
                <w:szCs w:val="22"/>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March 29, 2017</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4,877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790</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9,578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13,451</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16"/>
                <w:szCs w:val="16"/>
                <w:color w:val="auto"/>
              </w:rPr>
              <w:t>(a)</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Loss on disposal of assets</w:t>
            </w:r>
            <w:r>
              <w:rPr>
                <w:rFonts w:ascii="Arial" w:cs="Arial" w:eastAsia="Arial" w:hAnsi="Arial"/>
                <w:sz w:val="16"/>
                <w:szCs w:val="16"/>
                <w:color w:val="auto"/>
              </w:rPr>
              <w:t>(b)</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225</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expense(c)</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Asset impairment and closed-store reserves</w:t>
            </w:r>
            <w:r>
              <w:rPr>
                <w:rFonts w:ascii="Arial" w:cs="Arial" w:eastAsia="Arial" w:hAnsi="Arial"/>
                <w:sz w:val="16"/>
                <w:szCs w:val="16"/>
                <w:color w:val="auto"/>
              </w:rPr>
              <w:t>(d)</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871</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expense(e)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Securities lawsuits related legal expense</w:t>
            </w:r>
            <w:r>
              <w:rPr>
                <w:rFonts w:ascii="Arial" w:cs="Arial" w:eastAsia="Arial" w:hAnsi="Arial"/>
                <w:sz w:val="16"/>
                <w:szCs w:val="16"/>
                <w:color w:val="auto"/>
              </w:rPr>
              <w:t>(f)</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351</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Pre-opening costs</w:t>
            </w:r>
            <w:r>
              <w:rPr>
                <w:rFonts w:ascii="Arial" w:cs="Arial" w:eastAsia="Arial" w:hAnsi="Arial"/>
                <w:sz w:val="16"/>
                <w:szCs w:val="16"/>
                <w:color w:val="auto"/>
              </w:rPr>
              <w:t>(g)</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Executive transition costs</w:t>
            </w:r>
            <w:r>
              <w:rPr>
                <w:rFonts w:ascii="Arial" w:cs="Arial" w:eastAsia="Arial" w:hAnsi="Arial"/>
                <w:sz w:val="16"/>
                <w:szCs w:val="16"/>
                <w:color w:val="auto"/>
              </w:rPr>
              <w:t>(h)</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14,613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15,985</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23" w:lineRule="exact"/>
        <w:rPr>
          <w:rFonts w:ascii="Arial" w:cs="Arial" w:eastAsia="Arial" w:hAnsi="Arial"/>
          <w:sz w:val="18"/>
          <w:szCs w:val="18"/>
          <w:color w:val="auto"/>
        </w:rPr>
      </w:pPr>
    </w:p>
    <w:p>
      <w:pPr>
        <w:ind w:left="660" w:right="28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jc w:val="both"/>
        <w:ind w:left="660" w:right="50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thirteen weeks ended March 28, 2018, we received insurance proceeds of $1.6 million related to the reimbursement of certain legal expenses paid in prior years for the defense of securities lawsuits. See the Notes to the Condensed Consolidated Financial Statements, Note 7, Commitments and Contingencies, Legal Matters.</w:t>
      </w:r>
    </w:p>
    <w:p>
      <w:pPr>
        <w:spacing w:after="0" w:line="1" w:lineRule="exact"/>
        <w:rPr>
          <w:rFonts w:ascii="Arial" w:cs="Arial" w:eastAsia="Arial" w:hAnsi="Arial"/>
          <w:sz w:val="18"/>
          <w:szCs w:val="18"/>
          <w:color w:val="auto"/>
        </w:rPr>
      </w:pPr>
    </w:p>
    <w:p>
      <w:pPr>
        <w:ind w:left="660" w:right="40" w:hanging="652"/>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costs related to impairment of long-lived assets and closing restaurants. During the thirteen weeks ended March 28, 2018, the Company closed two restaurants in Texas, both of which were previously impaired during the third quarter of 2017, and decided not to move forward with the development of a third location in Texas. This resulted in a closed-store reserve of $2.8 million for the thirteen weeks ended March 28, 2018. During the thirteen weeks ended March 29, 2017, we closed one restaurant in Arizona and one restaurant in Texas, resulting in a closed store reserve of $0.8 million. We continue to monitor the recoverability of the carrying value of the assets of several other restaurants.</w:t>
      </w:r>
    </w:p>
    <w:p>
      <w:pPr>
        <w:spacing w:after="0" w:line="3" w:lineRule="exact"/>
        <w:rPr>
          <w:rFonts w:ascii="Arial" w:cs="Arial" w:eastAsia="Arial" w:hAnsi="Arial"/>
          <w:sz w:val="16"/>
          <w:szCs w:val="16"/>
          <w:color w:val="auto"/>
        </w:rPr>
      </w:pPr>
    </w:p>
    <w:p>
      <w:pPr>
        <w:ind w:left="660" w:right="2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weeks ended March 28, 2018 and March 29, 2017, income tax receivable agreement expense consisted of the amortization of interest expense and changes in estimates for actual tax returns filed, related to our total expected TRA payments.</w:t>
      </w:r>
    </w:p>
    <w:p>
      <w:pPr>
        <w:spacing w:after="0" w:line="1" w:lineRule="exact"/>
        <w:rPr>
          <w:rFonts w:ascii="Arial" w:cs="Arial" w:eastAsia="Arial" w:hAnsi="Arial"/>
          <w:sz w:val="18"/>
          <w:szCs w:val="18"/>
          <w:color w:val="auto"/>
        </w:rPr>
      </w:pPr>
    </w:p>
    <w:p>
      <w:pPr>
        <w:ind w:left="660" w:right="88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costs related to the defense of securities lawsuits. See the Notes to the Condensed Consolidated Financial Statements, Note 7, Commitments and Contingencies, Legal Matters.</w:t>
      </w:r>
    </w:p>
    <w:p>
      <w:pPr>
        <w:ind w:left="660" w:right="20" w:hanging="652"/>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28" w:name="page29"/>
    <w:bookmarkEnd w:id="28"/>
    <w:p>
      <w:pPr>
        <w:ind w:left="660" w:right="520"/>
        <w:spacing w:after="0" w:line="282" w:lineRule="auto"/>
        <w:rPr>
          <w:sz w:val="20"/>
          <w:szCs w:val="20"/>
          <w:color w:val="auto"/>
        </w:rPr>
      </w:pPr>
      <w:r>
        <w:rPr>
          <w:rFonts w:ascii="Arial" w:cs="Arial" w:eastAsia="Arial" w:hAnsi="Arial"/>
          <w:sz w:val="18"/>
          <w:szCs w:val="18"/>
          <w:color w:val="auto"/>
        </w:rPr>
        <w:t>generally incurred over the three to five months prior to opening. Pre-opening costs also include occupancy costs incurred between the date of possession and the opening date for a restaurant.</w:t>
      </w:r>
    </w:p>
    <w:p>
      <w:pPr>
        <w:spacing w:after="0" w:line="1" w:lineRule="exact"/>
        <w:rPr>
          <w:sz w:val="20"/>
          <w:szCs w:val="20"/>
          <w:color w:val="auto"/>
        </w:rPr>
      </w:pPr>
    </w:p>
    <w:p>
      <w:pPr>
        <w:ind w:left="660" w:right="120" w:hanging="652"/>
        <w:spacing w:after="0" w:line="27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costs associated with the transition of our CEO, such as executive recruiter costs, CEO sign-on bonus, and former CEO stock modification expense.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of Income</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operating results for the thirteen weeks ended March 28, 2018 and March 29, 2017, in absolute terms, and expressed as percentages of total revenue, with the exception of cost of operations and company restaurant expenses, which are expressed as a percentage of company-operated restaurant revenue, are compared below.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March 28, 2018</w:t>
            </w:r>
          </w:p>
        </w:tc>
        <w:tc>
          <w:tcPr>
            <w:tcW w:w="200" w:type="dxa"/>
            <w:vAlign w:val="bottom"/>
          </w:tcPr>
          <w:p>
            <w:pPr>
              <w:spacing w:after="0"/>
              <w:rPr>
                <w:sz w:val="13"/>
                <w:szCs w:val="13"/>
                <w:color w:val="auto"/>
              </w:rPr>
            </w:pPr>
          </w:p>
        </w:tc>
        <w:tc>
          <w:tcPr>
            <w:tcW w:w="208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March 29, 2017</w:t>
            </w:r>
          </w:p>
        </w:tc>
        <w:tc>
          <w:tcPr>
            <w:tcW w:w="200" w:type="dxa"/>
            <w:vAlign w:val="bottom"/>
          </w:tcPr>
          <w:p>
            <w:pPr>
              <w:spacing w:after="0"/>
              <w:rPr>
                <w:sz w:val="13"/>
                <w:szCs w:val="13"/>
                <w:color w:val="auto"/>
              </w:rPr>
            </w:pPr>
          </w:p>
        </w:tc>
        <w:tc>
          <w:tcPr>
            <w:tcW w:w="1260" w:type="dxa"/>
            <w:vAlign w:val="bottom"/>
            <w:gridSpan w:val="3"/>
          </w:tcPr>
          <w:p>
            <w:pPr>
              <w:jc w:val="center"/>
              <w:ind w:left="412"/>
              <w:spacing w:after="0" w:line="153" w:lineRule="exact"/>
              <w:rPr>
                <w:sz w:val="20"/>
                <w:szCs w:val="20"/>
                <w:color w:val="auto"/>
              </w:rPr>
            </w:pPr>
            <w:r>
              <w:rPr>
                <w:rFonts w:ascii="Arial" w:cs="Arial" w:eastAsia="Arial" w:hAnsi="Arial"/>
                <w:sz w:val="14"/>
                <w:szCs w:val="14"/>
                <w:b w:val="1"/>
                <w:bCs w:val="1"/>
                <w:color w:val="auto"/>
                <w:w w:val="92"/>
              </w:rPr>
              <w:t>Increase /</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89"/>
              </w:rPr>
              <w:t>(Decrease)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Statements of Income Data</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94,553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93,449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Franchise revenue</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6,106</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6,322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advertising 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5,097</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105,756</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99,771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5,985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27,235</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27,072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27,662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26,833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21,919</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20,542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6"/>
                <w:szCs w:val="16"/>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76,816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74,447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13,202</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9,733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3,469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4,212</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4,317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101,308</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90,410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10,898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4,448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9,361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expense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4,478</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8,344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2,529</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4,877</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30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right="18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For the quarter, company-operated restaurant revenue increased $1.1 million, or 1.2%, from the comparable period in the prior year. The growth in company-operated restaurant sales was due to $3.4 million of non-comparable restaurant sales on restaurants that had not been open the fifteen months required to be included in comparable restaurant sales. This was partially offset by a $1.8 million decrease resulting from a 2.0% decline in company-operated comparable sales, the closure of two restaurants in the first quarter of 2018 and five restaurants subsequent to the first quarter of 2017, partially offset by temporary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11" w:right="239" w:bottom="1440" w:gutter="0" w:footer="0" w:header="0"/>
        </w:sectPr>
      </w:pPr>
    </w:p>
    <w:bookmarkStart w:id="29" w:name="page30"/>
    <w:bookmarkEnd w:id="29"/>
    <w:p>
      <w:pPr>
        <w:ind w:right="360"/>
        <w:spacing w:after="0" w:line="277" w:lineRule="auto"/>
        <w:rPr>
          <w:sz w:val="20"/>
          <w:szCs w:val="20"/>
          <w:color w:val="auto"/>
        </w:rPr>
      </w:pPr>
      <w:r>
        <w:rPr>
          <w:rFonts w:ascii="Arial" w:cs="Arial" w:eastAsia="Arial" w:hAnsi="Arial"/>
          <w:sz w:val="18"/>
          <w:szCs w:val="18"/>
          <w:color w:val="auto"/>
        </w:rPr>
        <w:t>closures during the first quarter of 2017. The company-operated comparable restaurant sales decrease consisted of a decline in transactions of 1.7% and a decrease in average check size of 0.3%.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quarter, franchise revenue decreased $0.2 million, or 3.4%, from the comparable period in the prior year. This decrease was primarily due to a decline in revenue recognized from franchise agreement and development agreement fees and lower franchise fees received from franchised restaurants related to their use of our point-of-sales system, and franchise comparable restaurant sales decline of 0.4%. This was partially offset by ten new franchised restaurants opened during or after the prior year quarter.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Advertising Fee Revenue</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the first quarter of 2018, we implemented Accounting Standard Update 2014-09, which requires us to present franchise advertising contributions received from franchisees as franchise advertising fee revenue and record all expenses of the advertising fund within franchise expenses, resulting in an increase in revenues and expenses on our consolidated statements of income. As such, franchise advertising fee revenue increased $5.1 million, from the comparable period in the prior year, as this was the first year of implementation. Refer to the Condensed Consolidated Financial Statements, Note 10, Revenue from Contracts with Customers, for further details.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For the quarter, food and paper costs increased $0.2 million, or 0.6%, from the comparable period in the prior year, due to a $0.1 million decrease in food costs and a $0.3 million increase in paper costs. The increase in food and paper costs resulted primarily from higher restaurant revenue, and increased packaging costs, partially offset by lower commodity costs related to chicken.</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For the quarter, food and paper costs as a percentage of company-operated restaurant revenue were 28.8%, from 29.0% in the comparable period of the prior year. The percentage decrease was due primarily to the lower commodity costs, noted above, partially offset by increased packaging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quarter, payroll and benefit expenses increased $0.8 million, or 3.1%, from the comparable period in the prior year. The increase was due primarily to increased labor costs resulting from the opening of new restaurants in fiscal 2017 and the first quarter of fiscal 2018, the impact of the wage increases in California and Los Angeles during fiscal 2017 and the first quarter of fiscal 2018, partially offset by lower workers' compensation expense due to lower claims activity.</w:t>
      </w:r>
    </w:p>
    <w:p>
      <w:pPr>
        <w:spacing w:after="0" w:line="7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For the quarter, payroll and benefit expenses as a percentage of company-operated restaurant revenue were 29.3%, up from 28.7% in the comparable period in the prior year. The increase was due primarily to wage increases in California and Los Angeles, the impact of the incremental labor required for 18 new restaurants opened during or after the first quarter of 2017, partially offset by a decrease in workers compensation expense due to a decrease in claims.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the quarter, occupancy and other operating expenses increased $1.4 million, or 6.7%, from the comparable period of the prior year. The increase was primarily due to a $0.8 million increase in occupancy costs, due primarily to additional rent, a $0.2 million increase advertising costs, a $0.1 million increase in utilities costs, and a $0.3 million increase in other operating expenses, resulting primarily from an increase in credit card fees and restaurant security expenses. The increases resulted primarily from the new restaurants opened during or after the first quarter of 2017.</w:t>
      </w:r>
    </w:p>
    <w:p>
      <w:pPr>
        <w:spacing w:after="0" w:line="17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For the quarter, occupancy and other operating expenses as a percentage of company-operated restaurant revenue were 23.2%, up from 22.0% in the comparable period of the prior year. The increase resulted primarily from rent expense, relative to revenue volume generated, and other incremental costs related to opening new restaurants in 2017 and the thirteen weeks ended March 28,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0" w:name="page31"/>
    <w:bookmarkEnd w:id="30"/>
    <w:p>
      <w:pPr>
        <w:ind w:right="180"/>
        <w:spacing w:after="0" w:line="257" w:lineRule="auto"/>
        <w:rPr>
          <w:sz w:val="20"/>
          <w:szCs w:val="20"/>
          <w:color w:val="auto"/>
        </w:rPr>
      </w:pPr>
      <w:r>
        <w:rPr>
          <w:rFonts w:ascii="Arial" w:cs="Arial" w:eastAsia="Arial" w:hAnsi="Arial"/>
          <w:sz w:val="18"/>
          <w:szCs w:val="18"/>
          <w:color w:val="auto"/>
        </w:rPr>
        <w:t>For the quarter, general and administrative expenses increased $3.5 million, or 35.6%, from the comparable period in the prior year. The increase for the quarter was due primarily to (i) a $2.7 million increase in legal expense related primarily to an increase in securities class action litigation costs, (ii) a $0.4 million increase in stock compensation related expenses, primarily related to the stock modification discussed in Note 3, (iii) a $0.3 million increase in dead site costs related to costs incurred for potential new restaurant locations that we chose not to continue to pursue, and (iv) a $0.1 million increase in other general and administrative expenses.</w:t>
      </w:r>
    </w:p>
    <w:p>
      <w:pPr>
        <w:spacing w:after="0" w:line="8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For the quarter, general and administrative expenses as a percentage of total revenue were 12.5% up from 9.8% in the comparable period of the prior year. Excluding franchise advertising fee revenue, discussed in Note 10, general and administrative expenses as a percentage of total revenue were 13.1% up from 9.8% in the comparable period of the prior year. The percentage increase is primarily due to the cost increases discussed above.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Recovery of Securities Class Action Legal Expense</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thirteen weeks ended March 28, 2018, we received insurance proceeds of $1.6 million related to the reimbursement of certain legal expenses paid in prior years for the defense of securities lawsuits. See the Notes to the Condensed Consolidated Financial Statements, Note 7, Commitments and Contingencies, Legal Matters.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ind w:left="60"/>
        <w:spacing w:after="0" w:line="276" w:lineRule="auto"/>
        <w:rPr>
          <w:sz w:val="20"/>
          <w:szCs w:val="20"/>
          <w:color w:val="auto"/>
        </w:rPr>
      </w:pPr>
      <w:r>
        <w:rPr>
          <w:rFonts w:ascii="Arial" w:cs="Arial" w:eastAsia="Arial" w:hAnsi="Arial"/>
          <w:sz w:val="17"/>
          <w:szCs w:val="17"/>
          <w:color w:val="auto"/>
        </w:rPr>
        <w:t>During the thirteen weeks ended March 28, 2018, the Company closed two restaurants in Texas, both of which were previously impaired during the third quarter of 2017, and decided not to move forward with the development of a third location in Texas. This resulted in a closed-store reserve of $2.8 million for the thirteen weeks ended March 28, 2018. During the thirteen weeks ended March 29, 2017, we closed one restaurant in Arizona and one restaurant in Texas, resulting in a closed store reserve of $0.8 million. We continue to monitor the recoverability of the carrying value of the assets of several other restaurants. We continue to monitor the recoverability of the carrying value of the assets of several other restaurants.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the quarter, interest expense, net increased by $0.1 million, or 12.4%, due to an increase in the interest rate on our debt, partially offset by a lower outstanding debt balance.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Receivable Agreement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quarter ended March 28, 2018 we recorded income tax receivable agreement income of $0.9 million and for the quarter ended March 29, 2017, we recorded income tax receivable agreement expense of $0.2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For the quarter ended March 28, 2018, we recorded an income tax provision of $1.9 million, reflecting an estimated effective tax rate of 43.5%. For the quarter ended March 29, 2017, we recorded an income tax provision of $3.5 million, reflecting an estimated effective tax rate of approximately 41.6%.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these sources of liquidity and capital are sufficient to finance our continued operations and expansion plans for at least the next twelve months from the issuance of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cash flow information for the periods indicated.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1620" w:type="dxa"/>
            <w:vAlign w:val="bottom"/>
            <w:tcBorders>
              <w:bottom w:val="single" w:sz="8" w:color="auto"/>
            </w:tcBorders>
          </w:tcPr>
          <w:p>
            <w:pPr>
              <w:spacing w:after="0"/>
              <w:rPr>
                <w:sz w:val="16"/>
                <w:szCs w:val="16"/>
                <w:color w:val="auto"/>
              </w:rPr>
            </w:pP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400" w:type="dxa"/>
            <w:vAlign w:val="bottom"/>
          </w:tcPr>
          <w:p>
            <w:pPr>
              <w:spacing w:after="0"/>
              <w:rPr>
                <w:sz w:val="19"/>
                <w:szCs w:val="19"/>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28, 2018</w:t>
            </w:r>
          </w:p>
        </w:tc>
        <w:tc>
          <w:tcPr>
            <w:tcW w:w="660" w:type="dxa"/>
            <w:vAlign w:val="bottom"/>
          </w:tcPr>
          <w:p>
            <w:pPr>
              <w:spacing w:after="0"/>
              <w:rPr>
                <w:sz w:val="19"/>
                <w:szCs w:val="19"/>
                <w:color w:val="auto"/>
              </w:rPr>
            </w:pPr>
          </w:p>
        </w:tc>
        <w:tc>
          <w:tcPr>
            <w:tcW w:w="1620" w:type="dxa"/>
            <w:vAlign w:val="bottom"/>
          </w:tcPr>
          <w:p>
            <w:pPr>
              <w:jc w:val="right"/>
              <w:ind w:right="574"/>
              <w:spacing w:after="0"/>
              <w:rPr>
                <w:sz w:val="20"/>
                <w:szCs w:val="20"/>
                <w:color w:val="auto"/>
              </w:rPr>
            </w:pPr>
            <w:r>
              <w:rPr>
                <w:rFonts w:ascii="Arial" w:cs="Arial" w:eastAsia="Arial" w:hAnsi="Arial"/>
                <w:sz w:val="14"/>
                <w:szCs w:val="14"/>
                <w:b w:val="1"/>
                <w:bCs w:val="1"/>
                <w:color w:val="auto"/>
                <w:w w:val="94"/>
              </w:rPr>
              <w:t>March 29,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(used) by</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12,333</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19,133</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(11,601)</w:t>
            </w: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(8,032)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(3,048)</w:t>
            </w:r>
          </w:p>
        </w:tc>
      </w:tr>
      <w:tr>
        <w:trPr>
          <w:trHeight w:val="27"/>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(decrease) increase in cash</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4,484</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thirteen weeks ended March 28, 2018, net cash provided by operating activities decreased by approximately $6.8 million from the comparable period of the prior year. This was due primarily to unfavorable working capital fluctuations.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For the thirteen weeks ended March 28, 2018, net cash used by investing activities decreased by $5.0 million from the comparable period of the prior year. This was due primarily to opening two new company restaurants and one remodel completed in the thirteen weeks ended March 28, 2018 compared to five new restaurants and three remodels completed in the thirteen weeks ended March 29, 2017.</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year ending December 26, 2018, we expect to incur capital expenditures of $27.0 million to $31.0 million, consisting of $13.0 to $17.0 million related to new restaurants, $6.0 million related to the remodeling of existing restaurants, and $8.0 million related to major maintenance and other corporate capital expenditures.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For the thirteen weeks ended March 28, 2018, net cash used by financing activities increased by $5.0 million from the comparable period of the prior year. This was due primarily to the prepayment of $8.0 million on the 2014 Revolver during the thirteen weeks ended March 28, 2018 compared to a prepayment of $3.0 million for the thirteen weeks ended March 29,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11, 2014, we refinanced our debt, with EPL, Intermediate, and Holdings entering into a credit agreement with Bank of America, N.A., as administrative agent, swingline lender, and letter of credit issuer, the lenders party thereto, and the other parties thereto, which provides for the 2014 Revolver. The 2014 Revolver includes a sub limit of $15.0 million for letters of credit and a sub limit of $15.0 million for swingline loans. At March 28, 2018, $7.7 million of letters of credit were outstanding and $107.3 million was available to borrow under the revolving line of credit. The 2014 Revolver will mature on or about December 11, 2019.</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interest rate range was 3.3% to 3.4% for the thirteen weeks ended March 28, 2018, and 2.3% to 2.7% for the thirteen weeks ended March 29, 2017.</w:t>
      </w:r>
    </w:p>
    <w:p>
      <w:pPr>
        <w:spacing w:after="0" w:line="17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We were in compliance with all such covenants at March 28, 2018.</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2014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the TRA, and, (iii) so long as no default or event of default has occurred and is continuing, (a) make non-cash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6" w:right="239" w:bottom="1440" w:gutter="0" w:footer="0" w:header="0"/>
        </w:sectPr>
      </w:pPr>
    </w:p>
    <w:bookmarkStart w:id="32" w:name="page33"/>
    <w:bookmarkEnd w:id="32"/>
    <w:p>
      <w:pPr>
        <w:ind w:right="140"/>
        <w:spacing w:after="0" w:line="257" w:lineRule="auto"/>
        <w:rPr>
          <w:sz w:val="20"/>
          <w:szCs w:val="20"/>
          <w:color w:val="auto"/>
        </w:rPr>
      </w:pPr>
      <w:r>
        <w:rPr>
          <w:rFonts w:ascii="Arial" w:cs="Arial" w:eastAsia="Arial" w:hAnsi="Arial"/>
          <w:sz w:val="18"/>
          <w:szCs w:val="18"/>
          <w:color w:val="auto"/>
        </w:rPr>
        <w:t>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$5.0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Our contractual commitments outstanding on March 28, 2018, have not changed materially since our annual report on Form 10-K for the year ended December 27, 2017. These relate to future (i) debt payments, including expected interest expense, calculated based on current interest rates, (ii) restaurant operating lease payments, (iii) income tax receivable agreement payments, and (iv) purchasing commitments for chicken.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28, 2018 and December 27, 2017, we were using $7.7 million of borrowing capacity on the 2014 Revolver for letters of credit in support of our insurance programs.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exposed to market risk from changes in the interest rate on our debt, which bears interest at USD LIBOR plus a margin between 1.75% and 2.50%. As of March 28, 2018, we had outstanding borrowings of $85.0 million and another $7.7 million of letters of credit in support of our insurance programs. A 1.0% increase in the effective interest rate applied to these borrowings would result in a pre-tax interest expense increase of $0.9 million on an annualized basis.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by us in the reports that we file or submit under the Exchange Act is recorded, processed, summarized and reported, within the required time periods, and designed to ensure that such information is accumulated and communicated to our management, including our Chief Executive Officer and Chief Financial Officer, as appropriate to allow timely decisions regarding required disclosure.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800" w:right="259" w:bottom="1440" w:gutter="0" w:footer="0" w:header="0"/>
        </w:sectPr>
      </w:pPr>
    </w:p>
    <w:bookmarkStart w:id="33" w:name="page34"/>
    <w:bookmarkEnd w:id="33"/>
    <w:p>
      <w:pPr>
        <w:ind w:right="20"/>
        <w:spacing w:after="0" w:line="259" w:lineRule="auto"/>
        <w:rPr>
          <w:sz w:val="20"/>
          <w:szCs w:val="20"/>
          <w:color w:val="auto"/>
        </w:rPr>
      </w:pPr>
      <w:r>
        <w:rPr>
          <w:rFonts w:ascii="Arial" w:cs="Arial" w:eastAsia="Arial" w:hAnsi="Arial"/>
          <w:sz w:val="18"/>
          <w:szCs w:val="18"/>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as of the end of the period covered by this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 changes in our internal control over financial reporting occurred during the period covered by this report that has materially affected, or is reasonably likely to materially affect, our internal control over financial reporting.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800" w:right="319" w:bottom="1440" w:gutter="0" w:footer="0" w:header="0"/>
        </w:sectPr>
      </w:pPr>
    </w:p>
    <w:bookmarkStart w:id="34" w:name="page35"/>
    <w:bookmarkEnd w:id="34"/>
    <w:p>
      <w:pPr>
        <w:jc w:val="center"/>
        <w:ind w:right="-7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On or about February 24, 2014, a former employee filed a class action in the Superior Court of the State of California, County of Orange, under the caption </w:t>
      </w:r>
      <w:r>
        <w:rPr>
          <w:rFonts w:ascii="Arial" w:cs="Arial" w:eastAsia="Arial" w:hAnsi="Arial"/>
          <w:sz w:val="17"/>
          <w:szCs w:val="17"/>
          <w:u w:val="single" w:color="auto"/>
          <w:color w:val="auto"/>
        </w:rPr>
        <w:t>Elliott Olvera, et al v. El Pollo Loco, Inc., et al</w:t>
      </w:r>
      <w:r>
        <w:rPr>
          <w:rFonts w:ascii="Arial" w:cs="Arial" w:eastAsia="Arial" w:hAnsi="Arial"/>
          <w:sz w:val="17"/>
          <w:szCs w:val="17"/>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executed a Stipulation of Class Settlement and Release which the court refused to approve on the grounds that it did not provide sufficient compensation for the putative class members. Further settlement discussions were not successful, and the litigation is moving forward with the filing deadline for plaintiff’s class certification motion postponed until May 4, 2018. Purported class actions alleging wage and hour violations are commonly filed against California employers. The Company has similar cases pending that overlap in part with the Olvera action and fully expects to have to defend against similar lawsuits in the future.</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which is currently set for hearing on June 25, 2018. Defendants intend to continue to defend against the claims asserted.</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8"/>
          <w:szCs w:val="18"/>
          <w:u w:val="single" w:color="auto"/>
          <w:color w:val="auto"/>
        </w:rPr>
        <w:t>Armen Galustyan v. Sather, et al.</w:t>
      </w:r>
      <w:r>
        <w:rPr>
          <w:rFonts w:ascii="Arial" w:cs="Arial" w:eastAsia="Arial" w:hAnsi="Arial"/>
          <w:sz w:val="18"/>
          <w:szCs w:val="18"/>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8"/>
          <w:szCs w:val="18"/>
          <w:u w:val="single" w:color="auto"/>
          <w:color w:val="auto"/>
        </w:rPr>
        <w:t>Turocy v. El Pollo Loco Holdings, Inc</w:t>
      </w:r>
      <w:r>
        <w:rPr>
          <w:rFonts w:ascii="Arial" w:cs="Arial" w:eastAsia="Arial" w:hAnsi="Arial"/>
          <w:sz w:val="18"/>
          <w:szCs w:val="18"/>
          <w:color w:val="auto"/>
        </w:rPr>
        <w:t>., discussed above. A second purported</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580" w:right="299" w:bottom="1440" w:gutter="0" w:footer="0" w:header="0"/>
        </w:sectPr>
      </w:pPr>
    </w:p>
    <w:bookmarkStart w:id="35" w:name="page36"/>
    <w:bookmarkEnd w:id="35"/>
    <w:p>
      <w:pPr>
        <w:ind w:right="180"/>
        <w:spacing w:after="0" w:line="286" w:lineRule="auto"/>
        <w:rPr>
          <w:sz w:val="20"/>
          <w:szCs w:val="20"/>
          <w:color w:val="auto"/>
        </w:rPr>
      </w:pPr>
      <w:r>
        <w:rPr>
          <w:rFonts w:ascii="Arial" w:cs="Arial" w:eastAsia="Arial" w:hAnsi="Arial"/>
          <w:sz w:val="17"/>
          <w:szCs w:val="17"/>
          <w:color w:val="auto"/>
        </w:rPr>
        <w:t xml:space="preserve">Holdings shareholder filed a derivative complaint on or about September 23, 2016, under the caption </w:t>
      </w:r>
      <w:r>
        <w:rPr>
          <w:rFonts w:ascii="Arial" w:cs="Arial" w:eastAsia="Arial" w:hAnsi="Arial"/>
          <w:sz w:val="17"/>
          <w:szCs w:val="17"/>
          <w:u w:val="single" w:color="auto"/>
          <w:color w:val="auto"/>
        </w:rPr>
        <w:t>Diep v. Sather</w:t>
      </w:r>
      <w:r>
        <w:rPr>
          <w:rFonts w:ascii="Arial" w:cs="Arial" w:eastAsia="Arial" w:hAnsi="Arial"/>
          <w:sz w:val="17"/>
          <w:szCs w:val="17"/>
          <w:color w:val="auto"/>
        </w:rPr>
        <w:t xml:space="preserve">, CA 12760-VCL in the Delaware Court of Chancery. The </w:t>
      </w:r>
      <w:r>
        <w:rPr>
          <w:rFonts w:ascii="Arial" w:cs="Arial" w:eastAsia="Arial" w:hAnsi="Arial"/>
          <w:sz w:val="17"/>
          <w:szCs w:val="17"/>
          <w:u w:val="single" w:color="auto"/>
          <w:color w:val="auto"/>
        </w:rPr>
        <w:t>Diep</w:t>
      </w:r>
      <w:r>
        <w:rPr>
          <w:rFonts w:ascii="Arial" w:cs="Arial" w:eastAsia="Arial" w:hAnsi="Arial"/>
          <w:sz w:val="17"/>
          <w:szCs w:val="17"/>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7"/>
          <w:szCs w:val="17"/>
          <w:u w:val="single" w:color="auto"/>
          <w:color w:val="auto"/>
        </w:rPr>
        <w:t>Galustyan</w:t>
      </w:r>
      <w:r>
        <w:rPr>
          <w:rFonts w:ascii="Arial" w:cs="Arial" w:eastAsia="Arial" w:hAnsi="Arial"/>
          <w:sz w:val="17"/>
          <w:szCs w:val="17"/>
          <w:color w:val="auto"/>
        </w:rPr>
        <w:t xml:space="preserve">. Defendants moved to stay or dismiss the </w:t>
      </w:r>
      <w:r>
        <w:rPr>
          <w:rFonts w:ascii="Arial" w:cs="Arial" w:eastAsia="Arial" w:hAnsi="Arial"/>
          <w:sz w:val="17"/>
          <w:szCs w:val="17"/>
          <w:u w:val="single" w:color="auto"/>
          <w:color w:val="auto"/>
        </w:rPr>
        <w:t>Diep</w:t>
      </w:r>
      <w:r>
        <w:rPr>
          <w:rFonts w:ascii="Arial" w:cs="Arial" w:eastAsia="Arial" w:hAnsi="Arial"/>
          <w:sz w:val="17"/>
          <w:szCs w:val="17"/>
          <w:color w:val="auto"/>
        </w:rPr>
        <w:t xml:space="preserve"> action.</w:t>
      </w:r>
    </w:p>
    <w:p>
      <w:pPr>
        <w:spacing w:after="0" w:line="16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On March 17, 2017, the Delaware court granted in part, and denied in part, the motion to stay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for five months pending an investigation of the allegations in the action by a special litigation committee of the Holdings board of directors. </w:t>
      </w:r>
      <w:r>
        <w:rPr>
          <w:rFonts w:ascii="Arial" w:cs="Arial" w:eastAsia="Arial" w:hAnsi="Arial"/>
          <w:sz w:val="16"/>
          <w:szCs w:val="16"/>
          <w:u w:val="single" w:color="auto"/>
          <w:color w:val="auto"/>
        </w:rPr>
        <w:t>Janice P. Handlers-Bryman and Michael D. Bryman v. El Pollo Loco, Inc.</w:t>
      </w:r>
      <w:r>
        <w:rPr>
          <w:rFonts w:ascii="Arial" w:cs="Arial" w:eastAsia="Arial" w:hAnsi="Arial"/>
          <w:sz w:val="16"/>
          <w:szCs w:val="16"/>
          <w:color w:val="auto"/>
        </w:rPr>
        <w:t xml:space="preserve">, Los Angeles Superior Court (Case 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company-owned El Pollo Loco restaurants in the “market area” of Plaintiffs’ existing El Pollo Loco restaurant in Lancaster. Plaintiffs’ asserted claims against us for, among other things, (i) 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company-owned locations to Plaintiffs or to continuously disgorge to Plaintiffs the unjust enrichment allegedly obtained by us through the operation of the company-owned restaurants in Lancaster. We denied Plaintiffs’ allegations as the franchise agreement did not grant Plaintiffs any exclusive territorial rights and, instead, expressly reserved for us the right to open and operate - and the right to grant others the right to open and operate - El Pollo Loco restaurants “in the immediate vicinity of or adjacent to” Plaintiffs’ restaurant in Lancaster. On June 7, 2016, we filed a cross-complaint against Plaintiffs for breach of the franchise agreement due to Plaintiffs’ failure to pay to us liquidated damages provided for in the franchise agreement in connection with their solicitation and/or hiring of our general manager. This counterclaim was voluntarily dismissed by us, without prejudice, on February 27, 2017, and a related action before the San Bernardino Superior Court titled </w:t>
      </w:r>
      <w:r>
        <w:rPr>
          <w:rFonts w:ascii="Arial" w:cs="Arial" w:eastAsia="Arial" w:hAnsi="Arial"/>
          <w:sz w:val="16"/>
          <w:szCs w:val="16"/>
          <w:u w:val="single" w:color="auto"/>
          <w:color w:val="auto"/>
        </w:rPr>
        <w:t>El Pollo Loco, Inc. v. EPL 3766, Inc.</w:t>
      </w:r>
      <w:r>
        <w:rPr>
          <w:rFonts w:ascii="Arial" w:cs="Arial" w:eastAsia="Arial" w:hAnsi="Arial"/>
          <w:sz w:val="16"/>
          <w:szCs w:val="16"/>
          <w:color w:val="auto"/>
        </w:rPr>
        <w:t xml:space="preserve"> was dismissed on April 6, 2017.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 2017. The trial in the case was bifurcated between the liability and damages phases. The liability phase went forward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 17200 et seq., and declaratory relief were not presented to the jury as these types of equitable claims are to be decided by the court as a matter of law.) On December 11, 2017, the jury returned a verdict in favor of Plaintiffs finding that we breached the implied covenant of good faith and fair dealing by (1) constructing the two new company-owned El Pollo Loco restaurants in Lancaster, and (2) not offering the two new company-owned El Pollo Loco restaurants in Lancaster to Plaintiffs. Because the trial was bifurcated, the December 11, 2017 verdict did not include a determination of damages.</w:t>
      </w:r>
    </w:p>
    <w:p>
      <w:pPr>
        <w:spacing w:after="0" w:line="3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damages phase of the trial went forward on April 20, 2018. On May 1, 2018, the jury returned a verdict on damages in favor of Plaintiffs in the following amounts: (1) $4,356,600 in “impact damages” arising out of our construction of the two new company-owned El Pollo Loco restaurants in Lancaster, and (2) $4,481,206 in “lost opportunity damages” arising out of our failure to offer the two new company-owned El Pollo Loco restaurants in Lancaster to Plaintiffs. Because the “impact damages” and “lost opportunity damages” are in large part duplicative of one another, the court announced that it would be reducing the figures to avoid impermissible double recovery. Although we are still waiting on the court’s ruling on the final damages award for breach of the implied covenant of good faith and fair dealing, we anticipate that the verdict could be reduced by as much as one-half. The court has yet to rule on the causes of action for reformation due to mistake and unconscionability, unfair business practices under California Business &amp; Professions Code §§ 17200 et seq., and declaratory relief.</w:t>
      </w:r>
    </w:p>
    <w:p>
      <w:pPr>
        <w:spacing w:after="0" w:line="19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believes that both jury verdicts are in error due to express language of the franchise agreement and because of the prejudicial and reversible errors of the court in the earlier phases of the litigation, during the liability phase of the trial, and during the damages phase of trial. El Pollo Loco intends to file a motion challenging the verdicts, a motion for new trial (both the liability phase and damages phase) and, if unsuccessful, will appeal the verdict and various other rulings in the case. Based on the assessment by Management, together with our legal counsel, the Company believes that the loss is currently not probable under ASC 450 and as of March 27, 2018, no accrual has been made with regard to the jury verdict.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6" w:name="page37"/>
    <w:bookmarkEnd w:id="36"/>
    <w:p>
      <w:pPr>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income, liquidity, or capital resources. A significant increase in the number of claims, or an increase in amounts owing under successful claims, could materially and adversely affect its business, consolidated financial condition, results of income,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our annual report on Form 10-K for the year ended December 27, 2017.</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None. Additionally, as discussed above in (i) Part I, Item 1, Note 1, “Basis of Presentation”, and (ii) Part I, Item 2, “Liquidity and Capital Resources - Debt and Other Obligations - New Credit Agreement”, our 2014 Revolver limits payment of dividends.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584" w:right="4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color w:val="auto"/>
              </w:rPr>
              <w:t>Number</w:t>
            </w:r>
          </w:p>
        </w:tc>
        <w:tc>
          <w:tcPr>
            <w:tcW w:w="10080" w:type="dxa"/>
            <w:vAlign w:val="bottom"/>
            <w:gridSpan w:val="5"/>
          </w:tcPr>
          <w:p>
            <w:pPr>
              <w:spacing w:after="0"/>
              <w:rPr>
                <w:sz w:val="20"/>
                <w:szCs w:val="20"/>
                <w:color w:val="auto"/>
              </w:rPr>
            </w:pPr>
            <w:r>
              <w:rPr>
                <w:rFonts w:ascii="Arial" w:cs="Arial" w:eastAsia="Arial" w:hAnsi="Arial"/>
                <w:sz w:val="14"/>
                <w:szCs w:val="14"/>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of Principal Executive Officer under section 302 of the Sarbanes–Oxley Act of 2002</w:t>
              </w:r>
            </w:hyperlink>
          </w:p>
        </w:tc>
      </w:tr>
      <w:tr>
        <w:trPr>
          <w:trHeight w:val="426"/>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70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Certification of Principal Financial Officer under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3040" w:type="dxa"/>
            <w:vAlign w:val="bottom"/>
          </w:tcPr>
          <w:p>
            <w:pPr>
              <w:spacing w:after="0"/>
              <w:rPr>
                <w:sz w:val="24"/>
                <w:szCs w:val="24"/>
                <w:color w:val="auto"/>
              </w:rPr>
            </w:pPr>
          </w:p>
        </w:tc>
      </w:tr>
      <w:tr>
        <w:trPr>
          <w:trHeight w:val="426"/>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100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of Chief Executive Officer and Chief Financial Officer under 18 U.S.C. section 1350, adopted by section 906 of the Sarbanes–</w:t>
              </w:r>
            </w:hyperlink>
          </w:p>
        </w:tc>
      </w:tr>
      <w:tr>
        <w:trPr>
          <w:trHeight w:val="196"/>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80" w:type="dxa"/>
            <w:vAlign w:val="bottom"/>
            <w:gridSpan w:val="5"/>
          </w:tcPr>
          <w:p>
            <w:pPr>
              <w:spacing w:after="0" w:line="196" w:lineRule="exact"/>
              <w:rPr>
                <w:rFonts w:ascii="Arial" w:cs="Arial" w:eastAsia="Arial" w:hAnsi="Arial"/>
                <w:sz w:val="18"/>
                <w:szCs w:val="18"/>
                <w:color w:val="0000FF"/>
              </w:rPr>
            </w:pPr>
            <w:hyperlink w:anchor="page42">
              <w:r>
                <w:rPr>
                  <w:rFonts w:ascii="Arial" w:cs="Arial" w:eastAsia="Arial" w:hAnsi="Arial"/>
                  <w:sz w:val="18"/>
                  <w:szCs w:val="18"/>
                  <w:color w:val="0000FF"/>
                </w:rPr>
                <w:t>Oxley Act of 2002</w:t>
              </w:r>
            </w:hyperlink>
          </w:p>
        </w:tc>
      </w:tr>
      <w:tr>
        <w:trPr>
          <w:trHeight w:val="20"/>
        </w:trPr>
        <w:tc>
          <w:tcPr>
            <w:tcW w:w="1140" w:type="dxa"/>
            <w:vAlign w:val="bottom"/>
            <w:gridSpan w:val="2"/>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740" w:type="dxa"/>
            <w:vAlign w:val="bottom"/>
            <w:gridSpan w:val="3"/>
          </w:tcPr>
          <w:p>
            <w:pPr>
              <w:spacing w:after="0" w:line="20" w:lineRule="exact"/>
              <w:rPr>
                <w:sz w:val="1"/>
                <w:szCs w:val="1"/>
                <w:color w:val="auto"/>
              </w:rPr>
            </w:pP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jc w:val="both"/>
        <w:ind w:left="660" w:hanging="652"/>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90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El Pollo Loco Holdings, Inc.</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567"/>
        </w:trPr>
        <w:tc>
          <w:tcPr>
            <w:tcW w:w="3300" w:type="dxa"/>
            <w:vAlign w:val="bottom"/>
          </w:tcPr>
          <w:p>
            <w:pPr>
              <w:spacing w:after="0"/>
              <w:rPr>
                <w:sz w:val="20"/>
                <w:szCs w:val="20"/>
                <w:color w:val="auto"/>
              </w:rPr>
            </w:pPr>
            <w:r>
              <w:rPr>
                <w:rFonts w:ascii="Arial" w:cs="Arial" w:eastAsia="Arial" w:hAnsi="Arial"/>
                <w:sz w:val="18"/>
                <w:szCs w:val="18"/>
                <w:color w:val="auto"/>
              </w:rPr>
              <w:t>May 7, 2018</w:t>
            </w:r>
          </w:p>
        </w:tc>
        <w:tc>
          <w:tcPr>
            <w:tcW w:w="30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Bernard Acoca</w:t>
            </w:r>
          </w:p>
        </w:tc>
        <w:tc>
          <w:tcPr>
            <w:tcW w:w="0" w:type="dxa"/>
            <w:vAlign w:val="bottom"/>
          </w:tcPr>
          <w:p>
            <w:pPr>
              <w:spacing w:after="0"/>
              <w:rPr>
                <w:sz w:val="1"/>
                <w:szCs w:val="1"/>
                <w:color w:val="auto"/>
              </w:rPr>
            </w:pPr>
          </w:p>
        </w:tc>
      </w:tr>
      <w:tr>
        <w:trPr>
          <w:trHeight w:val="27"/>
        </w:trPr>
        <w:tc>
          <w:tcPr>
            <w:tcW w:w="330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30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vMerge w:val="continue"/>
          </w:tcPr>
          <w:p>
            <w:pPr>
              <w:spacing w:after="0"/>
              <w:rPr>
                <w:sz w:val="20"/>
                <w:szCs w:val="20"/>
                <w:color w:val="auto"/>
              </w:rPr>
            </w:pPr>
          </w:p>
        </w:tc>
        <w:tc>
          <w:tcPr>
            <w:tcW w:w="30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Bernard Acoca</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567"/>
        </w:trPr>
        <w:tc>
          <w:tcPr>
            <w:tcW w:w="3300" w:type="dxa"/>
            <w:vAlign w:val="bottom"/>
          </w:tcPr>
          <w:p>
            <w:pPr>
              <w:spacing w:after="0"/>
              <w:rPr>
                <w:sz w:val="20"/>
                <w:szCs w:val="20"/>
                <w:color w:val="auto"/>
              </w:rPr>
            </w:pPr>
            <w:r>
              <w:rPr>
                <w:rFonts w:ascii="Arial" w:cs="Arial" w:eastAsia="Arial" w:hAnsi="Arial"/>
                <w:sz w:val="18"/>
                <w:szCs w:val="18"/>
                <w:color w:val="auto"/>
              </w:rPr>
              <w:t>May 7, 2018</w:t>
            </w:r>
          </w:p>
        </w:tc>
        <w:tc>
          <w:tcPr>
            <w:tcW w:w="30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Laurance Roberts</w:t>
            </w:r>
          </w:p>
        </w:tc>
        <w:tc>
          <w:tcPr>
            <w:tcW w:w="0" w:type="dxa"/>
            <w:vAlign w:val="bottom"/>
          </w:tcPr>
          <w:p>
            <w:pPr>
              <w:spacing w:after="0"/>
              <w:rPr>
                <w:sz w:val="1"/>
                <w:szCs w:val="1"/>
                <w:color w:val="auto"/>
              </w:rPr>
            </w:pPr>
          </w:p>
        </w:tc>
      </w:tr>
      <w:tr>
        <w:trPr>
          <w:trHeight w:val="27"/>
        </w:trPr>
        <w:tc>
          <w:tcPr>
            <w:tcW w:w="330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30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vMerge w:val="continue"/>
          </w:tcPr>
          <w:p>
            <w:pPr>
              <w:spacing w:after="0"/>
              <w:rPr>
                <w:sz w:val="20"/>
                <w:szCs w:val="20"/>
                <w:color w:val="auto"/>
              </w:rPr>
            </w:pPr>
          </w:p>
        </w:tc>
        <w:tc>
          <w:tcPr>
            <w:tcW w:w="30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Laurance Roberts</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86"/>
        </w:trPr>
        <w:tc>
          <w:tcPr>
            <w:tcW w:w="3300" w:type="dxa"/>
            <w:vAlign w:val="bottom"/>
          </w:tcPr>
          <w:p>
            <w:pPr>
              <w:spacing w:after="0"/>
              <w:rPr>
                <w:sz w:val="24"/>
                <w:szCs w:val="24"/>
                <w:color w:val="auto"/>
              </w:rPr>
            </w:pPr>
          </w:p>
        </w:tc>
        <w:tc>
          <w:tcPr>
            <w:tcW w:w="3060" w:type="dxa"/>
            <w:vAlign w:val="bottom"/>
          </w:tcPr>
          <w:p>
            <w:pPr>
              <w:jc w:val="right"/>
              <w:ind w:right="510"/>
              <w:spacing w:after="0"/>
              <w:rPr>
                <w:sz w:val="20"/>
                <w:szCs w:val="20"/>
                <w:color w:val="auto"/>
              </w:rPr>
            </w:pPr>
            <w:r>
              <w:rPr>
                <w:rFonts w:ascii="Arial" w:cs="Arial" w:eastAsia="Arial" w:hAnsi="Arial"/>
                <w:sz w:val="18"/>
                <w:szCs w:val="18"/>
                <w:color w:val="auto"/>
              </w:rPr>
              <w:t>39</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Bernard Acoca,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May 7,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7"/>
    </w:lvl>
  </w:abstractNum>
  <w:abstractNum w:abstractNumId="5">
    <w:nsid w:val="109CF92E"/>
    <w:multiLevelType w:val="hybridMultilevel"/>
    <w:lvl w:ilvl="0">
      <w:lvlJc w:val="left"/>
      <w:lvlText w:val="(%1)"/>
      <w:numFmt w:val="lowerRoman"/>
      <w:start w:val="1"/>
    </w:lvl>
  </w:abstractNum>
  <w:abstractNum w:abstractNumId="6">
    <w:nsid w:val="DED7263"/>
    <w:multiLevelType w:val="hybridMultilevel"/>
    <w:lvl w:ilvl="0">
      <w:lvlJc w:val="left"/>
      <w:lvlText w:val="%1."/>
      <w:numFmt w:val="decimal"/>
      <w:start w:val="10"/>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8"/>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5"/>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5"/>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2019-12-28T22:34:43Z</dcterms:created>
  <dcterms:modified xsi:type="dcterms:W3CDTF">2019-12-28T22:34:43Z</dcterms:modified>
</cp:coreProperties>
</file>