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0001726173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El Pollo Loco Holdings,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001-36556</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575 ANTON BLVD</w:t>
              <w:br/>
              <w:t>STE 1100</w:t>
              <w:br/>
              <w:t>COSTA MESA</w:t>
              <w:br/>
              <w:t xml:space="preserve">CALIFORNIA </w:t>
              <w:br/>
              <w:t>92626</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7145995000</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Biglari Holdings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12"/>
        <w:gridCol w:w="1162"/>
        <w:gridCol w:w="1455"/>
        <w:gridCol w:w="1546"/>
        <w:gridCol w:w="1563"/>
        <w:gridCol w:w="1403"/>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12"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 Stock</w:t>
            </w:r>
          </w:p>
        </w:tc>
        <w:tc>
          <w:tcPr>
            <w:tcW w:w="1512" w:type="dxa"/>
            <w:tcBorders/>
            <w:vAlign w:val="center"/>
          </w:tcPr>
          <w:p>
            <w:pPr>
              <w:pStyle w:val="TableContents"/>
              <w:bidi w:val="0"/>
              <w:spacing w:before="0" w:after="0"/>
              <w:jc w:val="left"/>
              <w:rPr/>
            </w:pPr>
            <w:r>
              <w:rPr/>
              <w:t>MS Howells &amp; Co.</w:t>
              <w:br/>
              <w:t>23350 N. Pima Rd.</w:t>
              <w:br/>
              <w:t>Scottsdale   AZ   85255</w:t>
            </w:r>
          </w:p>
        </w:tc>
        <w:tc>
          <w:tcPr>
            <w:tcW w:w="1162" w:type="dxa"/>
            <w:tcBorders/>
            <w:vAlign w:val="center"/>
          </w:tcPr>
          <w:p>
            <w:pPr>
              <w:pStyle w:val="TableContents"/>
              <w:bidi w:val="0"/>
              <w:spacing w:before="0" w:after="283"/>
              <w:jc w:val="left"/>
              <w:rPr/>
            </w:pPr>
            <w:r>
              <w:rPr/>
              <w:t>380990</w:t>
            </w:r>
          </w:p>
        </w:tc>
        <w:tc>
          <w:tcPr>
            <w:tcW w:w="1455" w:type="dxa"/>
            <w:tcBorders/>
            <w:vAlign w:val="center"/>
          </w:tcPr>
          <w:p>
            <w:pPr>
              <w:pStyle w:val="TableContents"/>
              <w:bidi w:val="0"/>
              <w:spacing w:before="0" w:after="283"/>
              <w:jc w:val="left"/>
              <w:rPr/>
            </w:pPr>
            <w:r>
              <w:rPr/>
              <w:t>6217756.80</w:t>
            </w:r>
          </w:p>
        </w:tc>
        <w:tc>
          <w:tcPr>
            <w:tcW w:w="1546" w:type="dxa"/>
            <w:tcBorders/>
            <w:vAlign w:val="center"/>
          </w:tcPr>
          <w:p>
            <w:pPr>
              <w:pStyle w:val="TableContents"/>
              <w:bidi w:val="0"/>
              <w:spacing w:before="0" w:after="283"/>
              <w:jc w:val="left"/>
              <w:rPr/>
            </w:pPr>
            <w:r>
              <w:rPr/>
              <w:t>30432937</w:t>
            </w:r>
          </w:p>
        </w:tc>
        <w:tc>
          <w:tcPr>
            <w:tcW w:w="1563" w:type="dxa"/>
            <w:tcBorders/>
            <w:vAlign w:val="center"/>
          </w:tcPr>
          <w:p>
            <w:pPr>
              <w:pStyle w:val="TableContents"/>
              <w:bidi w:val="0"/>
              <w:spacing w:before="0" w:after="283"/>
              <w:jc w:val="left"/>
              <w:rPr/>
            </w:pPr>
            <w:r>
              <w:rPr/>
              <w:t>10/16/2026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08/15/2023</w:t>
            </w:r>
          </w:p>
        </w:tc>
        <w:tc>
          <w:tcPr>
            <w:tcW w:w="1505" w:type="dxa"/>
            <w:tcBorders/>
            <w:vAlign w:val="center"/>
          </w:tcPr>
          <w:p>
            <w:pPr>
              <w:pStyle w:val="TableContents"/>
              <w:bidi w:val="0"/>
              <w:spacing w:before="0" w:after="283"/>
              <w:jc w:val="left"/>
              <w:rPr/>
            </w:pPr>
            <w:r>
              <w:rPr/>
              <w:t>Open Market Purchases</w:t>
            </w:r>
          </w:p>
        </w:tc>
        <w:tc>
          <w:tcPr>
            <w:tcW w:w="1218" w:type="dxa"/>
            <w:tcBorders/>
            <w:vAlign w:val="center"/>
          </w:tcPr>
          <w:p>
            <w:pPr>
              <w:pStyle w:val="TableContents"/>
              <w:bidi w:val="0"/>
              <w:spacing w:before="0" w:after="283"/>
              <w:jc w:val="left"/>
              <w:rPr/>
            </w:pPr>
            <w:r>
              <w:rPr/>
              <w:t>N/A</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489247</w:t>
            </w:r>
          </w:p>
        </w:tc>
        <w:tc>
          <w:tcPr>
            <w:tcW w:w="1078" w:type="dxa"/>
            <w:tcBorders/>
            <w:vAlign w:val="center"/>
          </w:tcPr>
          <w:p>
            <w:pPr>
              <w:pStyle w:val="TableContents"/>
              <w:bidi w:val="0"/>
              <w:spacing w:before="0" w:after="283"/>
              <w:jc w:val="left"/>
              <w:rPr/>
            </w:pPr>
            <w:r>
              <w:rPr/>
              <w:t>08/15/2023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9"/>
        <w:gridCol w:w="2907"/>
        <w:gridCol w:w="938"/>
        <w:gridCol w:w="1553"/>
        <w:gridCol w:w="1748"/>
      </w:tblGrid>
      <w:tr>
        <w:trPr/>
        <w:tc>
          <w:tcPr>
            <w:tcW w:w="3059" w:type="dxa"/>
            <w:tcBorders/>
            <w:vAlign w:val="center"/>
          </w:tcPr>
          <w:p>
            <w:pPr>
              <w:pStyle w:val="TableHeading"/>
              <w:suppressLineNumbers/>
              <w:bidi w:val="0"/>
              <w:spacing w:before="0" w:after="283"/>
              <w:jc w:val="center"/>
              <w:rPr/>
            </w:pPr>
            <w:r>
              <w:rPr/>
              <w:t>Name and Address of Seller</w:t>
            </w:r>
          </w:p>
        </w:tc>
        <w:tc>
          <w:tcPr>
            <w:tcW w:w="2907"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3" w:type="dxa"/>
            <w:tcBorders/>
            <w:vAlign w:val="center"/>
          </w:tcPr>
          <w:p>
            <w:pPr>
              <w:pStyle w:val="TableHeading"/>
              <w:suppressLineNumbers/>
              <w:bidi w:val="0"/>
              <w:spacing w:before="0" w:after="283"/>
              <w:jc w:val="center"/>
              <w:rPr/>
            </w:pPr>
            <w:r>
              <w:rPr/>
              <w:t>Amount of Securities Sold</w:t>
            </w:r>
          </w:p>
        </w:tc>
        <w:tc>
          <w:tcPr>
            <w:tcW w:w="1748" w:type="dxa"/>
            <w:tcBorders/>
            <w:vAlign w:val="center"/>
          </w:tcPr>
          <w:p>
            <w:pPr>
              <w:pStyle w:val="TableHeading"/>
              <w:suppressLineNumbers/>
              <w:bidi w:val="0"/>
              <w:spacing w:before="0" w:after="283"/>
              <w:jc w:val="center"/>
              <w:rPr/>
            </w:pPr>
            <w:r>
              <w:rPr/>
              <w:t>Gross Proceeds</w:t>
            </w:r>
          </w:p>
        </w:tc>
      </w:tr>
      <w:tr>
        <w:trPr/>
        <w:tc>
          <w:tcPr>
            <w:tcW w:w="3059" w:type="dxa"/>
            <w:tcBorders/>
            <w:vAlign w:val="center"/>
          </w:tcPr>
          <w:p>
            <w:pPr>
              <w:pStyle w:val="TableContents"/>
              <w:bidi w:val="0"/>
              <w:spacing w:before="0" w:after="283"/>
              <w:jc w:val="left"/>
              <w:rPr/>
            </w:pPr>
            <w:r>
              <w:rPr/>
              <w:t>The Lion Fund II, L.P.</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07/16/2026</w:t>
            </w:r>
          </w:p>
        </w:tc>
        <w:tc>
          <w:tcPr>
            <w:tcW w:w="1553" w:type="dxa"/>
            <w:tcBorders/>
            <w:vAlign w:val="center"/>
          </w:tcPr>
          <w:p>
            <w:pPr>
              <w:pStyle w:val="TableContents"/>
              <w:bidi w:val="0"/>
              <w:spacing w:before="0" w:after="283"/>
              <w:jc w:val="left"/>
              <w:rPr/>
            </w:pPr>
            <w:r>
              <w:rPr/>
              <w:t>2749</w:t>
            </w:r>
          </w:p>
        </w:tc>
        <w:tc>
          <w:tcPr>
            <w:tcW w:w="1748" w:type="dxa"/>
            <w:tcBorders/>
            <w:vAlign w:val="center"/>
          </w:tcPr>
          <w:p>
            <w:pPr>
              <w:pStyle w:val="TableContents"/>
              <w:bidi w:val="0"/>
              <w:spacing w:before="0" w:after="283"/>
              <w:jc w:val="left"/>
              <w:rPr/>
            </w:pPr>
            <w:r>
              <w:rPr/>
              <w:t>45908.30</w:t>
            </w:r>
          </w:p>
        </w:tc>
      </w:tr>
      <w:tr>
        <w:trPr/>
        <w:tc>
          <w:tcPr>
            <w:tcW w:w="3059" w:type="dxa"/>
            <w:tcBorders/>
            <w:vAlign w:val="center"/>
          </w:tcPr>
          <w:p>
            <w:pPr>
              <w:pStyle w:val="TableContents"/>
              <w:bidi w:val="0"/>
              <w:spacing w:before="0" w:after="283"/>
              <w:jc w:val="left"/>
              <w:rPr/>
            </w:pPr>
            <w:r>
              <w:rPr/>
              <w:t>The Lion Fund II, L.P.</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07/17/2026</w:t>
            </w:r>
          </w:p>
        </w:tc>
        <w:tc>
          <w:tcPr>
            <w:tcW w:w="1553" w:type="dxa"/>
            <w:tcBorders/>
            <w:vAlign w:val="center"/>
          </w:tcPr>
          <w:p>
            <w:pPr>
              <w:pStyle w:val="TableContents"/>
              <w:bidi w:val="0"/>
              <w:spacing w:before="0" w:after="283"/>
              <w:jc w:val="left"/>
              <w:rPr/>
            </w:pPr>
            <w:r>
              <w:rPr/>
              <w:t>11000</w:t>
            </w:r>
          </w:p>
        </w:tc>
        <w:tc>
          <w:tcPr>
            <w:tcW w:w="1748" w:type="dxa"/>
            <w:tcBorders/>
            <w:vAlign w:val="center"/>
          </w:tcPr>
          <w:p>
            <w:pPr>
              <w:pStyle w:val="TableContents"/>
              <w:bidi w:val="0"/>
              <w:spacing w:before="0" w:after="283"/>
              <w:jc w:val="left"/>
              <w:rPr/>
            </w:pPr>
            <w:r>
              <w:rPr/>
              <w:t>183810.00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07/29/2026</w:t>
            </w:r>
          </w:p>
        </w:tc>
        <w:tc>
          <w:tcPr>
            <w:tcW w:w="1553" w:type="dxa"/>
            <w:tcBorders/>
            <w:vAlign w:val="center"/>
          </w:tcPr>
          <w:p>
            <w:pPr>
              <w:pStyle w:val="TableContents"/>
              <w:bidi w:val="0"/>
              <w:spacing w:before="0" w:after="283"/>
              <w:jc w:val="left"/>
              <w:rPr/>
            </w:pPr>
            <w:r>
              <w:rPr/>
              <w:t>3306</w:t>
            </w:r>
          </w:p>
        </w:tc>
        <w:tc>
          <w:tcPr>
            <w:tcW w:w="1748" w:type="dxa"/>
            <w:tcBorders/>
            <w:vAlign w:val="center"/>
          </w:tcPr>
          <w:p>
            <w:pPr>
              <w:pStyle w:val="TableContents"/>
              <w:bidi w:val="0"/>
              <w:spacing w:before="0" w:after="283"/>
              <w:jc w:val="left"/>
              <w:rPr/>
            </w:pPr>
            <w:r>
              <w:rPr/>
              <w:t>55243.26</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07/29/2026</w:t>
            </w:r>
          </w:p>
        </w:tc>
        <w:tc>
          <w:tcPr>
            <w:tcW w:w="1553" w:type="dxa"/>
            <w:tcBorders/>
            <w:vAlign w:val="center"/>
          </w:tcPr>
          <w:p>
            <w:pPr>
              <w:pStyle w:val="TableContents"/>
              <w:bidi w:val="0"/>
              <w:spacing w:before="0" w:after="283"/>
              <w:jc w:val="left"/>
              <w:rPr/>
            </w:pPr>
            <w:r>
              <w:rPr/>
              <w:t>3305</w:t>
            </w:r>
          </w:p>
        </w:tc>
        <w:tc>
          <w:tcPr>
            <w:tcW w:w="1748" w:type="dxa"/>
            <w:tcBorders/>
            <w:vAlign w:val="center"/>
          </w:tcPr>
          <w:p>
            <w:pPr>
              <w:pStyle w:val="TableContents"/>
              <w:bidi w:val="0"/>
              <w:spacing w:before="0" w:after="283"/>
              <w:jc w:val="left"/>
              <w:rPr/>
            </w:pPr>
            <w:r>
              <w:rPr/>
              <w:t>55226.55</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07/30/2026</w:t>
            </w:r>
          </w:p>
        </w:tc>
        <w:tc>
          <w:tcPr>
            <w:tcW w:w="1553" w:type="dxa"/>
            <w:tcBorders/>
            <w:vAlign w:val="center"/>
          </w:tcPr>
          <w:p>
            <w:pPr>
              <w:pStyle w:val="TableContents"/>
              <w:bidi w:val="0"/>
              <w:spacing w:before="0" w:after="283"/>
              <w:jc w:val="left"/>
              <w:rPr/>
            </w:pPr>
            <w:r>
              <w:rPr/>
              <w:t>273</w:t>
            </w:r>
          </w:p>
        </w:tc>
        <w:tc>
          <w:tcPr>
            <w:tcW w:w="1748" w:type="dxa"/>
            <w:tcBorders/>
            <w:vAlign w:val="center"/>
          </w:tcPr>
          <w:p>
            <w:pPr>
              <w:pStyle w:val="TableContents"/>
              <w:bidi w:val="0"/>
              <w:spacing w:before="0" w:after="283"/>
              <w:jc w:val="left"/>
              <w:rPr/>
            </w:pPr>
            <w:r>
              <w:rPr/>
              <w:t>4559.10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07/30/2026</w:t>
            </w:r>
          </w:p>
        </w:tc>
        <w:tc>
          <w:tcPr>
            <w:tcW w:w="1553" w:type="dxa"/>
            <w:tcBorders/>
            <w:vAlign w:val="center"/>
          </w:tcPr>
          <w:p>
            <w:pPr>
              <w:pStyle w:val="TableContents"/>
              <w:bidi w:val="0"/>
              <w:spacing w:before="0" w:after="283"/>
              <w:jc w:val="left"/>
              <w:rPr/>
            </w:pPr>
            <w:r>
              <w:rPr/>
              <w:t>273</w:t>
            </w:r>
          </w:p>
        </w:tc>
        <w:tc>
          <w:tcPr>
            <w:tcW w:w="1748" w:type="dxa"/>
            <w:tcBorders/>
            <w:vAlign w:val="center"/>
          </w:tcPr>
          <w:p>
            <w:pPr>
              <w:pStyle w:val="TableContents"/>
              <w:bidi w:val="0"/>
              <w:spacing w:before="0" w:after="283"/>
              <w:jc w:val="left"/>
              <w:rPr/>
            </w:pPr>
            <w:r>
              <w:rPr/>
              <w:t>4559.10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10000</w:t>
            </w:r>
          </w:p>
        </w:tc>
        <w:tc>
          <w:tcPr>
            <w:tcW w:w="1748" w:type="dxa"/>
            <w:tcBorders/>
            <w:vAlign w:val="center"/>
          </w:tcPr>
          <w:p>
            <w:pPr>
              <w:pStyle w:val="TableContents"/>
              <w:bidi w:val="0"/>
              <w:spacing w:before="0" w:after="283"/>
              <w:jc w:val="left"/>
              <w:rPr/>
            </w:pPr>
            <w:r>
              <w:rPr/>
              <w:t>167300.00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08/03/2026</w:t>
            </w:r>
          </w:p>
        </w:tc>
        <w:tc>
          <w:tcPr>
            <w:tcW w:w="1553" w:type="dxa"/>
            <w:tcBorders/>
            <w:vAlign w:val="center"/>
          </w:tcPr>
          <w:p>
            <w:pPr>
              <w:pStyle w:val="TableContents"/>
              <w:bidi w:val="0"/>
              <w:spacing w:before="0" w:after="283"/>
              <w:jc w:val="left"/>
              <w:rPr/>
            </w:pPr>
            <w:r>
              <w:rPr/>
              <w:t>10000</w:t>
            </w:r>
          </w:p>
        </w:tc>
        <w:tc>
          <w:tcPr>
            <w:tcW w:w="1748" w:type="dxa"/>
            <w:tcBorders/>
            <w:vAlign w:val="center"/>
          </w:tcPr>
          <w:p>
            <w:pPr>
              <w:pStyle w:val="TableContents"/>
              <w:bidi w:val="0"/>
              <w:spacing w:before="0" w:after="283"/>
              <w:jc w:val="left"/>
              <w:rPr/>
            </w:pPr>
            <w:r>
              <w:rPr/>
              <w:t>167300.00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08/05/2026</w:t>
            </w:r>
          </w:p>
        </w:tc>
        <w:tc>
          <w:tcPr>
            <w:tcW w:w="1553" w:type="dxa"/>
            <w:tcBorders/>
            <w:vAlign w:val="center"/>
          </w:tcPr>
          <w:p>
            <w:pPr>
              <w:pStyle w:val="TableContents"/>
              <w:bidi w:val="0"/>
              <w:spacing w:before="0" w:after="283"/>
              <w:jc w:val="left"/>
              <w:rPr/>
            </w:pPr>
            <w:r>
              <w:rPr/>
              <w:t>40000</w:t>
            </w:r>
          </w:p>
        </w:tc>
        <w:tc>
          <w:tcPr>
            <w:tcW w:w="1748" w:type="dxa"/>
            <w:tcBorders/>
            <w:vAlign w:val="center"/>
          </w:tcPr>
          <w:p>
            <w:pPr>
              <w:pStyle w:val="TableContents"/>
              <w:bidi w:val="0"/>
              <w:spacing w:before="0" w:after="283"/>
              <w:jc w:val="left"/>
              <w:rPr/>
            </w:pPr>
            <w:r>
              <w:rPr/>
              <w:t>676000.00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08/05/2026</w:t>
            </w:r>
          </w:p>
        </w:tc>
        <w:tc>
          <w:tcPr>
            <w:tcW w:w="1553" w:type="dxa"/>
            <w:tcBorders/>
            <w:vAlign w:val="center"/>
          </w:tcPr>
          <w:p>
            <w:pPr>
              <w:pStyle w:val="TableContents"/>
              <w:bidi w:val="0"/>
              <w:spacing w:before="0" w:after="283"/>
              <w:jc w:val="left"/>
              <w:rPr/>
            </w:pPr>
            <w:r>
              <w:rPr/>
              <w:t>40000</w:t>
            </w:r>
          </w:p>
        </w:tc>
        <w:tc>
          <w:tcPr>
            <w:tcW w:w="1748" w:type="dxa"/>
            <w:tcBorders/>
            <w:vAlign w:val="center"/>
          </w:tcPr>
          <w:p>
            <w:pPr>
              <w:pStyle w:val="TableContents"/>
              <w:bidi w:val="0"/>
              <w:spacing w:before="0" w:after="283"/>
              <w:jc w:val="left"/>
              <w:rPr/>
            </w:pPr>
            <w:r>
              <w:rPr/>
              <w:t>676000.00</w:t>
            </w:r>
          </w:p>
        </w:tc>
      </w:tr>
      <w:tr>
        <w:trPr/>
        <w:tc>
          <w:tcPr>
            <w:tcW w:w="3059" w:type="dxa"/>
            <w:tcBorders/>
            <w:vAlign w:val="center"/>
          </w:tcPr>
          <w:p>
            <w:pPr>
              <w:pStyle w:val="TableContents"/>
              <w:bidi w:val="0"/>
              <w:spacing w:before="0" w:after="283"/>
              <w:jc w:val="left"/>
              <w:rPr/>
            </w:pPr>
            <w:r>
              <w:rPr/>
              <w:t>Biglari Reinsurance Ltd.</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08/07/2026</w:t>
            </w:r>
          </w:p>
        </w:tc>
        <w:tc>
          <w:tcPr>
            <w:tcW w:w="1553" w:type="dxa"/>
            <w:tcBorders/>
            <w:vAlign w:val="center"/>
          </w:tcPr>
          <w:p>
            <w:pPr>
              <w:pStyle w:val="TableContents"/>
              <w:bidi w:val="0"/>
              <w:spacing w:before="0" w:after="283"/>
              <w:jc w:val="left"/>
              <w:rPr/>
            </w:pPr>
            <w:r>
              <w:rPr/>
              <w:t>550</w:t>
            </w:r>
          </w:p>
        </w:tc>
        <w:tc>
          <w:tcPr>
            <w:tcW w:w="1748" w:type="dxa"/>
            <w:tcBorders/>
            <w:vAlign w:val="center"/>
          </w:tcPr>
          <w:p>
            <w:pPr>
              <w:pStyle w:val="TableContents"/>
              <w:bidi w:val="0"/>
              <w:spacing w:before="0" w:after="283"/>
              <w:jc w:val="left"/>
              <w:rPr/>
            </w:pPr>
            <w:r>
              <w:rPr/>
              <w:t>9383.00</w:t>
            </w:r>
          </w:p>
        </w:tc>
      </w:tr>
      <w:tr>
        <w:trPr/>
        <w:tc>
          <w:tcPr>
            <w:tcW w:w="3059" w:type="dxa"/>
            <w:tcBorders/>
            <w:vAlign w:val="center"/>
          </w:tcPr>
          <w:p>
            <w:pPr>
              <w:pStyle w:val="TableContents"/>
              <w:bidi w:val="0"/>
              <w:spacing w:before="0" w:after="283"/>
              <w:jc w:val="left"/>
              <w:rPr/>
            </w:pPr>
            <w:r>
              <w:rPr/>
              <w:t>First Guard Insurance Company</w:t>
              <w:br/>
              <w:t>19100 Ridgewood Parkway</w:t>
              <w:br/>
              <w:t>Suite 1200</w:t>
              <w:br/>
              <w:t>San Antonio   TX   78259</w:t>
            </w:r>
          </w:p>
        </w:tc>
        <w:tc>
          <w:tcPr>
            <w:tcW w:w="2907" w:type="dxa"/>
            <w:tcBorders/>
            <w:vAlign w:val="center"/>
          </w:tcPr>
          <w:p>
            <w:pPr>
              <w:pStyle w:val="TableContents"/>
              <w:bidi w:val="0"/>
              <w:spacing w:before="0" w:after="283"/>
              <w:jc w:val="left"/>
              <w:rPr/>
            </w:pPr>
            <w:r>
              <w:rPr/>
              <w:t>Common Stock</w:t>
            </w:r>
          </w:p>
        </w:tc>
        <w:tc>
          <w:tcPr>
            <w:tcW w:w="938" w:type="dxa"/>
            <w:tcBorders/>
            <w:vAlign w:val="center"/>
          </w:tcPr>
          <w:p>
            <w:pPr>
              <w:pStyle w:val="TableContents"/>
              <w:bidi w:val="0"/>
              <w:spacing w:before="0" w:after="283"/>
              <w:jc w:val="left"/>
              <w:rPr/>
            </w:pPr>
            <w:r>
              <w:rPr/>
              <w:t>08/07/2026</w:t>
            </w:r>
          </w:p>
        </w:tc>
        <w:tc>
          <w:tcPr>
            <w:tcW w:w="1553" w:type="dxa"/>
            <w:tcBorders/>
            <w:vAlign w:val="center"/>
          </w:tcPr>
          <w:p>
            <w:pPr>
              <w:pStyle w:val="TableContents"/>
              <w:bidi w:val="0"/>
              <w:spacing w:before="0" w:after="283"/>
              <w:jc w:val="left"/>
              <w:rPr/>
            </w:pPr>
            <w:r>
              <w:rPr/>
              <w:t>550</w:t>
            </w:r>
          </w:p>
        </w:tc>
        <w:tc>
          <w:tcPr>
            <w:tcW w:w="1748" w:type="dxa"/>
            <w:tcBorders/>
            <w:vAlign w:val="center"/>
          </w:tcPr>
          <w:p>
            <w:pPr>
              <w:pStyle w:val="TableContents"/>
              <w:bidi w:val="0"/>
              <w:spacing w:before="0" w:after="283"/>
              <w:jc w:val="left"/>
              <w:rPr/>
            </w:pPr>
            <w:r>
              <w:rPr/>
              <w:t>9383.00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090"/>
        <w:gridCol w:w="9115"/>
      </w:tblGrid>
      <w:tr>
        <w:trPr/>
        <w:tc>
          <w:tcPr>
            <w:tcW w:w="1090" w:type="dxa"/>
            <w:tcBorders/>
            <w:vAlign w:val="center"/>
          </w:tcPr>
          <w:p>
            <w:pPr>
              <w:pStyle w:val="TableContents"/>
              <w:bidi w:val="0"/>
              <w:spacing w:before="0" w:after="283"/>
              <w:jc w:val="left"/>
              <w:rPr/>
            </w:pPr>
            <w:r>
              <w:rPr/>
              <w:t>Remarks</w:t>
            </w:r>
          </w:p>
        </w:tc>
        <w:tc>
          <w:tcPr>
            <w:tcW w:w="9115" w:type="dxa"/>
            <w:tcBorders/>
            <w:vAlign w:val="center"/>
          </w:tcPr>
          <w:p>
            <w:pPr>
              <w:pStyle w:val="TableContents"/>
              <w:bidi w:val="0"/>
              <w:spacing w:before="0" w:after="0"/>
              <w:jc w:val="left"/>
              <w:rPr/>
            </w:pPr>
            <w:r>
              <w:rPr/>
              <w:t>This Form 144 is being filed by Biglari Holdings Inc., the ultimate parent company of Biglari Reinsurance Ltd. and First Guard Insurance Company, which are the entities selling the shares. The aggregate market value is as of the close of business on 10/15/2026. The number of securities outstanding is as of 08/07/2026. The approximate date of sale is between 10/16/2026 through 01/14/2027. The shares proposed to be sold were acquired and paid for between 08/15/2023 and 08/22/2024. A certain other affiliate of Biglari Holdings Inc. is selling shares of the Issuer and filing on a separate Form 144.</w:t>
            </w:r>
          </w:p>
        </w:tc>
      </w:tr>
      <w:tr>
        <w:trPr/>
        <w:tc>
          <w:tcPr>
            <w:tcW w:w="1090" w:type="dxa"/>
            <w:tcBorders/>
            <w:vAlign w:val="center"/>
          </w:tcPr>
          <w:p>
            <w:pPr>
              <w:pStyle w:val="TableContents"/>
              <w:bidi w:val="0"/>
              <w:spacing w:before="0" w:after="283"/>
              <w:jc w:val="left"/>
              <w:rPr/>
            </w:pPr>
            <w:r>
              <w:rPr/>
              <w:t>Date of Notice</w:t>
            </w:r>
          </w:p>
        </w:tc>
        <w:tc>
          <w:tcPr>
            <w:tcW w:w="9115" w:type="dxa"/>
            <w:tcBorders/>
            <w:vAlign w:val="center"/>
          </w:tcPr>
          <w:p>
            <w:pPr>
              <w:pStyle w:val="TableContents"/>
              <w:bidi w:val="0"/>
              <w:spacing w:before="0" w:after="0"/>
              <w:jc w:val="left"/>
              <w:rPr/>
            </w:pPr>
            <w:r>
              <w:rPr/>
              <w:t>10/16/2026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090" w:type="dxa"/>
            <w:tcBorders/>
            <w:vAlign w:val="center"/>
          </w:tcPr>
          <w:p>
            <w:pPr>
              <w:pStyle w:val="TableContents"/>
              <w:bidi w:val="0"/>
              <w:spacing w:before="0" w:after="283"/>
              <w:jc w:val="left"/>
              <w:rPr/>
            </w:pPr>
            <w:r>
              <w:rPr/>
              <w:t>Signature</w:t>
            </w:r>
          </w:p>
        </w:tc>
        <w:tc>
          <w:tcPr>
            <w:tcW w:w="9115" w:type="dxa"/>
            <w:tcBorders/>
            <w:vAlign w:val="center"/>
          </w:tcPr>
          <w:p>
            <w:pPr>
              <w:pStyle w:val="TableContents"/>
              <w:bidi w:val="0"/>
              <w:spacing w:before="0" w:after="0"/>
              <w:jc w:val="left"/>
              <w:rPr/>
            </w:pPr>
            <w:r>
              <w:rPr/>
              <w:t>/s/ Sardar Biglari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4705</Characters>
  <CharactersWithSpaces>5538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