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29, 2016</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00"/>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680" w:type="dxa"/>
            <w:vAlign w:val="bottom"/>
          </w:tcPr>
          <w:p>
            <w:pPr>
              <w:jc w:val="center"/>
              <w:ind w:left="3160"/>
              <w:spacing w:after="0"/>
              <w:rPr>
                <w:sz w:val="20"/>
                <w:szCs w:val="20"/>
                <w:color w:val="auto"/>
              </w:rPr>
            </w:pPr>
            <w:r>
              <w:rPr>
                <w:rFonts w:ascii="Arial" w:cs="Arial" w:eastAsia="Arial" w:hAnsi="Arial"/>
                <w:sz w:val="18"/>
                <w:szCs w:val="18"/>
                <w:b w:val="1"/>
                <w:bCs w:val="1"/>
                <w:color w:val="auto"/>
                <w:w w:val="90"/>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r>
        <w:trPr>
          <w:trHeight w:val="235"/>
        </w:trPr>
        <w:tc>
          <w:tcPr>
            <w:tcW w:w="6680" w:type="dxa"/>
            <w:vAlign w:val="bottom"/>
          </w:tcPr>
          <w:p>
            <w:pPr>
              <w:jc w:val="center"/>
              <w:ind w:left="3160"/>
              <w:spacing w:after="0"/>
              <w:rPr>
                <w:sz w:val="20"/>
                <w:szCs w:val="20"/>
                <w:color w:val="auto"/>
              </w:rPr>
            </w:pPr>
            <w:r>
              <w:rPr>
                <w:rFonts w:ascii="Arial" w:cs="Arial" w:eastAsia="Arial" w:hAnsi="Arial"/>
                <w:sz w:val="14"/>
                <w:szCs w:val="14"/>
                <w:b w:val="1"/>
                <w:bCs w:val="1"/>
                <w:color w:val="auto"/>
                <w:w w:val="99"/>
              </w:rPr>
              <w:t>N/A</w:t>
            </w:r>
          </w:p>
        </w:tc>
        <w:tc>
          <w:tcPr>
            <w:tcW w:w="2280" w:type="dxa"/>
            <w:vAlign w:val="bottom"/>
          </w:tcPr>
          <w:p>
            <w:pPr>
              <w:spacing w:after="0"/>
              <w:rPr>
                <w:sz w:val="20"/>
                <w:szCs w:val="20"/>
                <w:color w:val="auto"/>
              </w:rPr>
            </w:pPr>
          </w:p>
        </w:tc>
      </w:tr>
    </w:tbl>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571" w:right="41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1620" w:space="480"/>
            <w:col w:w="5620" w:space="720"/>
            <w:col w:w="1860" w:space="720"/>
            <w:col w:w="220"/>
          </w:cols>
          <w:pgMar w:left="240" w:top="571" w:right="41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29" w:lineRule="exact"/>
        <w:rPr>
          <w:sz w:val="24"/>
          <w:szCs w:val="24"/>
          <w:color w:val="auto"/>
        </w:rPr>
      </w:pPr>
    </w:p>
    <w:p>
      <w:pPr>
        <w:sectPr>
          <w:pgSz w:w="11900" w:h="16838" w:orient="portrait"/>
          <w:cols w:equalWidth="0" w:num="4">
            <w:col w:w="1540" w:space="560"/>
            <w:col w:w="5620" w:space="720"/>
            <w:col w:w="1980" w:space="600"/>
            <w:col w:w="220"/>
          </w:cols>
          <w:pgMar w:left="240" w:top="571" w:right="419" w:bottom="1440" w:gutter="0" w:footer="0" w:header="0"/>
          <w:type w:val="continuous"/>
        </w:sectPr>
      </w:pPr>
    </w:p>
    <w:p>
      <w:pPr>
        <w:spacing w:after="0" w:line="33" w:lineRule="exact"/>
        <w:rPr>
          <w:sz w:val="24"/>
          <w:szCs w:val="24"/>
          <w:color w:val="auto"/>
        </w:rPr>
      </w:pPr>
    </w:p>
    <w:p>
      <w:pPr>
        <w:ind w:left="520"/>
        <w:spacing w:after="0"/>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o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29" w:lineRule="exact"/>
        <w:rPr>
          <w:sz w:val="24"/>
          <w:szCs w:val="24"/>
          <w:color w:val="auto"/>
        </w:rPr>
      </w:pPr>
    </w:p>
    <w:p>
      <w:pPr>
        <w:sectPr>
          <w:pgSz w:w="11900" w:h="16838" w:orient="portrait"/>
          <w:cols w:equalWidth="0" w:num="3">
            <w:col w:w="9320" w:space="180"/>
            <w:col w:w="160" w:space="100"/>
            <w:col w:w="1480"/>
          </w:cols>
          <w:pgMar w:left="240" w:top="571" w:right="41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July 25, 2016, there were 38,419,933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779780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7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Table of Contents</w:t>
            </w:r>
          </w:p>
        </w:tc>
        <w:tc>
          <w:tcPr>
            <w:tcW w:w="9920" w:type="dxa"/>
            <w:vAlign w:val="bottom"/>
            <w:gridSpan w:val="18"/>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r>
      <w:tr>
        <w:trPr>
          <w:trHeight w:val="183"/>
        </w:trPr>
        <w:tc>
          <w:tcPr>
            <w:tcW w:w="110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10"/>
        </w:trPr>
        <w:tc>
          <w:tcPr>
            <w:tcW w:w="2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38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7160" w:type="dxa"/>
            <w:vAlign w:val="bottom"/>
            <w:gridSpan w:val="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6380" w:type="dxa"/>
            <w:vAlign w:val="bottom"/>
            <w:gridSpan w:val="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6100" w:type="dxa"/>
            <w:vAlign w:val="bottom"/>
            <w:gridSpan w:val="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4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8620" w:type="dxa"/>
            <w:vAlign w:val="bottom"/>
            <w:gridSpan w:val="11"/>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II—OTHER INFORMATION</w:t>
              </w:r>
            </w:hyperlink>
          </w:p>
        </w:tc>
        <w:tc>
          <w:tcPr>
            <w:tcW w:w="8340" w:type="dxa"/>
            <w:vAlign w:val="bottom"/>
            <w:gridSpan w:val="10"/>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9080" w:type="dxa"/>
            <w:vAlign w:val="bottom"/>
            <w:gridSpan w:val="1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60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3.</w:t>
              </w:r>
            </w:hyperlink>
          </w:p>
        </w:tc>
        <w:tc>
          <w:tcPr>
            <w:tcW w:w="24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8080" w:type="dxa"/>
            <w:vAlign w:val="bottom"/>
            <w:gridSpan w:val="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184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Mine Safety Disclosures.</w:t>
              </w:r>
            </w:hyperlink>
          </w:p>
        </w:tc>
        <w:tc>
          <w:tcPr>
            <w:tcW w:w="8640" w:type="dxa"/>
            <w:vAlign w:val="bottom"/>
            <w:gridSpan w:val="1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5.</w:t>
              </w:r>
            </w:hyperlink>
          </w:p>
        </w:tc>
        <w:tc>
          <w:tcPr>
            <w:tcW w:w="10480" w:type="dxa"/>
            <w:vAlign w:val="bottom"/>
            <w:gridSpan w:val="20"/>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13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9100" w:type="dxa"/>
            <w:vAlign w:val="bottom"/>
            <w:gridSpan w:val="1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9820" w:type="dxa"/>
            <w:vAlign w:val="bottom"/>
            <w:gridSpan w:val="1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tcPr>
          <w:p>
            <w:pPr>
              <w:spacing w:after="0"/>
              <w:rPr>
                <w:sz w:val="14"/>
                <w:szCs w:val="14"/>
                <w:color w:val="auto"/>
              </w:rPr>
            </w:pPr>
          </w:p>
        </w:tc>
        <w:tc>
          <w:tcPr>
            <w:tcW w:w="27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Restricted cash</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and other receivables, net</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Inventories</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Property and equipment owned, net</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110,970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Property held under capital leases, net</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248,674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467,018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461,028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portion of obligations under capital leases</w:t>
            </w:r>
          </w:p>
        </w:tc>
        <w:tc>
          <w:tcPr>
            <w:tcW w:w="3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salaries and vacation</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income taxes payable</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advertising</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27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Revolver loan</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 net of current portion</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liabilities, net</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7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47,375</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208,717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060" w:type="dxa"/>
            <w:vAlign w:val="bottom"/>
            <w:gridSpan w:val="2"/>
            <w:shd w:val="clear" w:color="auto" w:fill="CFF0FC"/>
          </w:tcPr>
          <w:p>
            <w:pPr>
              <w:jc w:val="right"/>
              <w:ind w:right="2270"/>
              <w:spacing w:after="0"/>
              <w:rPr>
                <w:sz w:val="20"/>
                <w:szCs w:val="20"/>
                <w:color w:val="auto"/>
              </w:rPr>
            </w:pPr>
            <w:r>
              <w:rPr>
                <w:rFonts w:ascii="Arial" w:cs="Arial" w:eastAsia="Arial" w:hAnsi="Arial"/>
                <w:sz w:val="18"/>
                <w:szCs w:val="18"/>
                <w:color w:val="auto"/>
                <w:w w:val="93"/>
              </w:rPr>
              <w:t>issued or</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140" w:type="dxa"/>
            <w:vAlign w:val="bottom"/>
            <w:gridSpan w:val="3"/>
          </w:tcPr>
          <w:p>
            <w:pPr>
              <w:spacing w:after="0"/>
              <w:rPr>
                <w:sz w:val="20"/>
                <w:szCs w:val="20"/>
                <w:color w:val="auto"/>
              </w:rPr>
            </w:pPr>
            <w:r>
              <w:rPr>
                <w:rFonts w:ascii="Arial" w:cs="Arial" w:eastAsia="Arial" w:hAnsi="Arial"/>
                <w:sz w:val="18"/>
                <w:szCs w:val="18"/>
                <w:color w:val="auto"/>
              </w:rPr>
              <w:t>Common stock, $0.01 par value—200,000,000 shares authorized; 38,419,933</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and 38,284,435 shares issued and outstanding</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370,592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Accumulated deficit</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(112,675)</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(125,385)</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7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258,301</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467,018</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June 29,</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51"/>
              <w:spacing w:after="0" w:line="133"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June 29,</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71"/>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6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90,877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83,575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179,246</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Food and paper cost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Occupancy and other operating expenses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Expenses related to fire loss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Asset impairment and closed-store reserves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168,166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Gain on disposition of restaurants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Interest expense-net of interest income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Income tax receivable agreement (income) expense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Diluted</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1"/>
                <w:szCs w:val="21"/>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Weighted-average shares used in computing net income per share</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38,294,575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37,812,767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38,289,505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37,618,756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38,962,802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39,085,206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38,981,610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39,002,974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78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right"/>
              <w:ind w:right="820"/>
              <w:spacing w:after="0" w:line="133" w:lineRule="exact"/>
              <w:rPr>
                <w:sz w:val="20"/>
                <w:szCs w:val="20"/>
                <w:color w:val="auto"/>
              </w:rPr>
            </w:pPr>
            <w:r>
              <w:rPr>
                <w:rFonts w:ascii="Arial" w:cs="Arial" w:eastAsia="Arial" w:hAnsi="Arial"/>
                <w:sz w:val="14"/>
                <w:szCs w:val="14"/>
                <w:b w:val="1"/>
                <w:bCs w:val="1"/>
                <w:color w:val="auto"/>
              </w:rPr>
              <w:t>June 29,</w:t>
            </w:r>
          </w:p>
        </w:tc>
        <w:tc>
          <w:tcPr>
            <w:tcW w:w="3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531"/>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1"/>
                <w:szCs w:val="11"/>
                <w:color w:val="auto"/>
              </w:rPr>
            </w:pPr>
          </w:p>
        </w:tc>
      </w:tr>
      <w:tr>
        <w:trPr>
          <w:trHeight w:val="171"/>
        </w:trPr>
        <w:tc>
          <w:tcPr>
            <w:tcW w:w="78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12,710</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9"/>
                <w:szCs w:val="19"/>
                <w:color w:val="auto"/>
              </w:rPr>
            </w:pPr>
          </w:p>
        </w:tc>
      </w:tr>
      <w:tr>
        <w:trPr>
          <w:trHeight w:val="215"/>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Gain on recovery of insurance proceeds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Gain on sale of restaurant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Fire insurance proceeds for expenses paid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Closed-store reserve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Amortization of favorable and unfavorable leases, net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8,716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Accounts and other receivables, net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(2,701)</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(5,889)</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Accrued salaries and vacation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(1,814)</w:t>
            </w: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insurance</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 accrued expenses and liabilities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provided by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restaurant</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asset disposition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(14,311)</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(8,869)</w:t>
            </w: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(8,869)</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Payments on revolver loan</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(6,500)</w:t>
            </w: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expenses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Payment of obligations under capital leases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flows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5"/>
          </w:tcPr>
          <w:p>
            <w:pPr>
              <w:ind w:left="6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3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ind w:left="220"/>
              <w:spacing w:after="0" w:line="133" w:lineRule="exact"/>
              <w:rPr>
                <w:sz w:val="20"/>
                <w:szCs w:val="20"/>
                <w:color w:val="auto"/>
              </w:rPr>
            </w:pPr>
            <w:r>
              <w:rPr>
                <w:rFonts w:ascii="Arial" w:cs="Arial" w:eastAsia="Arial" w:hAnsi="Arial"/>
                <w:sz w:val="14"/>
                <w:szCs w:val="14"/>
                <w:b w:val="1"/>
                <w:bCs w:val="1"/>
                <w:color w:val="auto"/>
              </w:rPr>
              <w:t>June 29,</w:t>
            </w:r>
          </w:p>
        </w:tc>
        <w:tc>
          <w:tcPr>
            <w:tcW w:w="3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536"/>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8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during the period for interest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Cash paid during the period for income taxes, net</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Cashless stock option exercise</w:t>
            </w:r>
          </w:p>
        </w:tc>
        <w:tc>
          <w:tcPr>
            <w:tcW w:w="3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ind w:right="376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00"/>
        <w:spacing w:after="0" w:line="259" w:lineRule="auto"/>
        <w:rPr>
          <w:sz w:val="20"/>
          <w:szCs w:val="20"/>
          <w:color w:val="auto"/>
        </w:rPr>
      </w:pPr>
      <w:r>
        <w:rPr>
          <w:rFonts w:ascii="Arial" w:cs="Arial" w:eastAsia="Arial" w:hAnsi="Arial"/>
          <w:sz w:val="18"/>
          <w:szCs w:val="18"/>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 and operates under one operating segment. At June 29, 2016, we operated 188 and franchised 251 El Pollo Loco restaurants.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2015.</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2015 and 2016 are both 52-week years, ending on December 30, 2015, and December 28, 2016,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 store reserves, stock-based compensation, income tax receivable agreement liability, and income tax valuation allowances.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principal liquidity requirements are to service our debt and to meet capital expenditure needs. At June 29, 2016, the Company’s total debt (including capital lease liabilities) was $117.1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$9.5 million at June 29, 2016, and available borrowings under the 2014 Revolver (which availability was approximately $76.3 million at June 29, 2016) will be adequate to meet the Company’s liquidity needs for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twenty-six weeks ended June 29, 2016, we incurred costs directly related to the fire of $48,000, disposed of an additional $87,000 of assets and recognized a gain of $889,000 resulting from the receipt from the insurance company of $1,000,000 in cash. In 2015, the Company disposed of $111,000 of assets related to the fire. The restaurant was reopened for business on March 14,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May 2016, the Financial Accounting Standards Board (“FASB”) issued Accounting Standards Update (“ASU”) No. 2016-12, Revenue from Contracts with Customers (Topic 606) – Narrow-Scope Improvements and Practical Expedients. This ASU is intended to clarify two aspects of Topic 606: first, assessing the collectability criterion, options for the presentation of sales and similar taxes, noncash consideration, transition contract modifications, transition contract completion and secondly, technical corrections.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2016, the FASB issued ASU No. 2016-10, Revenue from Contracts with Customers (Topic 606) – Identifying Performance Obligations and Licensing. This ASU is intended to clarify two aspects of Topic 606: identifying performance obligations and licensing implementation guidance.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(our fiscal year 2017). Early application is permitted. We are currently evaluating the impact of this guidance on our consolidated financial statements.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the pending adoption of the new standard on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impact of this expected adoption of ASU 2016-01 is being evaluated by the Company.</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fiscal 2018.</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29, 2016, the Company opened one new restaurant and made a $3.0 million pre-payment on the 2014 Revolver.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evaluated subsequent events that have occurred after June 29, 2016,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right="100"/>
        <w:spacing w:after="0" w:line="293" w:lineRule="auto"/>
        <w:rPr>
          <w:sz w:val="20"/>
          <w:szCs w:val="20"/>
          <w:color w:val="auto"/>
        </w:rPr>
      </w:pPr>
      <w:r>
        <w:rPr>
          <w:rFonts w:ascii="Arial" w:cs="Arial" w:eastAsia="Arial" w:hAnsi="Arial"/>
          <w:sz w:val="16"/>
          <w:szCs w:val="16"/>
          <w:color w:val="auto"/>
        </w:rPr>
        <w:t>The Company had no suppliers for which amounts due at June 29, 2016 totaled greater than 10% of the Company’s accounts payable. As of December 30, 2015, the Company had two different suppliers for which amounts totaled 12% and 11% of the Company’s accounts payable. Purchases from the Company’s largest supplier totaled 34% for the thirteen weeks ended June 29, 2016, and 37% for the thirteen weeks ended July 1, 2015, of the Company’s purchases. Purchases from the Company’s largest supplier totaled 34% for the twenty-six weeks ended June 29, 2016, and 37% for the twenty-six weeks ended July 1, 2015, of the Company’s purchases. Company-operated and franchised restaurants in the greater Los Angeles area generated, in the aggregate, approximately 75% and 79% of total revenue for both the thirteen and twenty-six weeks ended June 29, 2016 and July 1, 2015,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did not identify any indicators of potential impairment during the thirteen and twenty-six weeks ended June 29, 2016, and therefore did not perform any impairment review, nor did the Company record any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t>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June 29, 2016, or at December 30, 2015, and did not recognize interest or penalties during the thirteen or twenty-six weeks ended June 29, 2016, or July 1, 2015,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29,</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111,349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186,914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(90,304)</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(84,493)</w:t>
            </w: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Depreciation expense was $4.0 million and $3.2 million for the thirteen weeks ended June 29, 2016, and July 1, 2015, respectively, and $7.7 million and $6.3 million for the twenty-six weeks ended June 29, 2016 and July 1, 2015, respectively. The gross value of assets under capital leases for buildings and improvements was $1.6 million at June 29, 2016 and December 30, 2015. Accumulated depreciation for assets under capital leases was $1.5 million as of June 29, 2016 and December 30, 2015. For the thirteen weeks ended June 29, 2016, capital expenditures totaled $8.4 million, including $0.1million for restaurant remodeling and $6.3 million for new restaurant expenditures. For the twenty-six weeks ended June 29, 2016, capital expenditures totaled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$14.3 million, including $1.6 million for restaurant remodeling and $9.2 million for new restaurant expenditures. Capital expenditures for the quarter and year-to-date periods exclude unpaid purchases of property and equipment.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June 29, 2016, options to purchase 2,196,859 shares of common stock were outstanding, including 1,626,399 vested and 570,460 unvested. Unvested options vest over time, or upon our achieving annual financial goals. However, upon a change in control, the board may accelerate vesting. At June 29, 2016, 1,611,718 premium options remained outstanding. For the thirteen and twenty-six weeks ended June 29, 2016, there were exercises of stock options for 115,340 shares. For the thirteen and twenty-six weeks ended July 1, 2015, there were exercises of stock options for 825,187 and 844,907 shares, respectively. For the thirteen and twenty-six weeks ended June 29, 2016, 319,798 options were granted at the fair market value on the date of grant. No options were granted in the thirteen and twenty-six weeks ended July 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June 29, 2016, there were 20,158 unvested restricted shares outstanding. Restricted shares vest over time.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June 29, 2016, we had total unrecognized compensation expense of $1.7 million, related to unvested stock options and restricted shares, which we expect to recognize over a weighted-average period of 3.2 years.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stock-based compensation expense was $128,000 and $139,000 for the thirteen and twenty-six weeks ended June 29, 2016 and $146,000 and $443,000 for the thirteen and twenty-six weeks ended July 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June 29, 2016, $7.2 million of letters of credit were outstanding and $76.3 million was available to borrow under the revolving line of credit. The 2014 Revolver will mature on or about December 11, 2019.</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2.19% to 2.20% and 2.02% to 2.20% for the thirteen and twenty-six weeks ended June 29, 2016, respectively.</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June 29, 2016.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required principal payments prior to maturity for the 2014 Revolver. During the twenty-six weeks ended June 29, 2016, the Company elected to pay down $6.5 million of outstanding borrowing on our 2014 Revolver, primarily from our cash flow from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June 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June 29,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2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47,375</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right="77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40"/>
        <w:spacing w:after="0" w:line="255" w:lineRule="auto"/>
        <w:rPr>
          <w:sz w:val="20"/>
          <w:szCs w:val="20"/>
          <w:color w:val="auto"/>
        </w:rPr>
      </w:pPr>
      <w:r>
        <w:rPr>
          <w:rFonts w:ascii="Arial" w:cs="Arial" w:eastAsia="Arial" w:hAnsi="Arial"/>
          <w:sz w:val="18"/>
          <w:szCs w:val="18"/>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will be submitted for court approval. Purported class actions alleging wage and hour violations are commonly filed against California employers, and we fully expect to have to defend against similar lawsuits in the future.</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on or before August 22, 2016. Defendants intend to vigorously defend against the claims asserted.</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or about November 5, 2015, a purported Holdings shareholder filed a derivative complaint on behalf of Holdings in the Court of Chancery of the State of Delaware against certain Holdings officers, directors and Trimaran Pollo Partners,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7"/>
          <w:szCs w:val="17"/>
          <w:u w:val="single" w:color="auto"/>
          <w:color w:val="auto"/>
        </w:rPr>
        <w:t>Turocy v. El Pollo Loco Holdings, Inc., discussed above.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$11.5 million as of June 29,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At June 29, 2016, the Company’s total estimated commitment to purchase chicken was $21.6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June 29, 2016, the potential amount of undiscounted payments the Company could be required to make in the event of non-payment by the primary lessee was $3.4 million. The present value of these potential payments discounted at the Company’s estimated pre-tax cost of debt at June 29, 2016 was $2.9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and twenty-six weeks ended June 29, 2016, and July 1, 2015.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9"/>
              </w:rPr>
              <w:t>Twenty-Six Weeks Ended</w:t>
            </w:r>
          </w:p>
        </w:tc>
        <w:tc>
          <w:tcPr>
            <w:tcW w:w="1740" w:type="dxa"/>
            <w:vAlign w:val="bottom"/>
          </w:tcPr>
          <w:p>
            <w:pPr>
              <w:spacing w:after="0"/>
              <w:rPr>
                <w:sz w:val="14"/>
                <w:szCs w:val="14"/>
                <w:color w:val="auto"/>
              </w:rPr>
            </w:pPr>
          </w:p>
        </w:tc>
      </w:tr>
      <w:tr>
        <w:trPr>
          <w:trHeight w:val="133"/>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June 29,</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94"/>
              <w:spacing w:after="0" w:line="13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rPr>
              <w:t>June 29,</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54"/>
              <w:spacing w:after="0" w:line="133" w:lineRule="exact"/>
              <w:rPr>
                <w:sz w:val="20"/>
                <w:szCs w:val="20"/>
                <w:color w:val="auto"/>
              </w:rPr>
            </w:pPr>
            <w:r>
              <w:rPr>
                <w:rFonts w:ascii="Arial" w:cs="Arial" w:eastAsia="Arial" w:hAnsi="Arial"/>
                <w:sz w:val="14"/>
                <w:szCs w:val="14"/>
                <w:b w:val="1"/>
                <w:bCs w:val="1"/>
                <w:color w:val="auto"/>
              </w:rPr>
              <w:t>July 1,</w:t>
            </w:r>
          </w:p>
        </w:tc>
        <w:tc>
          <w:tcPr>
            <w:tcW w:w="174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7,267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14,021</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Weighted-average shares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outstanding—basic</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38,294,575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37,812,767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38,289,505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37,618,756</w:t>
            </w:r>
          </w:p>
        </w:tc>
        <w:tc>
          <w:tcPr>
            <w:tcW w:w="1740" w:type="dxa"/>
            <w:vAlign w:val="bottom"/>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outstanding—diluted</w:t>
            </w:r>
          </w:p>
        </w:tc>
        <w:tc>
          <w:tcPr>
            <w:tcW w:w="3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38,962,802</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39,085,206</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38,981,610</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39,002,974</w:t>
            </w:r>
          </w:p>
        </w:tc>
        <w:tc>
          <w:tcPr>
            <w:tcW w:w="1740" w:type="dxa"/>
            <w:vAlign w:val="bottom"/>
          </w:tcPr>
          <w:p>
            <w:pPr>
              <w:spacing w:after="0"/>
              <w:rPr>
                <w:sz w:val="20"/>
                <w:szCs w:val="20"/>
                <w:color w:val="auto"/>
              </w:rPr>
            </w:pPr>
          </w:p>
        </w:tc>
      </w:tr>
      <w:tr>
        <w:trPr>
          <w:trHeight w:val="223"/>
        </w:trPr>
        <w:tc>
          <w:tcPr>
            <w:tcW w:w="5000" w:type="dxa"/>
            <w:vAlign w:val="bottom"/>
            <w:gridSpan w:val="2"/>
          </w:tcPr>
          <w:p>
            <w:pPr>
              <w:ind w:left="1720"/>
              <w:spacing w:after="0"/>
              <w:rPr>
                <w:sz w:val="20"/>
                <w:szCs w:val="20"/>
                <w:color w:val="auto"/>
              </w:rPr>
            </w:pPr>
            <w:r>
              <w:rPr>
                <w:rFonts w:ascii="Arial" w:cs="Arial" w:eastAsia="Arial" w:hAnsi="Arial"/>
                <w:sz w:val="18"/>
                <w:szCs w:val="18"/>
                <w:color w:val="auto"/>
              </w:rPr>
              <w:t>Net income per share—basic</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740" w:type="dxa"/>
            <w:vAlign w:val="bottom"/>
          </w:tcPr>
          <w:p>
            <w:pPr>
              <w:spacing w:after="0"/>
              <w:rPr>
                <w:sz w:val="19"/>
                <w:szCs w:val="19"/>
                <w:color w:val="auto"/>
              </w:rPr>
            </w:pPr>
          </w:p>
        </w:tc>
      </w:tr>
      <w:tr>
        <w:trPr>
          <w:trHeight w:val="209"/>
        </w:trPr>
        <w:tc>
          <w:tcPr>
            <w:tcW w:w="5000" w:type="dxa"/>
            <w:vAlign w:val="bottom"/>
            <w:gridSpan w:val="2"/>
          </w:tcPr>
          <w:p>
            <w:pPr>
              <w:ind w:left="1720"/>
              <w:spacing w:after="0"/>
              <w:rPr>
                <w:sz w:val="20"/>
                <w:szCs w:val="20"/>
                <w:color w:val="auto"/>
              </w:rPr>
            </w:pPr>
            <w:r>
              <w:rPr>
                <w:rFonts w:ascii="Arial" w:cs="Arial" w:eastAsia="Arial" w:hAnsi="Arial"/>
                <w:sz w:val="18"/>
                <w:szCs w:val="18"/>
                <w:color w:val="auto"/>
              </w:rPr>
              <w:t>Anti-dilutive securities not considered in</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diluted EPS calculation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473,836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473,836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r>
      <w:tr>
        <w:trPr>
          <w:trHeight w:val="885"/>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395"/>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2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Thirteen Weeks Ended</w:t>
            </w:r>
          </w:p>
        </w:tc>
        <w:tc>
          <w:tcPr>
            <w:tcW w:w="2080" w:type="dxa"/>
            <w:vAlign w:val="bottom"/>
            <w:gridSpan w:val="4"/>
          </w:tcPr>
          <w:p>
            <w:pPr>
              <w:ind w:left="20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3700" w:type="dxa"/>
            <w:vAlign w:val="bottom"/>
          </w:tcPr>
          <w:p>
            <w:pPr>
              <w:spacing w:after="0"/>
              <w:rPr>
                <w:sz w:val="11"/>
                <w:szCs w:val="11"/>
                <w:color w:val="auto"/>
              </w:rPr>
            </w:pPr>
          </w:p>
        </w:tc>
        <w:tc>
          <w:tcPr>
            <w:tcW w:w="110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June 29,</w:t>
            </w:r>
          </w:p>
        </w:tc>
        <w:tc>
          <w:tcPr>
            <w:tcW w:w="90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1"/>
                <w:szCs w:val="11"/>
                <w:color w:val="auto"/>
              </w:rPr>
            </w:pPr>
          </w:p>
        </w:tc>
        <w:tc>
          <w:tcPr>
            <w:tcW w:w="108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June 29,</w:t>
            </w:r>
          </w:p>
        </w:tc>
        <w:tc>
          <w:tcPr>
            <w:tcW w:w="92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July 1,</w:t>
            </w:r>
          </w:p>
        </w:tc>
        <w:tc>
          <w:tcPr>
            <w:tcW w:w="80" w:type="dxa"/>
            <w:vAlign w:val="bottom"/>
          </w:tcPr>
          <w:p>
            <w:pPr>
              <w:spacing w:after="0"/>
              <w:rPr>
                <w:sz w:val="11"/>
                <w:szCs w:val="11"/>
                <w:color w:val="auto"/>
              </w:rPr>
            </w:pPr>
          </w:p>
        </w:tc>
      </w:tr>
      <w:tr>
        <w:trPr>
          <w:trHeight w:val="171"/>
        </w:trPr>
        <w:tc>
          <w:tcPr>
            <w:tcW w:w="37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0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outstanding—basic</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38,294,575</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37,812,767</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38,289,505</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37,618,756</w:t>
            </w:r>
          </w:p>
        </w:tc>
        <w:tc>
          <w:tcPr>
            <w:tcW w:w="80" w:type="dxa"/>
            <w:vAlign w:val="bottom"/>
            <w:shd w:val="clear" w:color="auto" w:fill="CFF0FC"/>
          </w:tcPr>
          <w:p>
            <w:pPr>
              <w:spacing w:after="0"/>
              <w:rPr>
                <w:sz w:val="20"/>
                <w:szCs w:val="20"/>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Dilutive effect of stock options and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restricted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668,227</w:t>
            </w: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1,272,439</w:t>
            </w: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692,105</w:t>
            </w:r>
          </w:p>
        </w:tc>
        <w:tc>
          <w:tcPr>
            <w:tcW w:w="18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1,384,218</w:t>
            </w:r>
          </w:p>
        </w:tc>
        <w:tc>
          <w:tcPr>
            <w:tcW w:w="80" w:type="dxa"/>
            <w:vAlign w:val="bottom"/>
            <w:tcBorders>
              <w:bottom w:val="single" w:sz="8" w:color="CFF0FC"/>
            </w:tcBorders>
          </w:tcPr>
          <w:p>
            <w:pPr>
              <w:spacing w:after="0"/>
              <w:rPr>
                <w:sz w:val="20"/>
                <w:szCs w:val="20"/>
                <w:color w:val="auto"/>
              </w:rPr>
            </w:pPr>
          </w:p>
        </w:tc>
      </w:tr>
      <w:tr>
        <w:trPr>
          <w:trHeight w:val="20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outstanding—diluted</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38,962,802</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39,085,206</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38,981,610</w:t>
            </w: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39,002,974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Trimaran Pollo Partners, L.L.C. (“LLC”), owns approximately 43.6%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discussion and analysis should be read in conjunction with Item 1 above and with the financial statements contained in our annual report on Form 10-K for the year ended December 30, 2015.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Baja Shrimp Tacos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29, 2016, we had 439 locations in five states. In fiscal 2015, we opened fourteen new company-operated and five new franchised restaurants across Arizona, California, Nevada, and Texas. For the quarter ended June 29, 2016, we opened two new company-operated restaurants, in Arizona and Nevada, and three franchised restaurants in California, Utah and Texas and closed one company-operated and one franchised restaurant in California. In 2016, we intend to open 17 to 20 new company-operated and 10 to 15 new franchised restaurants in Arizona, California, Nevada, Utah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System-wide, for the quarter ended June 29, 2016, comparable restaurant sales increased 2.4%. For company-operated restaurants, comparable restaurant sales, for the quarter, increased by 2.0%. For company-operated restaurants, the quarter’s comparable restaurant sales consisted of a 2.7% increase in traffic, offset by a 0.7% decrease in average check size year over year. For franchised restaurants, comparable restaurant sales increased 2.7%.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twenty-six weeks ended June 29, 2016, were as follows.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Twenty-Six</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Weeks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Fiscal Year Ended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June 29,</w:t>
            </w:r>
          </w:p>
        </w:tc>
        <w:tc>
          <w:tcPr>
            <w:tcW w:w="22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System-wide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June 29, 2016, together we had remodeled 106 company-operated and 178 franchised restaurants, or 284 system-wide, over 70%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recovery of insurance proceeds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twenty-six weeks ended June 29, 2016, we incurred costs directly related to the fire of $48,000, disposed of an additional $87,000 of assets and recognized a gain of $889,000 resulting from the receipt from the insurance company of $1,000,000 in cash. In 2015, the Company disposed of $111,000 of assets related to the fire. The restaurant was reopened for business on March 14,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2015,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2016, the FASB issued ASU No. 2016-12, Revenue from Contracts with Customers (Topic 606) – Narrow-Scope Improvements and Practical Expedients. This ASU is intended to clarify two aspects of Topic 606: first, assessing the collectability criterion, options for the presentation of sales and similar taxes, noncash consideration, transition contract modifications, transition contract completion and secondly, technical corrections.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2016, the FASB issued ASU No. 2016-10, Revenue from Contracts with Customers (Topic 606) – Identifying Performance Obligations and Licensing. This ASU is intended to clarify two aspects of Topic 606: identifying performance obligations and licensing implementation guidance.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(our fiscal year 2018). Early application is permitted. We are currently evaluating the impact of this guidance on our consolidated financial statements.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the pending adoption of the new standard on our consolidated financial statements.</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impact of this expected adoption of ASU 2016-01 is being evaluated by the Company.</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2016. After the adoption of this ASU all deferred tax assets and liabilities will be classified as noncurrent on the consolidated balance sheet.</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fiscal 2018.</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29, 2016 and July 1, 2015, there were 408 and 396 comparable restaurants, 170 and 159 company-operated and 238 and 237 franchised, respectively. Comparable restaurant sales indicate the performance of existing restaurants, since new restaurants are excluded.</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Twenty-Six Weeks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 amounts in thousands)</w:t>
            </w:r>
          </w:p>
        </w:tc>
        <w:tc>
          <w:tcPr>
            <w:tcW w:w="10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2"/>
              </w:rPr>
              <w:t>June 29,</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6"/>
              <w:spacing w:after="0" w:line="13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179,246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168,308</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131,373</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99"/>
              </w:rPr>
              <w:t>21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FF0FC"/>
            </w:tcBorders>
            <w:vMerge w:val="continue"/>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14,021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Non-GAAP adjustments: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6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31,188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32,368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(a)</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(b)(c)</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fire loss</w:t>
            </w:r>
            <w:r>
              <w:rPr>
                <w:rFonts w:ascii="Arial" w:cs="Arial" w:eastAsia="Arial" w:hAnsi="Arial"/>
                <w:sz w:val="15"/>
                <w:szCs w:val="15"/>
                <w:color w:val="auto"/>
              </w:rPr>
              <w:t>(c)</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Gain on recovery of insurance proceeds</w:t>
            </w:r>
            <w:r>
              <w:rPr>
                <w:rFonts w:ascii="Arial" w:cs="Arial" w:eastAsia="Arial" w:hAnsi="Arial"/>
                <w:sz w:val="15"/>
                <w:szCs w:val="15"/>
                <w:color w:val="auto"/>
              </w:rPr>
              <w:t>(c)</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r>
              <w:rPr>
                <w:rFonts w:ascii="Arial" w:cs="Arial" w:eastAsia="Arial" w:hAnsi="Arial"/>
                <w:sz w:val="15"/>
                <w:szCs w:val="15"/>
                <w:color w:val="auto"/>
              </w:rPr>
              <w:t>(d)</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Gain on disposition of restaurants</w:t>
            </w:r>
            <w:r>
              <w:rPr>
                <w:rFonts w:ascii="Arial" w:cs="Arial" w:eastAsia="Arial" w:hAnsi="Arial"/>
                <w:sz w:val="15"/>
                <w:szCs w:val="15"/>
                <w:color w:val="auto"/>
              </w:rPr>
              <w:t>(e)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r>
              <w:rPr>
                <w:rFonts w:ascii="Arial" w:cs="Arial" w:eastAsia="Arial" w:hAnsi="Arial"/>
                <w:sz w:val="15"/>
                <w:szCs w:val="15"/>
                <w:color w:val="auto"/>
              </w:rPr>
              <w:t>(f)</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Income tax receivable agreement (income) expense</w:t>
            </w:r>
            <w:r>
              <w:rPr>
                <w:rFonts w:ascii="Arial" w:cs="Arial" w:eastAsia="Arial" w:hAnsi="Arial"/>
                <w:sz w:val="15"/>
                <w:szCs w:val="15"/>
                <w:color w:val="auto"/>
              </w:rPr>
              <w:t>(g)</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Securities class action legal expense</w:t>
            </w:r>
            <w:r>
              <w:rPr>
                <w:rFonts w:ascii="Arial" w:cs="Arial" w:eastAsia="Arial" w:hAnsi="Arial"/>
                <w:sz w:val="15"/>
                <w:szCs w:val="15"/>
                <w:color w:val="auto"/>
              </w:rPr>
              <w:t>(h)</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(i)</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17,903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16,987</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33,947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33,584</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520" w:right="38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ind w:left="520" w:right="28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2015, one of the Company’s restaurants incurred damage resulting from a fire. During the twenty-six weeks ended June 29, 2016, we incurred costs directly related to the fire of $48,000 and recognized a gain of $889,000 resulting from the receipt from the insurance company of $1,000,000 in cash.</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w:t>
      </w:r>
    </w:p>
    <w:p>
      <w:pPr>
        <w:spacing w:after="0" w:line="117" w:lineRule="exact"/>
        <w:rPr>
          <w:rFonts w:ascii="Arial" w:cs="Arial" w:eastAsia="Arial" w:hAnsi="Arial"/>
          <w:sz w:val="18"/>
          <w:szCs w:val="18"/>
          <w:color w:val="auto"/>
        </w:rPr>
      </w:pPr>
    </w:p>
    <w:p>
      <w:pPr>
        <w:ind w:left="520" w:right="8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$33,000, which is recorded as a gain on disposition of restaurants in the accompanying consolidated statement of operations. This restaurant is now included in our franchised restaurant totals.</w:t>
      </w:r>
    </w:p>
    <w:p>
      <w:pPr>
        <w:spacing w:after="0" w:line="73" w:lineRule="exact"/>
        <w:rPr>
          <w:rFonts w:ascii="Arial" w:cs="Arial" w:eastAsia="Arial" w:hAnsi="Arial"/>
          <w:sz w:val="18"/>
          <w:szCs w:val="18"/>
          <w:color w:val="auto"/>
        </w:rPr>
      </w:pPr>
    </w:p>
    <w:p>
      <w:pPr>
        <w:ind w:left="520" w:right="60" w:hanging="512"/>
        <w:spacing w:after="0" w:line="27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costs related to the sale, in the second quarter of 2015, of 5.4 million shares of common stock in a block trade to various investors, by our largest shareholder, which was at that time our majority shareholder, pursuant to Rule 144 under the Securities Act. This shareholder owns stock in us not registered under the Securities Act. Under our stockholders agreement, this shareholder may require us to register stock in us that it owns, under the Securities Act. In that event, we are responsible for all registration expenses. In lieu of the shareholder’s exercise of its registration rights, we agreed to bear the expenses incident to the shareholder’s sale of these shares using Rule 144.</w:t>
      </w:r>
    </w:p>
    <w:p>
      <w:pPr>
        <w:spacing w:after="0" w:line="64" w:lineRule="exact"/>
        <w:rPr>
          <w:rFonts w:ascii="Arial" w:cs="Arial" w:eastAsia="Arial" w:hAnsi="Arial"/>
          <w:sz w:val="17"/>
          <w:szCs w:val="17"/>
          <w:color w:val="auto"/>
        </w:rPr>
      </w:pPr>
    </w:p>
    <w:p>
      <w:pPr>
        <w:ind w:left="520" w:right="100" w:hanging="512"/>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June 29, 2016, income tax receivable agreement expense consisted of the amortization of interest expense and changes in estimates for actual tax returns filed, related to our total expected TRA payments.</w:t>
      </w:r>
    </w:p>
    <w:p>
      <w:pPr>
        <w:spacing w:after="0" w:line="78"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costs related to a securities class action lawsuit. See the Notes to the Condensed Consolidated Financial Statements, Note 7 Commitments and Contingencies, Legal Matters.</w:t>
      </w:r>
    </w:p>
    <w:p>
      <w:pPr>
        <w:spacing w:after="0" w:line="62" w:lineRule="exact"/>
        <w:rPr>
          <w:rFonts w:ascii="Arial" w:cs="Arial" w:eastAsia="Arial" w:hAnsi="Arial"/>
          <w:sz w:val="18"/>
          <w:szCs w:val="18"/>
          <w:color w:val="auto"/>
        </w:rPr>
      </w:pPr>
    </w:p>
    <w:p>
      <w:pPr>
        <w:ind w:left="520" w:hanging="512"/>
        <w:spacing w:after="0" w:line="279"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Comparison of Results of Operations for the Thirteen Weeks Ended June 29, 2016 and July 1, 2015</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operating results for the thirteen weeks ended June 29, 2016, and July 1, 2015, in absolute terms, and expressed as percentages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Thirteen Weeks Ended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0"/>
              </w:rPr>
              <w:t>June 29, 2016</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vMerge w:val="restart"/>
          </w:tcPr>
          <w:p>
            <w:pPr>
              <w:jc w:val="center"/>
              <w:ind w:left="352"/>
              <w:spacing w:after="0"/>
              <w:rPr>
                <w:sz w:val="20"/>
                <w:szCs w:val="20"/>
                <w:color w:val="auto"/>
              </w:rPr>
            </w:pPr>
            <w:r>
              <w:rPr>
                <w:rFonts w:ascii="Arial" w:cs="Arial" w:eastAsia="Arial" w:hAnsi="Arial"/>
                <w:sz w:val="14"/>
                <w:szCs w:val="14"/>
                <w:b w:val="1"/>
                <w:bCs w:val="1"/>
                <w:color w:val="auto"/>
                <w:w w:val="91"/>
              </w:rPr>
              <w:t>July 1, 2015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left="392"/>
              <w:spacing w:after="0" w:line="133" w:lineRule="exact"/>
              <w:rPr>
                <w:sz w:val="20"/>
                <w:szCs w:val="20"/>
                <w:color w:val="auto"/>
              </w:rPr>
            </w:pPr>
            <w:r>
              <w:rPr>
                <w:rFonts w:ascii="Arial" w:cs="Arial" w:eastAsia="Arial" w:hAnsi="Arial"/>
                <w:sz w:val="14"/>
                <w:szCs w:val="14"/>
                <w:b w:val="1"/>
                <w:bCs w:val="1"/>
                <w:color w:val="auto"/>
                <w:w w:val="92"/>
              </w:rPr>
              <w:t>Increase /</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9"/>
              </w:rPr>
              <w:t>(Decrease)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40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90,877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97,474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89,454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27,032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24,361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19,496</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70,889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65,532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5,357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fire loss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5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84,106</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75,872</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8,234</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Gain on disposition of restaurants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13,401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13,582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Expenses related to selling shareholders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receivable agreement (income) expense</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5"/>
        </w:trPr>
        <w:tc>
          <w:tcPr>
            <w:tcW w:w="42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Income before provision for income</w:t>
            </w:r>
          </w:p>
        </w:tc>
        <w:tc>
          <w:tcPr>
            <w:tcW w:w="5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taxes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12,606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12,292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right="180"/>
        <w:spacing w:after="0" w:line="264" w:lineRule="auto"/>
        <w:rPr>
          <w:sz w:val="20"/>
          <w:szCs w:val="20"/>
          <w:color w:val="auto"/>
        </w:rPr>
      </w:pPr>
      <w:r>
        <w:rPr>
          <w:rFonts w:ascii="Arial" w:cs="Arial" w:eastAsia="Arial" w:hAnsi="Arial"/>
          <w:sz w:val="18"/>
          <w:szCs w:val="18"/>
          <w:color w:val="auto"/>
        </w:rPr>
        <w:t>Our operating results for the twenty-six weeks ended June 29, 2016, and July 1, 2015, in absolute terms, and expressed as percentages of total revenue, with the exception of cost of operations and company restaurant expenses, which are expressed as a percentage of company-operated restaurant revenue, are compared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3"/>
              </w:rPr>
              <w:t>Twenty-Six Weeks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2"/>
              </w:rPr>
              <w:t>June 29, 2016</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6"/>
              </w:rPr>
              <w:t>July 1, 2015</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center"/>
              <w:ind w:left="372"/>
              <w:spacing w:after="0" w:line="133" w:lineRule="exact"/>
              <w:rPr>
                <w:sz w:val="20"/>
                <w:szCs w:val="20"/>
                <w:color w:val="auto"/>
              </w:rPr>
            </w:pPr>
            <w:r>
              <w:rPr>
                <w:rFonts w:ascii="Arial" w:cs="Arial" w:eastAsia="Arial" w:hAnsi="Arial"/>
                <w:sz w:val="14"/>
                <w:szCs w:val="14"/>
                <w:b w:val="1"/>
                <w:bCs w:val="1"/>
                <w:color w:val="auto"/>
                <w:w w:val="92"/>
              </w:rPr>
              <w:t>Increase /</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 ,000)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9"/>
              </w:rPr>
              <w:t>($ ,000)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9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191,828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179,880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11,948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140,998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131,373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9,625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fire loss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(889)</w:t>
            </w: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168,166</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153,331</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14,835</w:t>
            </w: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sale of restaurants</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23,695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26,549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(2,854)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(569)</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Expenses related to selling shareholders</w:t>
            </w:r>
          </w:p>
        </w:tc>
        <w:tc>
          <w:tcPr>
            <w:tcW w:w="160" w:type="dxa"/>
            <w:vAlign w:val="bottom"/>
          </w:tcPr>
          <w:p>
            <w:pPr>
              <w:spacing w:after="0"/>
              <w:rPr>
                <w:sz w:val="19"/>
                <w:szCs w:val="19"/>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23,797</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(1,987)</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quarter, company-operated restaurant revenue increased $7.3 million, or 8.7%, from the comparable period in the prior year. The growth in company-operated restaurant sales was due to $6.6 million of additional non-comparable restaurant sales primarily from thirteen new restaurants opened after the thirteen weeks ended April 1, 2015, and five new restaurants opened during the twenty-six weeks ended June 29, 2016 and a $1.6 million increase resulting from a 2.0% increase in company-operated comparable restaurant sales. These increases were partially offset by two units closed and one unit sold to a franchisee in fiscal 2016. The company-operated comparable restaurant sales increase consisted of an increase in traffic of 2.7%, offset by a decrease in average check size of 0.7%.</w:t>
      </w:r>
    </w:p>
    <w:p>
      <w:pPr>
        <w:spacing w:after="0" w:line="193"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Year-to-date, company-operated restaurant revenue increased $10.9 million, or 6.5%, from the comparable period in the prior year. The growth in company-operated comparable restaurant sales was due to $11.1 million of additional non-comparable restaurant sales primarily from fourteen new restaurants opened in fiscal 2015 and five new restaurants opened during the twenty-six weeks ended June 29, 2016. Company-operated comparable restaurant sales grew $1.1 million, or 0.7%. These increases were partially offset by two units closed and one unit sold to a franchisee in fiscal 2016. The growth in company-operated comparable restaurant sales was due to an increase in traffic of 0.9%, partially offset by a decrease in average check size of 0.2% year-over-year.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For the quarter, franchise revenue increased $0.7 million, or 12.2%, from the comparable period in the prior year. This increase was due to a $0.3 million increase in royalties from franchised comparable restaurant sales growth of 2.7% and five new franchised restaurants opened in fiscal 2015 and four new restaurants opened in the twenty-six weeks ended June 29, 2016, and a $0.4 million increase in franchise revenue related to our point-of-sales system.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Year-to-date, franchise revenue increased $1.0 million, or 8.7%, from the comparable period in the prior year. This increase was due to a $0.7 million increase in royalties from franchised comparable restaurant sales growth of 2.2% and the new franchise-operated restaurants opened in fiscal 2015 and 2016 and an increase in revenue related to our point-of-sales system.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food and paper costs were flat to the comparable period in the prior year, due to a $0.2 million decrease in food costs offset by a $0.2 million increase in paper costs. Year-to-date, food and paper costs decreased $0.4 million, or 0.7%, from the comparable period in the prior year, due to a $0.5 million decrease in food costs and a $0.1 million increase in paper costs. The decrease in food costs, for the quarter and year-to-date periods, resulted primarily from lower commodity costs related to chicken, partially offset by higher restaurant revenue.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quarter, food and paper costs as a percentage of company-operated restaurant revenue were 29.7%, from 32.4% in the comparable period of the prior year. Year-to-date, food and paper costs as a percentage of company-operated restaurant revenue were 30.0%, from 32.2% in the comparable period of the prior year. The percentage decrease for the quarter and year-to-date periods was due primarily to the lower commodity costs, noted above, and favorability in our promotional calendar.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quarter, payroll and benefit expenses increased $3.3 million, or 15.5%, from the comparable period in the prior year. Year-to-date, payroll and benefit expenses increased $6.2 million, or 14.5%, from the comparable period in the prior year. The quarter and year-to-date increases were due primarily to increased labor costs resulting from the opening of the new restaurants in fiscal 2015 and five new restaurants during the twenty-six weeks ended June 29, 2016, and the impact of the California minimum wage increase to $10.00 per hour in January 2016. These increases were partially offset by lower worker’s compensation costs due to lower claims activity.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quarter, payroll and benefit expenses as a percentage of company-operated restaurant revenue were 26.8%, from 25.2% in the comparable period in the prior year. Year-to-date, payroll and benefit expenses as a percentage of company-operated restaurant revenue were 27.3%, from 25.4% in the comparable period in the prior year. The percentage increases, for the quarter and year-to-date periods, were due primarily to the increase in the labor costs noted above and the impact of the incremental labor required for 11 new restaurants opened in the fourth quarter of 2015 and five new restaurants opened in the twenty-six weeks ended June 29, 2016, partially offset by the lower worker’s compensation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quarter, occupancy and other operating expenses increased $2.1 million, or 12.1%, from the comparable period of the prior year. Year-to-date, occupancy and other operating expenses increased $3.8 million, or 11.0%, from the comparable period of the prior year. The increases for the quarter and year-to-date periods were due primarily to a $0.8 million and $1.6 million, respective increase in occupancy costs, due primarily to additional rent, as a result of new restaurants opened in fiscal 2015 and the twenty-six weeks ended June 29, 2016 and a $1.3 million and $2.2 million, respective increase in other operating expenses, also resulting primarily from the new restaurants opened in 2015 and 2016.</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21.5%, from 20.8% in the comparable period of the prior year. Year-to-date, occupancy and other operating expenses as a percentage of company-operated restaurant revenue were 21.4%, from</w:t>
      </w:r>
    </w:p>
    <w:p>
      <w:pPr>
        <w:jc w:val="both"/>
        <w:spacing w:after="0" w:line="302" w:lineRule="auto"/>
        <w:rPr>
          <w:sz w:val="20"/>
          <w:szCs w:val="20"/>
          <w:color w:val="auto"/>
        </w:rPr>
      </w:pPr>
      <w:r>
        <w:rPr>
          <w:rFonts w:ascii="Arial" w:cs="Arial" w:eastAsia="Arial" w:hAnsi="Arial"/>
          <w:sz w:val="16"/>
          <w:szCs w:val="16"/>
          <w:color w:val="auto"/>
        </w:rPr>
        <w:t>20.5% in the comparable period of the prior year. This increase resulted primarily from (i) rent expense on new restaurant leases and the renewal of leases on our existing restaurants and the accounting treatment to straight line the rental increases over the lease term, (ii) the temporary closure of one unit due to a fire and (iii) incremental costs related to opening new restaurants in the fourth quarter of 2015 and the twenty-six weeks ended June 29,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quarter, general and administrative expenses increased $1.9 million, or 29.4%, from the comparable period in the prior year. Year-to-date, general and administrative expenses increased $3.6 million, or 26.2%, from the comparable period in the prior year. The increases for the quarter and year-to-date periods were due primarily to (i) a $0.7 million and $0.8 million, respective increase in payroll expense, due primarily to an increase in corporate employees, and a higher accrual related to the company’s annual bonus program and severance costs, (ii) a $0.3 million and $1.8 million, respective increase in legal expense related to the securities class action litigation, (iii) a $0.2 million and $0.6 million, respective increase in restaurant pre-opening costs, (iv) a $0.4 million and $0.8 million, respective increase in travel and other professional fees and (v) a $0.3 million and $0.3 million, respective increase in dead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160"/>
        <w:spacing w:after="0" w:line="342" w:lineRule="auto"/>
        <w:rPr>
          <w:sz w:val="20"/>
          <w:szCs w:val="20"/>
          <w:color w:val="auto"/>
        </w:rPr>
      </w:pPr>
      <w:r>
        <w:rPr>
          <w:rFonts w:ascii="Arial" w:cs="Arial" w:eastAsia="Arial" w:hAnsi="Arial"/>
          <w:sz w:val="16"/>
          <w:szCs w:val="16"/>
          <w:color w:val="auto"/>
        </w:rPr>
        <w:t>site costs due to legal costs related to new restaurant locations that the Company chose not to continue to pursue. For the year-to-date period, these increases were partially offset by the capitalization of internal costs related to site selection and construction activities and lower stock option related expenses.</w:t>
      </w:r>
    </w:p>
    <w:p>
      <w:pPr>
        <w:spacing w:after="0" w:line="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the quarter, general and administrative expenses as a percentage of total revenue were 8.5%, from 7.2% in the comparable period of the prior year. Year-to-date, general and administrative expenses as a percentage of total revenue were 9.1%, from 7.7% in the comparable period of the prior year. The percentage increases for the quarter and year-to-date periods were due primarily to (i) a 0.3% and 0.9%, respective increase in legal expense related to the securities class action litigation, (ii) a 0.2% and 0.3%, respective increase in restaurant pre-opening costs and (iii) the increase in other general and administrative costs, noted above. These increases were partially offset by higher restaurant revenue for the quarter and year-to-date periods.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Restaurants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$33,000, which is recorded as a gain on disposition of restaurants in the accompanying consolidated statement of operations.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quarter, interest expense, net, decreased $0.2 million from the comparable period of the prior year. Year-to-date, interest expense, net, deceased $0.6 million from the comparable period of the prior year. These decreases were due primarily to pre-payments on the 2014 Revolver reducing our outstanding balance to $116.5 million as of June 29, 2016 compared to an outstanding balance of $135.0 million as of July 1,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Related to Selling Shareholders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and year-to-date periods ended June 29, 2016, we recorded income tax receivable agreement income of $35,000 and expense of $229,000, respectively, for the amortization of interest expense related to our total expected TRA payments and changes in estimates for actual tax returns filed.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quarter and year-to-date periods ended June 29, 2016, we recorded an income tax provision of $5.3 million and $9.1 million, respectively, reflecting an estimated effective tax rate of 42.4% and 41.7%, respectively. For the quarter and year-to-date periods ended July 1, 2015, we recorded an income tax provision of $5.1 million and $9.8 million, respectively, reflecting an estimated effective tax rate of approximately 41%. The quarter and year-to-date periods ended June 29, 2016, reflect the impact of a partial valuation allowance against various tax credits the Company may not be able to realize the benefit of.</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0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June 29, 2016</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July 1, 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(used) by</w:t>
            </w: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21,018</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(26,033)</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twenty-six weeks ended June 29, 2016, net cash provided by operating activities decreased by $8.8 million from the comparable period of the prior year. This was due primarily to the timing of payments related to advertising, legal payments related to the securities class action litigation and the cash payment of certain annual insurance premiums in 2016 versus financing these insurance costs in 2015. These increases were partially offset by lower interest payments, resulting primarily from lower debt balances.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twenty-six weeks ended June 29, 2016, net cash used by investing activities increased by $3.0 million from the comparable period of the prior year. This was due primarily to opening five new company restaurants in the twenty-six weeks ended June 29, 2016 compared to two new restaurants opened in the twenty-six weeks ended July 1, 2015.</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year ending December 28, 2016, we expect to incur capital expenditures of $35 million to $39 million, consisting of $25 to $29 million related to new restaurants, $4 million related to the remodeling of existing restaurants, and $6 million related to maintenance and other corporate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twenty-six weeks ended June 29, 2016, net cash used by financing activities decreased by $20.3 million from the comparable period of the prior year. This was due primarily to the pre-payment of $6.5 million on the 2014 Revolver during the twenty-six weeks ended June 29, 2016 compared to a pre-payment of $30.0 million for the twenty-six weeks ended July 1, 2015 and the receipt of $4.1 million related to the exercise of stock options in the twenty-six weeks ended July 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June 29, 2016, $7.2 million of letters of credit were outstanding and $76.3 million was available to borrow under the revolving line of credit. The 2014 Revolver will mature on or about December 11, 2019.</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2.19% to 2.20% and 2.02% to 2.20% for the thirteen and twenty-six weeks ended June 29, 2016, respectively.</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June 29,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16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8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consolidated fixed charge coverage ratio to be less than 1.75 times.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was for a notional amount of $30 million, with a cap rate of 3.00% based on 1 month USD LIBOR, which terminated on December 1, 2015. The second interest rate cap is for a notional amount of $120 million, with a cap rate of 3.00% based on 1 month USD LIBOR, terminating on December 1, 2016. As of June 29, 2016 and December 30, 2015, the amounts included in other assets in our condensed consolidated balance sheets, related to these interest rate caps, were not material to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entered into new chicken purchasing contracts in the first quarter of 2016 with terms ranging from twelve to twenty-four months, resulting in an estimated commitment to purchase chicken of $21.6 million at June 29, 2016.</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With the exception noted above, our contractual commitments outstanding on June 29, 2016, have not changed materially since our annual report on Form 10-K for the year ended December 30, 2015.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29, 2016, we were using $7.2 million of borrowing capacity on the 2014 Revolver for letters of credit in support of our insurance programs.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June 29, 2016, we had outstanding borrowings of $117.1 million and another $7.2 million of letters of credit in support of our insurance programs. A</w:t>
      </w:r>
    </w:p>
    <w:p>
      <w:pPr>
        <w:ind w:right="240"/>
        <w:spacing w:after="0" w:line="261" w:lineRule="auto"/>
        <w:rPr>
          <w:sz w:val="20"/>
          <w:szCs w:val="20"/>
          <w:color w:val="auto"/>
        </w:rPr>
      </w:pPr>
      <w:r>
        <w:rPr>
          <w:rFonts w:ascii="Arial" w:cs="Arial" w:eastAsia="Arial" w:hAnsi="Arial"/>
          <w:sz w:val="18"/>
          <w:szCs w:val="18"/>
          <w:color w:val="auto"/>
        </w:rPr>
        <w:t>1.00% increase in the effective interest rate applied to these borrowings would result in a pre-tax interest expense increase of $1.2 million on an annualized basis.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color w:val="auto"/>
        </w:rPr>
        <w:t>For more information about labor costs, see Part II, Item 1A, “Risk Factors—If we or our franchisees face labor shortages or increased labor costs, our results of operations and growth could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will be submitted for court approval. Purported class actions alleging wage and hour violations are commonly filed against California employers, and we fully expect to have to defend against similar lawsuits in the future.</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on or before August 22, 2016. Defendants intend to vigorously defend against the claims asserted.</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or about November 5, 2015, a purported Holdings shareholder filed a derivative complaint on behalf of Holdings in the Court of Chancery of the State of Delaware against certain Holdings officers, directors and Trimaran Pollo Partners,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7"/>
          <w:szCs w:val="17"/>
          <w:u w:val="single" w:color="auto"/>
          <w:color w:val="auto"/>
        </w:rPr>
        <w:t>Turocy v. El Pollo Loco Holdings, Inc., discussed above.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30, 2015, except for the risk factor that follows, which is revised and restated in its entirety.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federal minimum wage has been $7.25 per hour since July 24, 2009.</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January 1, 2016, the State of California (where most of our restaurants are located) has had a minimum wage of $10.00 per hour. From January 1, 2008, to June 30, 2014, it had been $8.00 per hour, and from July 1, 2014, to December 31, 2015, it had been $9.00 per hour. It is scheduled to rise to (i) $10.50 per hour on January 1, 2017, (ii) $11.00 per hour on January 1, 2018, (iii) $12.00 per hour on January 1, 2019, (iv) $13.00 per hour on January 1, 2020, (v) $14.00 per hour on January 1, 2021, and (vi) $15.00 per hour on January 1, 2022, subject, in each case (except for the increase to $10.50 per hour),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20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2015, approximately 80% of our revenue came from company-operated and franchised restaurants in the greater Los Angeles area, including 12% from the City of Los Angeles, 43%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520" w:type="dxa"/>
            <w:vAlign w:val="bottom"/>
          </w:tcPr>
          <w:p>
            <w:pPr>
              <w:spacing w:after="0"/>
              <w:rPr>
                <w:sz w:val="14"/>
                <w:szCs w:val="14"/>
                <w:color w:val="auto"/>
              </w:rPr>
            </w:pPr>
          </w:p>
        </w:tc>
        <w:tc>
          <w:tcPr>
            <w:tcW w:w="100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15"/>
                <w:szCs w:val="15"/>
                <w:color w:val="auto"/>
              </w:rPr>
              <w:t>+</w:t>
            </w:r>
          </w:p>
        </w:tc>
        <w:tc>
          <w:tcPr>
            <w:tcW w:w="10060" w:type="dxa"/>
            <w:vAlign w:val="bottom"/>
            <w:gridSpan w:val="2"/>
          </w:tcPr>
          <w:p>
            <w:pPr>
              <w:spacing w:after="0"/>
              <w:rPr>
                <w:sz w:val="20"/>
                <w:szCs w:val="20"/>
                <w:color w:val="auto"/>
              </w:rPr>
            </w:pPr>
            <w:r>
              <w:rPr>
                <w:rFonts w:ascii="Arial" w:cs="Arial" w:eastAsia="Arial" w:hAnsi="Arial"/>
                <w:sz w:val="18"/>
                <w:szCs w:val="18"/>
                <w:color w:val="auto"/>
              </w:rPr>
              <w:t>Employment Agreement between John Dawson and El Pollo Loco</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060" w:type="dxa"/>
            <w:vAlign w:val="bottom"/>
            <w:gridSpan w:val="2"/>
          </w:tcPr>
          <w:p>
            <w:pPr>
              <w:spacing w:after="0"/>
              <w:rPr>
                <w:sz w:val="20"/>
                <w:szCs w:val="20"/>
                <w:color w:val="auto"/>
              </w:rPr>
            </w:pPr>
            <w:r>
              <w:rPr>
                <w:rFonts w:ascii="Arial" w:cs="Arial" w:eastAsia="Arial" w:hAnsi="Arial"/>
                <w:sz w:val="18"/>
                <w:szCs w:val="18"/>
                <w:color w:val="auto"/>
                <w:w w:val="99"/>
              </w:rPr>
              <w:t>Form of Option Award Agreement (Fair Market Value Options) under 2014 Omnibus Equity Incentive Plan (Time Vesting Only)</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23"/>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Oxley Act of 2002</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117" w:lineRule="exact"/>
        <w:rPr>
          <w:sz w:val="20"/>
          <w:szCs w:val="20"/>
          <w:color w:val="auto"/>
        </w:rPr>
      </w:pPr>
    </w:p>
    <w:p>
      <w:pPr>
        <w:ind w:left="520" w:hanging="512"/>
        <w:spacing w:after="0" w:line="286"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57" w:lineRule="exact"/>
        <w:rPr>
          <w:sz w:val="20"/>
          <w:szCs w:val="20"/>
          <w:color w:val="auto"/>
        </w:rPr>
      </w:pPr>
    </w:p>
    <w:p>
      <w:pPr>
        <w:ind w:left="520" w:right="30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10.26 to the registrant’s Quarterly Report on Form 10-Q for the quarterly period ended March 30, 2016, filed on May 6, 2016, and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6320" w:type="dxa"/>
            <w:vAlign w:val="bottom"/>
          </w:tcPr>
          <w:p>
            <w:pPr>
              <w:spacing w:after="0"/>
              <w:rPr>
                <w:sz w:val="20"/>
                <w:szCs w:val="20"/>
                <w:color w:val="auto"/>
              </w:rPr>
            </w:pPr>
            <w:r>
              <w:rPr>
                <w:rFonts w:ascii="Arial" w:cs="Arial" w:eastAsia="Arial" w:hAnsi="Arial"/>
                <w:sz w:val="18"/>
                <w:szCs w:val="18"/>
                <w:color w:val="auto"/>
              </w:rPr>
              <w:t>August 4,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August 4,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Laurance Roberts</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10.27</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Initial FMV Options—Time Vesting Only</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US Employees Only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 POLLO LOCO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THIS AWARD AGREEMENT (this “</w:t>
      </w:r>
      <w:r>
        <w:rPr>
          <w:rFonts w:ascii="Arial" w:cs="Arial" w:eastAsia="Arial" w:hAnsi="Arial"/>
          <w:sz w:val="21"/>
          <w:szCs w:val="21"/>
          <w:b w:val="1"/>
          <w:bCs w:val="1"/>
          <w:color w:val="auto"/>
        </w:rPr>
        <w:t>Award Agreement</w:t>
      </w:r>
      <w:r>
        <w:rPr>
          <w:rFonts w:ascii="Arial" w:cs="Arial" w:eastAsia="Arial" w:hAnsi="Arial"/>
          <w:sz w:val="21"/>
          <w:szCs w:val="21"/>
          <w:color w:val="auto"/>
        </w:rPr>
        <w:t xml:space="preserve">”), is made effective as of </w:t>
      </w:r>
      <w:r>
        <w:rPr>
          <w:rFonts w:ascii="Arial" w:cs="Arial" w:eastAsia="Arial" w:hAnsi="Arial"/>
          <w:sz w:val="21"/>
          <w:szCs w:val="21"/>
          <w:i w:val="1"/>
          <w:iCs w:val="1"/>
          <w:color w:val="auto"/>
        </w:rPr>
        <w:t>[______ __]</w:t>
      </w:r>
      <w:r>
        <w:rPr>
          <w:rFonts w:ascii="Arial" w:cs="Arial" w:eastAsia="Arial" w:hAnsi="Arial"/>
          <w:sz w:val="21"/>
          <w:szCs w:val="21"/>
          <w:color w:val="auto"/>
        </w:rPr>
        <w:t>, 2016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Grant</w:t>
      </w:r>
      <w:r>
        <w:rPr>
          <w:rFonts w:ascii="Arial" w:cs="Arial" w:eastAsia="Arial" w:hAnsi="Arial"/>
          <w:sz w:val="22"/>
          <w:szCs w:val="22"/>
          <w:color w:val="auto"/>
        </w:rPr>
        <w:t>”), by and between El Pollo Loco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w:t>
      </w:r>
    </w:p>
    <w:p>
      <w:pPr>
        <w:spacing w:after="0"/>
        <w:rPr>
          <w:sz w:val="20"/>
          <w:szCs w:val="20"/>
          <w:color w:val="auto"/>
        </w:rPr>
      </w:pPr>
      <w:r>
        <w:rPr>
          <w:rFonts w:ascii="Arial" w:cs="Arial" w:eastAsia="Arial" w:hAnsi="Arial"/>
          <w:sz w:val="22"/>
          <w:szCs w:val="22"/>
          <w:color w:val="auto"/>
        </w:rPr>
        <w:t>_____________(the “</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06" w:lineRule="exact"/>
        <w:rPr>
          <w:sz w:val="20"/>
          <w:szCs w:val="20"/>
          <w:color w:val="auto"/>
        </w:rPr>
      </w:pPr>
    </w:p>
    <w:p>
      <w:pPr>
        <w:jc w:val="both"/>
        <w:ind w:right="80" w:firstLine="1755"/>
        <w:spacing w:after="0" w:line="258" w:lineRule="auto"/>
        <w:rPr>
          <w:sz w:val="20"/>
          <w:szCs w:val="20"/>
          <w:color w:val="auto"/>
        </w:rPr>
      </w:pPr>
      <w:r>
        <w:rPr>
          <w:rFonts w:ascii="Arial" w:cs="Arial" w:eastAsia="Arial" w:hAnsi="Arial"/>
          <w:sz w:val="21"/>
          <w:szCs w:val="21"/>
          <w:color w:val="auto"/>
        </w:rPr>
        <w:t>WHEREAS, the Company has adopted the El Pollo Loco Holdings, Inc. 2014 Omnibus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which Plan is incorporated herein by reference and made a part of this Award Agreement. Capitalized terms used but not otherwise defined herein shall have meanings ascribed to such terms in the Plan; and</w:t>
      </w:r>
    </w:p>
    <w:p>
      <w:pPr>
        <w:spacing w:after="0" w:line="167" w:lineRule="exact"/>
        <w:rPr>
          <w:sz w:val="20"/>
          <w:szCs w:val="20"/>
          <w:color w:val="auto"/>
        </w:rPr>
      </w:pPr>
    </w:p>
    <w:p>
      <w:pPr>
        <w:ind w:right="420" w:firstLine="1755"/>
        <w:spacing w:after="0" w:line="328" w:lineRule="auto"/>
        <w:rPr>
          <w:sz w:val="20"/>
          <w:szCs w:val="20"/>
          <w:color w:val="auto"/>
        </w:rPr>
      </w:pPr>
      <w:r>
        <w:rPr>
          <w:rFonts w:ascii="Arial" w:cs="Arial" w:eastAsia="Arial" w:hAnsi="Arial"/>
          <w:sz w:val="19"/>
          <w:szCs w:val="19"/>
          <w:color w:val="auto"/>
        </w:rPr>
        <w:t>WHEREAS, the Administrator has determined that it would be in the best interests of the Company and its stockholders to grant the Option provided for herein to the Participant pursuant to the Plan and the terms set forth herein.</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NOW THEREFORE, in consideration of the mutual covenants hereinafter set forth, the parties agree 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2" w:lineRule="exact"/>
        <w:rPr>
          <w:sz w:val="20"/>
          <w:szCs w:val="20"/>
          <w:color w:val="auto"/>
        </w:rPr>
      </w:pPr>
    </w:p>
    <w:p>
      <w:pPr>
        <w:ind w:right="200" w:firstLine="995"/>
        <w:spacing w:after="0" w:line="251" w:lineRule="auto"/>
        <w:tabs>
          <w:tab w:leader="none" w:pos="1797"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Grant of the Option</w:t>
      </w:r>
      <w:r>
        <w:rPr>
          <w:rFonts w:ascii="Arial" w:cs="Arial" w:eastAsia="Arial" w:hAnsi="Arial"/>
          <w:sz w:val="21"/>
          <w:szCs w:val="21"/>
          <w:color w:val="auto"/>
        </w:rPr>
        <w:t>. The Company hereby grants to the Participant the right and option (the “</w:t>
      </w:r>
      <w:r>
        <w:rPr>
          <w:rFonts w:ascii="Arial" w:cs="Arial" w:eastAsia="Arial" w:hAnsi="Arial"/>
          <w:sz w:val="21"/>
          <w:szCs w:val="21"/>
          <w:b w:val="1"/>
          <w:bCs w:val="1"/>
          <w:color w:val="auto"/>
        </w:rPr>
        <w:t>Option</w:t>
      </w:r>
      <w:r>
        <w:rPr>
          <w:rFonts w:ascii="Arial" w:cs="Arial" w:eastAsia="Arial" w:hAnsi="Arial"/>
          <w:sz w:val="21"/>
          <w:szCs w:val="21"/>
          <w:color w:val="auto"/>
        </w:rPr>
        <w:t>”) to purchase, on the terms and conditions hereinafter set forth, all or any part of an aggregate of [___________] shares of Common Stock (each a “</w:t>
      </w:r>
      <w:r>
        <w:rPr>
          <w:rFonts w:ascii="Arial" w:cs="Arial" w:eastAsia="Arial" w:hAnsi="Arial"/>
          <w:sz w:val="21"/>
          <w:szCs w:val="21"/>
          <w:b w:val="1"/>
          <w:bCs w:val="1"/>
          <w:color w:val="auto"/>
        </w:rPr>
        <w:t>Share</w:t>
      </w:r>
      <w:r>
        <w:rPr>
          <w:rFonts w:ascii="Arial" w:cs="Arial" w:eastAsia="Arial" w:hAnsi="Arial"/>
          <w:sz w:val="21"/>
          <w:szCs w:val="21"/>
          <w:color w:val="auto"/>
        </w:rPr>
        <w:t>” and collectively, the “</w:t>
      </w:r>
      <w:r>
        <w:rPr>
          <w:rFonts w:ascii="Arial" w:cs="Arial" w:eastAsia="Arial" w:hAnsi="Arial"/>
          <w:sz w:val="21"/>
          <w:szCs w:val="21"/>
          <w:b w:val="1"/>
          <w:bCs w:val="1"/>
          <w:color w:val="auto"/>
        </w:rPr>
        <w:t>Shares</w:t>
      </w:r>
      <w:r>
        <w:rPr>
          <w:rFonts w:ascii="Arial" w:cs="Arial" w:eastAsia="Arial" w:hAnsi="Arial"/>
          <w:sz w:val="21"/>
          <w:szCs w:val="21"/>
          <w:color w:val="auto"/>
        </w:rPr>
        <w:t xml:space="preserve">”). The purchase price of the Shares subject to the Option shall be equal to </w:t>
      </w:r>
      <w:r>
        <w:rPr>
          <w:rFonts w:ascii="Arial" w:cs="Arial" w:eastAsia="Arial" w:hAnsi="Arial"/>
          <w:sz w:val="21"/>
          <w:szCs w:val="21"/>
          <w:b w:val="1"/>
          <w:bCs w:val="1"/>
          <w:color w:val="auto"/>
        </w:rPr>
        <w:t xml:space="preserve">$[____] </w:t>
      </w:r>
      <w:r>
        <w:rPr>
          <w:rFonts w:ascii="Arial" w:cs="Arial" w:eastAsia="Arial" w:hAnsi="Arial"/>
          <w:sz w:val="21"/>
          <w:szCs w:val="21"/>
          <w:color w:val="auto"/>
        </w:rPr>
        <w:t>per Share as of the Date of Grant (the “</w:t>
      </w:r>
      <w:r>
        <w:rPr>
          <w:rFonts w:ascii="Arial" w:cs="Arial" w:eastAsia="Arial" w:hAnsi="Arial"/>
          <w:sz w:val="21"/>
          <w:szCs w:val="21"/>
          <w:b w:val="1"/>
          <w:bCs w:val="1"/>
          <w:color w:val="auto"/>
        </w:rPr>
        <w:t>Option Price</w:t>
      </w:r>
      <w:r>
        <w:rPr>
          <w:rFonts w:ascii="Arial" w:cs="Arial" w:eastAsia="Arial" w:hAnsi="Arial"/>
          <w:sz w:val="21"/>
          <w:szCs w:val="21"/>
          <w:color w:val="auto"/>
        </w:rPr>
        <w:t>”). The Option is intended to be a non-qualified stock option, and is</w:t>
      </w:r>
      <w:r>
        <w:rPr>
          <w:rFonts w:ascii="Arial" w:cs="Arial" w:eastAsia="Arial" w:hAnsi="Arial"/>
          <w:sz w:val="21"/>
          <w:szCs w:val="21"/>
          <w:b w:val="1"/>
          <w:bCs w:val="1"/>
          <w:color w:val="auto"/>
        </w:rPr>
        <w:t xml:space="preserve"> </w:t>
      </w:r>
      <w:r>
        <w:rPr>
          <w:rFonts w:ascii="Arial" w:cs="Arial" w:eastAsia="Arial" w:hAnsi="Arial"/>
          <w:sz w:val="21"/>
          <w:szCs w:val="21"/>
          <w:color w:val="auto"/>
        </w:rPr>
        <w:t>not intended to be treated as an option that complies with Section 422 of the Code.</w:t>
      </w:r>
    </w:p>
    <w:p>
      <w:pPr>
        <w:spacing w:after="0" w:line="174" w:lineRule="exact"/>
        <w:rPr>
          <w:rFonts w:ascii="Arial" w:cs="Arial" w:eastAsia="Arial" w:hAnsi="Arial"/>
          <w:sz w:val="21"/>
          <w:szCs w:val="21"/>
          <w:color w:val="auto"/>
        </w:rPr>
      </w:pPr>
    </w:p>
    <w:p>
      <w:pPr>
        <w:ind w:right="440" w:firstLine="995"/>
        <w:spacing w:after="0" w:line="238" w:lineRule="auto"/>
        <w:tabs>
          <w:tab w:leader="none" w:pos="1797"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Option granted hereunder shall vest and become exercisable with the passage of time. The Option shall vest and become exercisable in four (4) equal installments on each of the first four (4) anniversaries of the Date of Grant. Any portion of the Option which has become vested and exercisable in accordance with this section shall hereinafter be referred to as the “</w:t>
      </w:r>
      <w:r>
        <w:rPr>
          <w:rFonts w:ascii="Arial" w:cs="Arial" w:eastAsia="Arial" w:hAnsi="Arial"/>
          <w:sz w:val="22"/>
          <w:szCs w:val="22"/>
          <w:b w:val="1"/>
          <w:bCs w:val="1"/>
          <w:color w:val="auto"/>
        </w:rPr>
        <w:t>Vested Portion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800" w:hanging="805"/>
        <w:spacing w:after="0"/>
        <w:tabs>
          <w:tab w:leader="none" w:pos="180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0" w:firstLine="885"/>
        <w:spacing w:after="0" w:line="328" w:lineRule="auto"/>
        <w:tabs>
          <w:tab w:leader="none" w:pos="1765"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Period of Exercise</w:t>
      </w:r>
      <w:r>
        <w:rPr>
          <w:rFonts w:ascii="Arial" w:cs="Arial" w:eastAsia="Arial" w:hAnsi="Arial"/>
          <w:sz w:val="19"/>
          <w:szCs w:val="19"/>
          <w:color w:val="auto"/>
        </w:rPr>
        <w:t>. Subject to the provisions of the Plan and this Award Agreement, the Participant may exercise all or any part of the Vested Portion of the Option at any time prior to the earliest to occur of:</w:t>
      </w:r>
    </w:p>
    <w:p>
      <w:pPr>
        <w:spacing w:after="0" w:line="105" w:lineRule="exact"/>
        <w:rPr>
          <w:rFonts w:ascii="Arial" w:cs="Arial" w:eastAsia="Arial" w:hAnsi="Arial"/>
          <w:sz w:val="19"/>
          <w:szCs w:val="19"/>
          <w:color w:val="auto"/>
        </w:rPr>
      </w:pPr>
    </w:p>
    <w:p>
      <w:pPr>
        <w:ind w:left="2620" w:hanging="857"/>
        <w:spacing w:after="0"/>
        <w:tabs>
          <w:tab w:leader="none" w:pos="2620" w:val="left"/>
        </w:tabs>
        <w:numPr>
          <w:ilvl w:val="2"/>
          <w:numId w:val="17"/>
        </w:numPr>
        <w:rPr>
          <w:rFonts w:ascii="Arial" w:cs="Arial" w:eastAsia="Arial" w:hAnsi="Arial"/>
          <w:sz w:val="22"/>
          <w:szCs w:val="22"/>
          <w:color w:val="auto"/>
        </w:rPr>
      </w:pPr>
      <w:r>
        <w:rPr>
          <w:rFonts w:ascii="Arial" w:cs="Arial" w:eastAsia="Arial" w:hAnsi="Arial"/>
          <w:sz w:val="22"/>
          <w:szCs w:val="22"/>
          <w:color w:val="auto"/>
        </w:rPr>
        <w:t>the tenth (10</w:t>
      </w:r>
      <w:r>
        <w:rPr>
          <w:rFonts w:ascii="Arial" w:cs="Arial" w:eastAsia="Arial" w:hAnsi="Arial"/>
          <w:sz w:val="18"/>
          <w:szCs w:val="18"/>
          <w:color w:val="auto"/>
        </w:rPr>
        <w:t>th</w:t>
      </w:r>
      <w:r>
        <w:rPr>
          <w:rFonts w:ascii="Arial" w:cs="Arial" w:eastAsia="Arial" w:hAnsi="Arial"/>
          <w:sz w:val="22"/>
          <w:szCs w:val="22"/>
          <w:color w:val="auto"/>
        </w:rPr>
        <w:t>) anniversary of the Date of Grant; or</w:t>
      </w:r>
    </w:p>
    <w:p>
      <w:pPr>
        <w:spacing w:after="0" w:line="206" w:lineRule="exact"/>
        <w:rPr>
          <w:rFonts w:ascii="Arial" w:cs="Arial" w:eastAsia="Arial" w:hAnsi="Arial"/>
          <w:sz w:val="22"/>
          <w:szCs w:val="22"/>
          <w:color w:val="auto"/>
        </w:rPr>
      </w:pPr>
    </w:p>
    <w:p>
      <w:pPr>
        <w:ind w:right="320" w:firstLine="1763"/>
        <w:spacing w:after="0" w:line="251" w:lineRule="auto"/>
        <w:tabs>
          <w:tab w:leader="none" w:pos="2667" w:val="left"/>
        </w:tabs>
        <w:numPr>
          <w:ilvl w:val="2"/>
          <w:numId w:val="17"/>
        </w:numPr>
        <w:rPr>
          <w:rFonts w:ascii="Arial" w:cs="Arial" w:eastAsia="Arial" w:hAnsi="Arial"/>
          <w:sz w:val="22"/>
          <w:szCs w:val="22"/>
          <w:color w:val="auto"/>
        </w:rPr>
      </w:pPr>
      <w:r>
        <w:rPr>
          <w:rFonts w:ascii="Arial" w:cs="Arial" w:eastAsia="Arial" w:hAnsi="Arial"/>
          <w:sz w:val="22"/>
          <w:szCs w:val="22"/>
          <w:color w:val="auto"/>
        </w:rPr>
        <w:t>ninety (90) days following the date of the Participant’s termination of employment for any reason other than for Cause or due to the Participant’s death or Disability;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ind w:right="760" w:firstLine="1763"/>
        <w:spacing w:after="0" w:line="251" w:lineRule="auto"/>
        <w:tabs>
          <w:tab w:leader="none" w:pos="2727" w:val="left"/>
        </w:tabs>
        <w:numPr>
          <w:ilvl w:val="0"/>
          <w:numId w:val="18"/>
        </w:numPr>
        <w:rPr>
          <w:rFonts w:ascii="Arial" w:cs="Arial" w:eastAsia="Arial" w:hAnsi="Arial"/>
          <w:sz w:val="22"/>
          <w:szCs w:val="22"/>
          <w:color w:val="auto"/>
        </w:rPr>
      </w:pPr>
      <w:r>
        <w:rPr>
          <w:rFonts w:ascii="Arial" w:cs="Arial" w:eastAsia="Arial" w:hAnsi="Arial"/>
          <w:sz w:val="22"/>
          <w:szCs w:val="22"/>
          <w:color w:val="auto"/>
        </w:rPr>
        <w:t>six (6) months following the date of the Participant’s termination of employment due to the Participant’s death or Disability.</w:t>
      </w:r>
    </w:p>
    <w:p>
      <w:pPr>
        <w:spacing w:after="0" w:line="173"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The entire Option (whether vested or unvested) held by a Participant immediately prior to the cessation of the Participant’s employment shall immediately terminate upon such cessation if such cessation of employment was for Cause.</w:t>
      </w:r>
    </w:p>
    <w:p>
      <w:pPr>
        <w:spacing w:after="0" w:line="105" w:lineRule="exact"/>
        <w:rPr>
          <w:sz w:val="20"/>
          <w:szCs w:val="20"/>
          <w:color w:val="auto"/>
        </w:rPr>
      </w:pPr>
    </w:p>
    <w:p>
      <w:pPr>
        <w:ind w:left="1780" w:hanging="895"/>
        <w:spacing w:after="0"/>
        <w:tabs>
          <w:tab w:leader="none" w:pos="17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0" w:firstLine="1763"/>
        <w:spacing w:after="0" w:line="236" w:lineRule="auto"/>
        <w:tabs>
          <w:tab w:leader="none" w:pos="2607" w:val="left"/>
        </w:tabs>
        <w:numPr>
          <w:ilvl w:val="1"/>
          <w:numId w:val="19"/>
        </w:numPr>
        <w:rPr>
          <w:rFonts w:ascii="Arial" w:cs="Arial" w:eastAsia="Arial" w:hAnsi="Arial"/>
          <w:sz w:val="22"/>
          <w:szCs w:val="22"/>
          <w:color w:val="auto"/>
        </w:rPr>
      </w:pPr>
      <w:r>
        <w:rPr>
          <w:rFonts w:ascii="Arial" w:cs="Arial" w:eastAsia="Arial" w:hAnsi="Arial"/>
          <w:sz w:val="22"/>
          <w:szCs w:val="22"/>
          <w:color w:val="auto"/>
        </w:rPr>
        <w:t>Each election to exercise the Vested Portion shall be subject to the terms and conditions of the Plan and shall be in writing, signed by the Participant or by his or her executor, administrator, or permitted transferee (subject to any restrictions provided under the Plan), made pursuant to and in accordance with the terms and conditions set forth in the Plan and received by the Company at its principal offices, accompanied by payment in full as provided in the Plan or in this Award Agreement.</w:t>
      </w:r>
    </w:p>
    <w:p>
      <w:pPr>
        <w:spacing w:after="0" w:line="187" w:lineRule="exact"/>
        <w:rPr>
          <w:rFonts w:ascii="Arial" w:cs="Arial" w:eastAsia="Arial" w:hAnsi="Arial"/>
          <w:sz w:val="22"/>
          <w:szCs w:val="22"/>
          <w:color w:val="auto"/>
        </w:rPr>
      </w:pPr>
    </w:p>
    <w:p>
      <w:pPr>
        <w:ind w:firstLine="1763"/>
        <w:spacing w:after="0" w:line="249" w:lineRule="auto"/>
        <w:tabs>
          <w:tab w:leader="none" w:pos="2667"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Option Price may be paid by (A) the delivery of cash or check acceptable to the Administrator, including an amount to cover the minimum statutory withholding taxes with respect to such exercise, or (B) any other method, if any, approved by the Administrator, including (X by means of consideration received under any cashless exercise procedure, if any, approved by the Administrator (including the withholding of Shares otherwise issuable upon exercise) or (Y) any other form of consideration approved by the Administrator and permitted by Applicable Laws.</w:t>
      </w:r>
    </w:p>
    <w:p>
      <w:pPr>
        <w:spacing w:after="0" w:line="178" w:lineRule="exact"/>
        <w:rPr>
          <w:rFonts w:ascii="Arial" w:cs="Arial" w:eastAsia="Arial" w:hAnsi="Arial"/>
          <w:sz w:val="21"/>
          <w:szCs w:val="21"/>
          <w:color w:val="auto"/>
        </w:rPr>
      </w:pPr>
    </w:p>
    <w:p>
      <w:pPr>
        <w:ind w:firstLine="885"/>
        <w:spacing w:after="0" w:line="279" w:lineRule="auto"/>
        <w:tabs>
          <w:tab w:leader="none" w:pos="1765"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Notwithstanding any of the foregoing, the Company shall have the right to specify all conditions of the manner of exercise, which conditions may vary by country and which may be subject to change from time to time. Upon the Company’s determination that the Vested Portion of the Option has been validly exercised as to any of the Shares, the Company may issue certificates in the Participant’s name for such Shares. However, the Company shall not be liable to the Participant for damages relating to any reasonable delays in issuing the certificates to such Participant, any loss of the certificates, or any mistakes or errors in the issuance of the certificates or in the certificates themselves which it promptly undertakes to correct.</w:t>
      </w:r>
    </w:p>
    <w:p>
      <w:pPr>
        <w:spacing w:after="0" w:line="151"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(d) In the event of the Participant’s death, the Option shall remain exercisable by the Participant’s executor or administrator, or the person or persons to whom the Participant’s rights under this Award Agreement shall pass by will or by the laws of descent and distribution as the case may be, to the extent set forth in Section 3(a). Any heir or legatee of the Participant shall take rights herein granted subject to the terms and conditions hereof.</w:t>
      </w:r>
    </w:p>
    <w:p>
      <w:pPr>
        <w:spacing w:after="0" w:line="185" w:lineRule="exact"/>
        <w:rPr>
          <w:sz w:val="20"/>
          <w:szCs w:val="20"/>
          <w:color w:val="auto"/>
        </w:rPr>
      </w:pPr>
    </w:p>
    <w:p>
      <w:pPr>
        <w:ind w:left="1800" w:hanging="805"/>
        <w:spacing w:after="0"/>
        <w:tabs>
          <w:tab w:leader="none" w:pos="180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i w:val="1"/>
          <w:iCs w:val="1"/>
          <w:color w:val="auto"/>
        </w:rPr>
        <w:t>.</w:t>
      </w:r>
    </w:p>
    <w:p>
      <w:pPr>
        <w:spacing w:after="0" w:line="206" w:lineRule="exact"/>
        <w:rPr>
          <w:rFonts w:ascii="Arial" w:cs="Arial" w:eastAsia="Arial" w:hAnsi="Arial"/>
          <w:sz w:val="22"/>
          <w:szCs w:val="22"/>
          <w:color w:val="auto"/>
        </w:rPr>
      </w:pPr>
    </w:p>
    <w:p>
      <w:pPr>
        <w:ind w:right="140" w:firstLine="885"/>
        <w:spacing w:after="0"/>
        <w:tabs>
          <w:tab w:leader="none" w:pos="1765"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If the Participant’s employment is terminated for any reason, the Option shall, to the extent not then vested, terminate upon such termination of employment and the Vested Portion of the Option shall remain exercisable for the period set forth in Section 3(a) and shall thereafter terminate.</w:t>
      </w:r>
    </w:p>
    <w:p>
      <w:pPr>
        <w:spacing w:after="0" w:line="186" w:lineRule="exact"/>
        <w:rPr>
          <w:rFonts w:ascii="Arial" w:cs="Arial" w:eastAsia="Arial" w:hAnsi="Arial"/>
          <w:sz w:val="22"/>
          <w:szCs w:val="22"/>
          <w:color w:val="auto"/>
        </w:rPr>
      </w:pPr>
    </w:p>
    <w:p>
      <w:pPr>
        <w:ind w:right="920" w:firstLine="885"/>
        <w:spacing w:after="0" w:line="251" w:lineRule="auto"/>
        <w:tabs>
          <w:tab w:leader="none" w:pos="177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For Cause</w:t>
      </w:r>
      <w:r>
        <w:rPr>
          <w:rFonts w:ascii="Arial" w:cs="Arial" w:eastAsia="Arial" w:hAnsi="Arial"/>
          <w:sz w:val="22"/>
          <w:szCs w:val="22"/>
          <w:color w:val="auto"/>
        </w:rPr>
        <w:t>. The Option (including any Vested Portion thereof) shall terminate immediately upon the Participant’s termination of employment for Cause.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6" w:name="page37"/>
    <w:bookmarkEnd w:id="36"/>
    <w:p>
      <w:pPr>
        <w:jc w:val="both"/>
        <w:ind w:left="-60" w:right="200" w:firstLine="995"/>
        <w:spacing w:after="0"/>
        <w:tabs>
          <w:tab w:leader="none" w:pos="173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Conditions to Issuance of Stock Certificates</w:t>
      </w:r>
      <w:r>
        <w:rPr>
          <w:rFonts w:ascii="Arial" w:cs="Arial" w:eastAsia="Arial" w:hAnsi="Arial"/>
          <w:sz w:val="22"/>
          <w:szCs w:val="22"/>
          <w:color w:val="auto"/>
        </w:rPr>
        <w:t>. The Shares deliverable upon the exercise of the Option, or any portion thereof, may be either previously authorized but unissued Shares, treasury Shares or issued Shares which have then been reacquired by the Company. Such Shares shall be fully paid and nonassessable.</w:t>
      </w:r>
    </w:p>
    <w:p>
      <w:pPr>
        <w:spacing w:after="0" w:line="186" w:lineRule="exact"/>
        <w:rPr>
          <w:rFonts w:ascii="Arial" w:cs="Arial" w:eastAsia="Arial" w:hAnsi="Arial"/>
          <w:sz w:val="22"/>
          <w:szCs w:val="22"/>
          <w:color w:val="auto"/>
        </w:rPr>
      </w:pPr>
    </w:p>
    <w:p>
      <w:pPr>
        <w:ind w:left="-60" w:firstLine="995"/>
        <w:spacing w:after="0"/>
        <w:tabs>
          <w:tab w:leader="none" w:pos="173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xml:space="preserve"> The granting of the Option evidenced hereby and this Award Agreement shall impose no obligation on the Company or any Affiliate to continue the employment of the Participant and shall not lessen or affect the Company’s or any Affiliate’s right to terminate the employment of such Participant.</w:t>
      </w:r>
    </w:p>
    <w:p>
      <w:pPr>
        <w:spacing w:after="0" w:line="186" w:lineRule="exact"/>
        <w:rPr>
          <w:rFonts w:ascii="Arial" w:cs="Arial" w:eastAsia="Arial" w:hAnsi="Arial"/>
          <w:sz w:val="22"/>
          <w:szCs w:val="22"/>
          <w:color w:val="auto"/>
        </w:rPr>
      </w:pPr>
    </w:p>
    <w:p>
      <w:pPr>
        <w:ind w:left="-60" w:firstLine="995"/>
        <w:spacing w:after="0" w:line="249" w:lineRule="auto"/>
        <w:tabs>
          <w:tab w:leader="none" w:pos="1737"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Legend on Certificates</w:t>
      </w:r>
      <w:r>
        <w:rPr>
          <w:rFonts w:ascii="Arial" w:cs="Arial" w:eastAsia="Arial" w:hAnsi="Arial"/>
          <w:sz w:val="21"/>
          <w:szCs w:val="21"/>
          <w:color w:val="auto"/>
        </w:rPr>
        <w:t>. The certificates representing the Shares purchased by exercise of the Vested Portion shall be subject to such stop transfer orders and other restrictions as the Administrator reasonably deem advisable under the Plan or the rules, regulations, and other requirements of the Securities and Exchange Commission, any stock exchange upon which such Shares are listed, and any applicable Federal or state laws, and the Administrator may cause a legend or legends to be put on any such certificates to make appropriate reference to such restrictions.</w:t>
      </w:r>
    </w:p>
    <w:p>
      <w:pPr>
        <w:spacing w:after="0" w:line="178" w:lineRule="exact"/>
        <w:rPr>
          <w:rFonts w:ascii="Arial" w:cs="Arial" w:eastAsia="Arial" w:hAnsi="Arial"/>
          <w:sz w:val="21"/>
          <w:szCs w:val="21"/>
          <w:color w:val="auto"/>
        </w:rPr>
      </w:pPr>
    </w:p>
    <w:p>
      <w:pPr>
        <w:ind w:left="1740" w:hanging="805"/>
        <w:spacing w:after="0"/>
        <w:tabs>
          <w:tab w:leader="none" w:pos="174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0" w:right="80" w:firstLine="885"/>
        <w:spacing w:after="0" w:line="245" w:lineRule="auto"/>
        <w:tabs>
          <w:tab w:leader="none" w:pos="1705"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Option may not be assigned, alienated, pledged, attached, sold or otherwise transferred or encumbered by the Participant otherwise than by will or by the laws of descent and distribution, and any such purported assignment, alienation, pledge, attachment, sale, transfer or encumbrance in contravention of the foregoing shall be void and unenforceable against the Company or any Affiliate; provided, that the designation of a beneficiary shall not constitute an assignment, alienation, pledge, attachment, sale, transfer or encumbrance. No such permitted transfer of the Option to heirs or legatees of the Participant shall be effective to bind the Company unless the Administrator shall have been furnished with written notice thereof and a copy of such evidence as the Administrator may deem necessary to establish the validity of the transfer and the acceptance by the transferee or transferees of the terms and conditions hereof. During the Participant’s lifetime, the Vested Option is exercisable only by the Participant.</w:t>
      </w:r>
    </w:p>
    <w:p>
      <w:pPr>
        <w:spacing w:after="0" w:line="185" w:lineRule="exact"/>
        <w:rPr>
          <w:rFonts w:ascii="Arial" w:cs="Arial" w:eastAsia="Arial" w:hAnsi="Arial"/>
          <w:sz w:val="21"/>
          <w:szCs w:val="21"/>
          <w:color w:val="auto"/>
        </w:rPr>
      </w:pPr>
    </w:p>
    <w:p>
      <w:pPr>
        <w:ind w:left="-60" w:right="220" w:firstLine="885"/>
        <w:spacing w:after="0" w:line="248" w:lineRule="auto"/>
        <w:tabs>
          <w:tab w:leader="none" w:pos="1718"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Option shall not be liable for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Section 8(a) hereof.</w:t>
      </w:r>
    </w:p>
    <w:p>
      <w:pPr>
        <w:spacing w:after="0" w:line="177" w:lineRule="exact"/>
        <w:rPr>
          <w:rFonts w:ascii="Arial" w:cs="Arial" w:eastAsia="Arial" w:hAnsi="Arial"/>
          <w:sz w:val="21"/>
          <w:szCs w:val="21"/>
          <w:color w:val="auto"/>
        </w:rPr>
      </w:pPr>
    </w:p>
    <w:p>
      <w:pPr>
        <w:ind w:left="-60" w:right="100" w:firstLine="995"/>
        <w:spacing w:after="0" w:line="236" w:lineRule="auto"/>
        <w:tabs>
          <w:tab w:leader="none" w:pos="1737"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Subject to Section 3(b)(ii), the Participant may be required to pay to the Company or any Affiliate and the Company shall have the right and is hereby authorized to withhold from any payment due or transfer made under the Option or under the Plan or from any compensation or other amount owing to a Participant the amount (in cash, Shares, other securities or other property) of any applicable withholding taxes in respect of the Option, its exercise or any payment or transfer under or with respect to the Option or the Plan and to take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550" w:right="299" w:bottom="1440" w:gutter="0" w:footer="0" w:header="0"/>
        </w:sectPr>
      </w:pPr>
    </w:p>
    <w:bookmarkStart w:id="37" w:name="page38"/>
    <w:bookmarkEnd w:id="37"/>
    <w:p>
      <w:pPr>
        <w:ind w:right="820"/>
        <w:spacing w:after="0" w:line="251" w:lineRule="auto"/>
        <w:rPr>
          <w:sz w:val="20"/>
          <w:szCs w:val="20"/>
          <w:color w:val="auto"/>
        </w:rPr>
      </w:pPr>
      <w:r>
        <w:rPr>
          <w:rFonts w:ascii="Arial" w:cs="Arial" w:eastAsia="Arial" w:hAnsi="Arial"/>
          <w:sz w:val="22"/>
          <w:szCs w:val="22"/>
          <w:color w:val="auto"/>
        </w:rPr>
        <w:t>such other action as may be necessary in the opinion of the Administrator to satisfy all obligations for the payment of such withholding taxes.</w:t>
      </w:r>
    </w:p>
    <w:p>
      <w:pPr>
        <w:spacing w:after="0" w:line="173" w:lineRule="exact"/>
        <w:rPr>
          <w:sz w:val="20"/>
          <w:szCs w:val="20"/>
          <w:color w:val="auto"/>
        </w:rPr>
      </w:pPr>
    </w:p>
    <w:p>
      <w:pPr>
        <w:ind w:right="80" w:firstLine="995"/>
        <w:spacing w:after="0"/>
        <w:tabs>
          <w:tab w:leader="none" w:pos="190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The issuance of any Shares hereunder shall be subject to the Participant making or entering into such written representations, warranties and agreements as the Administrator may reasonably request in order to comply with applicable securities laws and government regulations.</w:t>
      </w:r>
    </w:p>
    <w:p>
      <w:pPr>
        <w:spacing w:after="0" w:line="186" w:lineRule="exact"/>
        <w:rPr>
          <w:rFonts w:ascii="Arial" w:cs="Arial" w:eastAsia="Arial" w:hAnsi="Arial"/>
          <w:sz w:val="22"/>
          <w:szCs w:val="22"/>
          <w:color w:val="auto"/>
        </w:rPr>
      </w:pPr>
    </w:p>
    <w:p>
      <w:pPr>
        <w:ind w:right="120" w:firstLine="995"/>
        <w:spacing w:after="0" w:line="287" w:lineRule="auto"/>
        <w:tabs>
          <w:tab w:leader="none" w:pos="1897"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necessary under this Award Agreement shall be addressed to the Company in care of its Vice President, Legal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143" w:lineRule="exact"/>
        <w:rPr>
          <w:rFonts w:ascii="Arial" w:cs="Arial" w:eastAsia="Arial" w:hAnsi="Arial"/>
          <w:sz w:val="19"/>
          <w:szCs w:val="19"/>
          <w:color w:val="auto"/>
        </w:rPr>
      </w:pPr>
    </w:p>
    <w:p>
      <w:pPr>
        <w:ind w:right="140" w:firstLine="995"/>
        <w:spacing w:after="0" w:line="245" w:lineRule="auto"/>
        <w:tabs>
          <w:tab w:leader="none" w:pos="1905"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w:t>
      </w:r>
      <w:r>
        <w:rPr>
          <w:rFonts w:ascii="Arial" w:cs="Arial" w:eastAsia="Arial" w:hAnsi="Arial"/>
          <w:sz w:val="21"/>
          <w:szCs w:val="21"/>
          <w:color w:val="auto"/>
        </w:rPr>
        <w:t>. This Award Agreement shall be governed by and construed and enforced in accordance with the laws of the State of Delaware applicable to contracts made and to be performed therein. Any suit, action or proceeding with respect to this Agreement, or any judgment entered by any court in respect of any thereof, shall be brought in any court of competent jurisdiction in the State of Delaware, and the Company and the Participant hereby submit to the exclusive jurisdiction of such courts for the purpose of any such suit, action, proceeding or judgment. The Participant and the Company hereby irrevocably waive (i) any objections which it may now or hereafter have to the laying of the venue of any suit, action or proceeding arising out of or relating to this Agreement brought in any court of competent jurisdiction in the State of Delaware, (ii) any claim that any such suit, action or proceeding brought in any such court has been brought in any inconvenient forum and (iii) any right to a jury trial.</w:t>
      </w:r>
    </w:p>
    <w:p>
      <w:pPr>
        <w:spacing w:after="0" w:line="185" w:lineRule="exact"/>
        <w:rPr>
          <w:rFonts w:ascii="Arial" w:cs="Arial" w:eastAsia="Arial" w:hAnsi="Arial"/>
          <w:sz w:val="21"/>
          <w:szCs w:val="21"/>
          <w:color w:val="auto"/>
        </w:rPr>
      </w:pPr>
    </w:p>
    <w:p>
      <w:pPr>
        <w:ind w:right="220" w:firstLine="995"/>
        <w:spacing w:after="0" w:line="287" w:lineRule="auto"/>
        <w:tabs>
          <w:tab w:leader="none" w:pos="1905"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Option Subject to Plan</w:t>
      </w:r>
      <w:r>
        <w:rPr>
          <w:rFonts w:ascii="Arial" w:cs="Arial" w:eastAsia="Arial" w:hAnsi="Arial"/>
          <w:sz w:val="19"/>
          <w:szCs w:val="19"/>
          <w:color w:val="auto"/>
        </w:rPr>
        <w:t xml:space="preserve">. By entering into this Agreement, the Participant agrees and acknowledges that the Participant has received and read a copy of the Plan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Option is subject to the Plan, as may be amended from time to time, and the terms and provisions of the Plan are hereby incorporated herein by reference. In the event of any inconsistency between the Plan and this Agreement, the terms of the Plan shall control.</w:t>
      </w:r>
    </w:p>
    <w:p>
      <w:pPr>
        <w:spacing w:after="0" w:line="143" w:lineRule="exact"/>
        <w:rPr>
          <w:rFonts w:ascii="Arial" w:cs="Arial" w:eastAsia="Arial" w:hAnsi="Arial"/>
          <w:sz w:val="19"/>
          <w:szCs w:val="19"/>
          <w:color w:val="auto"/>
        </w:rPr>
      </w:pPr>
    </w:p>
    <w:p>
      <w:pPr>
        <w:jc w:val="both"/>
        <w:ind w:right="160" w:firstLine="995"/>
        <w:spacing w:after="0" w:line="287" w:lineRule="auto"/>
        <w:tabs>
          <w:tab w:leader="none" w:pos="1905"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the terms of this Agreement be exempt from or comply with Section 409A of the Code. If it is determined that the terms of this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Participant’s economic rights.</w:t>
      </w:r>
    </w:p>
    <w:p>
      <w:pPr>
        <w:spacing w:after="0" w:line="143" w:lineRule="exact"/>
        <w:rPr>
          <w:rFonts w:ascii="Arial" w:cs="Arial" w:eastAsia="Arial" w:hAnsi="Arial"/>
          <w:sz w:val="19"/>
          <w:szCs w:val="19"/>
          <w:color w:val="auto"/>
        </w:rPr>
      </w:pPr>
    </w:p>
    <w:p>
      <w:pPr>
        <w:ind w:firstLine="995"/>
        <w:spacing w:after="0" w:line="251" w:lineRule="auto"/>
        <w:tabs>
          <w:tab w:leader="none" w:pos="190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173" w:lineRule="exact"/>
        <w:rPr>
          <w:rFonts w:ascii="Arial" w:cs="Arial" w:eastAsia="Arial" w:hAnsi="Arial"/>
          <w:sz w:val="22"/>
          <w:szCs w:val="22"/>
          <w:color w:val="auto"/>
        </w:rPr>
      </w:pPr>
    </w:p>
    <w:p>
      <w:pPr>
        <w:ind w:right="680" w:firstLine="995"/>
        <w:spacing w:after="0" w:line="251" w:lineRule="auto"/>
        <w:tabs>
          <w:tab w:leader="none" w:pos="190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Amendments and Termination</w:t>
      </w:r>
      <w:r>
        <w:rPr>
          <w:rFonts w:ascii="Arial" w:cs="Arial" w:eastAsia="Arial" w:hAnsi="Arial"/>
          <w:sz w:val="22"/>
          <w:szCs w:val="22"/>
          <w:color w:val="auto"/>
        </w:rPr>
        <w:t>. To the extent permitted by the Plan, this Agreement may be wholly or partially amended, altered or terminated at any time or from time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8" w:name="page39"/>
    <w:bookmarkEnd w:id="38"/>
    <w:p>
      <w:pPr>
        <w:ind w:right="60"/>
        <w:spacing w:after="0" w:line="251" w:lineRule="auto"/>
        <w:rPr>
          <w:sz w:val="20"/>
          <w:szCs w:val="20"/>
          <w:color w:val="auto"/>
        </w:rPr>
      </w:pPr>
      <w:r>
        <w:rPr>
          <w:rFonts w:ascii="Arial" w:cs="Arial" w:eastAsia="Arial" w:hAnsi="Arial"/>
          <w:sz w:val="22"/>
          <w:szCs w:val="22"/>
          <w:color w:val="auto"/>
        </w:rPr>
        <w:t>to time by the Administrator or the Board, but no amendment, alteration or termination shall be made that would materially impair the rights of an Participant under the Option without such Participant’s consent.</w:t>
      </w:r>
    </w:p>
    <w:p>
      <w:pPr>
        <w:spacing w:after="0" w:line="173" w:lineRule="exact"/>
        <w:rPr>
          <w:sz w:val="20"/>
          <w:szCs w:val="20"/>
          <w:color w:val="auto"/>
        </w:rPr>
      </w:pPr>
    </w:p>
    <w:p>
      <w:pPr>
        <w:jc w:val="both"/>
        <w:ind w:right="180" w:firstLine="995"/>
        <w:spacing w:after="0"/>
        <w:tabs>
          <w:tab w:leader="none" w:pos="190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Plan and this Agreement (including all Exhibits thereto, if any) constitute the entire agreement of the parties and supersede in their entirety all prior undertakings and agreements of the Company and the Participant with respect to the subject matter hereof.</w:t>
      </w:r>
    </w:p>
    <w:p>
      <w:pPr>
        <w:spacing w:after="0" w:line="186" w:lineRule="exact"/>
        <w:rPr>
          <w:rFonts w:ascii="Arial" w:cs="Arial" w:eastAsia="Arial" w:hAnsi="Arial"/>
          <w:sz w:val="22"/>
          <w:szCs w:val="22"/>
          <w:color w:val="auto"/>
        </w:rPr>
      </w:pPr>
    </w:p>
    <w:p>
      <w:pPr>
        <w:ind w:firstLine="995"/>
        <w:spacing w:after="0" w:line="282" w:lineRule="auto"/>
        <w:tabs>
          <w:tab w:leader="none" w:pos="190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Electronic Signature; Electronic Delivery and Acceptance</w:t>
      </w:r>
      <w:r>
        <w:rPr>
          <w:rFonts w:ascii="Arial" w:cs="Arial" w:eastAsia="Arial" w:hAnsi="Arial"/>
          <w:sz w:val="19"/>
          <w:szCs w:val="19"/>
          <w:color w:val="auto"/>
        </w:rPr>
        <w:t>. The Participant’s electronic signature of this Agreement shall have the same validity and effect as a signature affixed by hand. The Company may, in its sole discretion, decide to deliver any documents related to the Participant’s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rFonts w:ascii="Arial" w:cs="Arial" w:eastAsia="Arial" w:hAnsi="Arial"/>
          <w:sz w:val="19"/>
          <w:szCs w:val="19"/>
          <w:color w:val="auto"/>
        </w:rPr>
      </w:pPr>
    </w:p>
    <w:p>
      <w:pPr>
        <w:ind w:right="120" w:firstLine="995"/>
        <w:spacing w:after="0"/>
        <w:tabs>
          <w:tab w:leader="none" w:pos="190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Participant acknowledges that a waiver by the Company of a breach of any provision of this Agreement shall not operate or be construed as a waiver of any other provision of this Agreement, or of any subsequent breach by the Participant.</w:t>
      </w:r>
    </w:p>
    <w:p>
      <w:pPr>
        <w:spacing w:after="0" w:line="186" w:lineRule="exact"/>
        <w:rPr>
          <w:rFonts w:ascii="Arial" w:cs="Arial" w:eastAsia="Arial" w:hAnsi="Arial"/>
          <w:sz w:val="22"/>
          <w:szCs w:val="22"/>
          <w:color w:val="auto"/>
        </w:rPr>
      </w:pPr>
    </w:p>
    <w:p>
      <w:pPr>
        <w:ind w:right="20" w:firstLine="995"/>
        <w:spacing w:after="0"/>
        <w:tabs>
          <w:tab w:leader="none" w:pos="190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-1694180</wp:posOffset>
            </wp:positionV>
            <wp:extent cx="34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IN WITNESS WHEREOF, the parties hereto have executed this Award Agreement as of the date and year first above written.</w:t>
      </w:r>
    </w:p>
    <w:p>
      <w:pPr>
        <w:sectPr>
          <w:pgSz w:w="11900" w:h="16838" w:orient="portrait"/>
          <w:cols w:equalWidth="0" w:num="1">
            <w:col w:w="10880"/>
          </w:cols>
          <w:pgMar w:left="240" w:top="55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EL POLLO LOCO HOLDINGS,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____________________________________</w:t>
      </w:r>
    </w:p>
    <w:p>
      <w:pPr>
        <w:spacing w:after="0" w:line="33"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w:t>
      </w:r>
    </w:p>
    <w:p>
      <w:pPr>
        <w:ind w:left="6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550" w:right="779" w:bottom="1440" w:gutter="0" w:footer="0" w:header="0"/>
          <w:type w:val="continuous"/>
        </w:sectPr>
      </w:pPr>
    </w:p>
    <w:bookmarkStart w:id="40" w:name="page41"/>
    <w:bookmarkEnd w:id="40"/>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El Pollo Loco Holdings, Inc. 2014 Omnibus Equity Incentive Plan</w:t>
      </w:r>
    </w:p>
    <w:p>
      <w:pPr>
        <w:sectPr>
          <w:pgSz w:w="11900" w:h="16838" w:orient="portrait"/>
          <w:cols w:equalWidth="0" w:num="1">
            <w:col w:w="9019"/>
          </w:cols>
          <w:pgMar w:left="1440" w:top="328"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7"/>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25"/>
    </w:lvl>
  </w:abstractNum>
  <w:abstractNum w:abstractNumId="11">
    <w:nsid w:val="2443A858"/>
    <w:multiLevelType w:val="hybridMultilevel"/>
    <w:lvl w:ilvl="0">
      <w:lvlJc w:val="left"/>
      <w:lvlText w:val="(%1)"/>
      <w:numFmt w:val="lowerRoman"/>
      <w:start w:val="5"/>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4353D0CD"/>
    <w:multiLevelType w:val="hybridMultilevel"/>
    <w:lvl w:ilvl="0">
      <w:lvlJc w:val="left"/>
      <w:lvlText w:val="(%1)"/>
      <w:numFmt w:val="lowerRoman"/>
      <w:start w:val="3"/>
    </w:lvl>
  </w:abstractNum>
  <w:abstractNum w:abstractNumId="18">
    <w:nsid w:val="B03E0C6"/>
    <w:multiLevelType w:val="hybridMultilevel"/>
    <w:lvl w:ilvl="0">
      <w:lvlJc w:val="left"/>
      <w:lvlText w:val="(%1)"/>
      <w:numFmt w:val="lowerLetter"/>
      <w:start w:val="2"/>
    </w:lvl>
    <w:lvl w:ilvl="1">
      <w:lvlJc w:val="left"/>
      <w:lvlText w:val="(%2)"/>
      <w:numFmt w:val="lowerRoman"/>
      <w:start w:val="1"/>
    </w:lvl>
  </w:abstractNum>
  <w:abstractNum w:abstractNumId="19">
    <w:nsid w:val="189A769B"/>
    <w:multiLevelType w:val="hybridMultilevel"/>
    <w:lvl w:ilvl="0">
      <w:lvlJc w:val="left"/>
      <w:lvlText w:val="%1"/>
      <w:numFmt w:val="lowerLetter"/>
      <w:start w:val="1"/>
    </w:lvl>
    <w:lvl w:ilvl="1">
      <w:lvlJc w:val="left"/>
      <w:lvlText w:val="%2."/>
      <w:numFmt w:val="decimal"/>
      <w:start w:val="4"/>
    </w:lvl>
  </w:abstractNum>
  <w:abstractNum w:abstractNumId="20">
    <w:nsid w:val="54E49EB4"/>
    <w:multiLevelType w:val="hybridMultilevel"/>
    <w:lvl w:ilvl="0">
      <w:lvlJc w:val="left"/>
      <w:lvlText w:val="(%1)"/>
      <w:numFmt w:val="lowerLetter"/>
      <w:start w:val="1"/>
    </w:lvl>
    <w:lvl w:ilvl="1">
      <w:lvlJc w:val="left"/>
      <w:lvlText w:val="%2"/>
      <w:numFmt w:val="decimal"/>
      <w:start w:val="1"/>
    </w:lvl>
  </w:abstractNum>
  <w:abstractNum w:abstractNumId="21">
    <w:nsid w:val="71F32454"/>
    <w:multiLevelType w:val="hybridMultilevel"/>
    <w:lvl w:ilvl="0">
      <w:lvlJc w:val="left"/>
      <w:lvlText w:val="%1"/>
      <w:numFmt w:val="lowerLetter"/>
      <w:start w:val="1"/>
    </w:lvl>
    <w:lvl w:ilvl="1">
      <w:lvlJc w:val="left"/>
      <w:lvlText w:val="%2."/>
      <w:numFmt w:val="decimal"/>
      <w:start w:val="5"/>
    </w:lvl>
  </w:abstractNum>
  <w:abstractNum w:abstractNumId="22">
    <w:nsid w:val="2CA88611"/>
    <w:multiLevelType w:val="hybridMultilevel"/>
    <w:lvl w:ilvl="0">
      <w:lvlJc w:val="left"/>
      <w:lvlText w:val="(%1)"/>
      <w:numFmt w:val="lowerLetter"/>
      <w:start w:val="1"/>
    </w:lvl>
    <w:lvl w:ilvl="1">
      <w:lvlJc w:val="left"/>
      <w:lvlText w:val="%2."/>
      <w:numFmt w:val="decimal"/>
      <w:start w:val="9"/>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decimal"/>
      <w:start w:val="17"/>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5"/>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2019-12-29T10:59:20Z</dcterms:created>
  <dcterms:modified xsi:type="dcterms:W3CDTF">2019-12-29T10:59:20Z</dcterms:modified>
</cp:coreProperties>
</file>