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612140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629285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219075</wp:posOffset>
            </wp:positionV>
            <wp:extent cx="1551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247015</wp:posOffset>
            </wp:positionV>
            <wp:extent cx="1551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1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27, 2018</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1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240665</wp:posOffset>
            </wp:positionV>
            <wp:extent cx="1551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227965</wp:posOffset>
            </wp:positionV>
            <wp:extent cx="1551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6760" w:type="dxa"/>
            <w:vAlign w:val="bottom"/>
          </w:tcPr>
          <w:p>
            <w:pPr>
              <w:jc w:val="center"/>
              <w:ind w:right="259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right"/>
              <w:ind w:right="579"/>
              <w:spacing w:after="0"/>
              <w:rPr>
                <w:sz w:val="20"/>
                <w:szCs w:val="20"/>
                <w:color w:val="auto"/>
              </w:rPr>
            </w:pPr>
            <w:r>
              <w:rPr>
                <w:rFonts w:ascii="Arial" w:cs="Arial" w:eastAsia="Arial" w:hAnsi="Arial"/>
                <w:sz w:val="18"/>
                <w:szCs w:val="18"/>
                <w:b w:val="1"/>
                <w:bCs w:val="1"/>
                <w:color w:val="auto"/>
              </w:rPr>
              <w:t>20-3563182</w:t>
            </w:r>
          </w:p>
        </w:tc>
      </w:tr>
      <w:tr>
        <w:trPr>
          <w:trHeight w:val="218"/>
        </w:trPr>
        <w:tc>
          <w:tcPr>
            <w:tcW w:w="6760" w:type="dxa"/>
            <w:vAlign w:val="bottom"/>
          </w:tcPr>
          <w:p>
            <w:pPr>
              <w:jc w:val="center"/>
              <w:ind w:right="259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0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0"/>
        </w:trPr>
        <w:tc>
          <w:tcPr>
            <w:tcW w:w="6760" w:type="dxa"/>
            <w:vAlign w:val="bottom"/>
          </w:tcPr>
          <w:p>
            <w:pPr>
              <w:jc w:val="center"/>
              <w:ind w:right="2579"/>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2300" w:type="dxa"/>
            <w:vAlign w:val="bottom"/>
          </w:tcPr>
          <w:p>
            <w:pPr>
              <w:jc w:val="right"/>
              <w:ind w:right="779"/>
              <w:spacing w:after="0"/>
              <w:rPr>
                <w:sz w:val="20"/>
                <w:szCs w:val="20"/>
                <w:color w:val="auto"/>
              </w:rPr>
            </w:pPr>
            <w:r>
              <w:rPr>
                <w:rFonts w:ascii="Arial" w:cs="Arial" w:eastAsia="Arial" w:hAnsi="Arial"/>
                <w:sz w:val="18"/>
                <w:szCs w:val="18"/>
                <w:b w:val="1"/>
                <w:bCs w:val="1"/>
                <w:color w:val="auto"/>
              </w:rPr>
              <w:t>92626</w:t>
            </w:r>
          </w:p>
        </w:tc>
      </w:tr>
      <w:tr>
        <w:trPr>
          <w:trHeight w:val="218"/>
        </w:trPr>
        <w:tc>
          <w:tcPr>
            <w:tcW w:w="6760" w:type="dxa"/>
            <w:vAlign w:val="bottom"/>
          </w:tcPr>
          <w:p>
            <w:pPr>
              <w:jc w:val="center"/>
              <w:ind w:right="2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jc w:val="center"/>
              <w:ind w:left="39"/>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760" w:type="dxa"/>
            <w:vAlign w:val="bottom"/>
          </w:tcPr>
          <w:p>
            <w:pPr>
              <w:jc w:val="right"/>
              <w:ind w:right="1099"/>
              <w:spacing w:after="0"/>
              <w:rPr>
                <w:sz w:val="20"/>
                <w:szCs w:val="20"/>
                <w:color w:val="auto"/>
              </w:rPr>
            </w:pPr>
            <w:r>
              <w:rPr>
                <w:rFonts w:ascii="Arial" w:cs="Arial" w:eastAsia="Arial" w:hAnsi="Arial"/>
                <w:sz w:val="18"/>
                <w:szCs w:val="18"/>
                <w:b w:val="1"/>
                <w:bCs w:val="1"/>
                <w:color w:val="auto"/>
              </w:rPr>
              <w:t>(714) 599-5000</w:t>
            </w:r>
          </w:p>
        </w:tc>
        <w:tc>
          <w:tcPr>
            <w:tcW w:w="2300" w:type="dxa"/>
            <w:vAlign w:val="bottom"/>
          </w:tcPr>
          <w:p>
            <w:pPr>
              <w:spacing w:after="0"/>
              <w:rPr>
                <w:sz w:val="24"/>
                <w:szCs w:val="24"/>
                <w:color w:val="auto"/>
              </w:rPr>
            </w:pPr>
          </w:p>
        </w:tc>
      </w:tr>
      <w:tr>
        <w:trPr>
          <w:trHeight w:val="186"/>
        </w:trPr>
        <w:tc>
          <w:tcPr>
            <w:tcW w:w="6760" w:type="dxa"/>
            <w:vAlign w:val="bottom"/>
          </w:tcPr>
          <w:p>
            <w:pPr>
              <w:jc w:val="center"/>
              <w:ind w:left="31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300" w:type="dxa"/>
            <w:vAlign w:val="bottom"/>
          </w:tcPr>
          <w:p>
            <w:pPr>
              <w:spacing w:after="0"/>
              <w:rPr>
                <w:sz w:val="16"/>
                <w:szCs w:val="16"/>
                <w:color w:val="auto"/>
              </w:rPr>
            </w:pPr>
          </w:p>
        </w:tc>
      </w:tr>
    </w:tbl>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227965</wp:posOffset>
            </wp:positionV>
            <wp:extent cx="15519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right="180"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ind w:right="200"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4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54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360"/>
          </w:cols>
          <w:pgMar w:left="240" w:top="1044" w:right="299" w:bottom="1440" w:gutter="0" w:footer="0" w:header="0"/>
        </w:sectPr>
      </w:pPr>
    </w:p>
    <w:bookmarkStart w:id="1" w:name="page2"/>
    <w:bookmarkEnd w:id="1"/>
    <w:p>
      <w:pPr>
        <w:ind w:firstLine="500"/>
        <w:spacing w:after="0" w:line="28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500" w:right="12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July 23, 2018, there were 38,608,810 shares of the issuer’s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180340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240"/>
          </w:cols>
          <w:pgMar w:left="240" w:top="80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9"/>
              </w:rPr>
              <w:t>Table of Contents</w:t>
            </w:r>
          </w:p>
        </w:tc>
        <w:tc>
          <w:tcPr>
            <w:tcW w:w="7740" w:type="dxa"/>
            <w:vAlign w:val="bottom"/>
            <w:gridSpan w:val="15"/>
          </w:tcPr>
          <w:p>
            <w:pPr>
              <w:spacing w:after="0"/>
              <w:rPr>
                <w:sz w:val="14"/>
                <w:szCs w:val="14"/>
                <w:color w:val="auto"/>
              </w:rPr>
            </w:pPr>
          </w:p>
        </w:tc>
        <w:tc>
          <w:tcPr>
            <w:tcW w:w="254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Page</w:t>
            </w:r>
          </w:p>
        </w:tc>
      </w:tr>
      <w:tr>
        <w:trPr>
          <w:trHeight w:val="20"/>
        </w:trPr>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8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254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50"/>
        </w:trPr>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860" w:type="dxa"/>
            <w:vAlign w:val="bottom"/>
            <w:tcBorders>
              <w:top w:val="single" w:sz="8" w:color="0000EE"/>
            </w:tcBorders>
            <w:gridSpan w:val="4"/>
          </w:tcPr>
          <w:p>
            <w:pPr>
              <w:spacing w:after="0"/>
              <w:rPr>
                <w:sz w:val="21"/>
                <w:szCs w:val="21"/>
                <w:color w:val="auto"/>
              </w:rPr>
            </w:pPr>
          </w:p>
        </w:tc>
        <w:tc>
          <w:tcPr>
            <w:tcW w:w="5860" w:type="dxa"/>
            <w:vAlign w:val="bottom"/>
            <w:gridSpan w:val="7"/>
          </w:tcPr>
          <w:p>
            <w:pPr>
              <w:spacing w:after="0"/>
              <w:rPr>
                <w:sz w:val="21"/>
                <w:szCs w:val="21"/>
                <w:color w:val="auto"/>
              </w:rPr>
            </w:pPr>
          </w:p>
        </w:tc>
        <w:tc>
          <w:tcPr>
            <w:tcW w:w="244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88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54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3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w:t>
              </w:r>
            </w:hyperlink>
          </w:p>
        </w:tc>
        <w:tc>
          <w:tcPr>
            <w:tcW w:w="4500" w:type="dxa"/>
            <w:vAlign w:val="bottom"/>
            <w:gridSpan w:val="5"/>
          </w:tcPr>
          <w:p>
            <w:pPr>
              <w:spacing w:after="0"/>
              <w:rPr>
                <w:sz w:val="21"/>
                <w:szCs w:val="21"/>
                <w:color w:val="auto"/>
              </w:rPr>
            </w:pPr>
          </w:p>
        </w:tc>
        <w:tc>
          <w:tcPr>
            <w:tcW w:w="244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88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254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540" w:type="dxa"/>
            <w:vAlign w:val="bottom"/>
            <w:gridSpan w:val="4"/>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760" w:type="dxa"/>
            <w:vAlign w:val="bottom"/>
            <w:gridSpan w:val="16"/>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2. Management’s Discussion and Analysis of Financial Condition and Results of Income</w:t>
              </w:r>
            </w:hyperlink>
          </w:p>
        </w:tc>
        <w:tc>
          <w:tcPr>
            <w:tcW w:w="2060" w:type="dxa"/>
            <w:vAlign w:val="bottom"/>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4940" w:type="dxa"/>
            <w:vAlign w:val="bottom"/>
            <w:gridSpan w:val="15"/>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 3. Quantitative and Qualitative Disclosures About Market Risk.</w:t>
              </w:r>
            </w:hyperlink>
          </w:p>
        </w:tc>
        <w:tc>
          <w:tcPr>
            <w:tcW w:w="18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880" w:type="dxa"/>
            <w:vAlign w:val="bottom"/>
            <w:tcBorders>
              <w:left w:val="single" w:sz="8" w:color="0000EE"/>
            </w:tcBorders>
            <w:gridSpan w:val="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Item 4. Controls and Procedures.</w:t>
              </w:r>
            </w:hyperlink>
          </w:p>
        </w:tc>
        <w:tc>
          <w:tcPr>
            <w:tcW w:w="2580" w:type="dxa"/>
            <w:vAlign w:val="bottom"/>
            <w:gridSpan w:val="8"/>
          </w:tcPr>
          <w:p>
            <w:pPr>
              <w:spacing w:after="0"/>
              <w:rPr>
                <w:sz w:val="21"/>
                <w:szCs w:val="21"/>
                <w:color w:val="auto"/>
              </w:rPr>
            </w:pPr>
          </w:p>
        </w:tc>
        <w:tc>
          <w:tcPr>
            <w:tcW w:w="3880" w:type="dxa"/>
            <w:vAlign w:val="bottom"/>
            <w:gridSpan w:val="2"/>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PART II—OTHER INFORMATION</w:t>
              </w:r>
            </w:hyperlink>
          </w:p>
        </w:tc>
        <w:tc>
          <w:tcPr>
            <w:tcW w:w="6160" w:type="dxa"/>
            <w:vAlign w:val="bottom"/>
            <w:gridSpan w:val="9"/>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 Legal Proceedings.</w:t>
              </w:r>
            </w:hyperlink>
          </w:p>
        </w:tc>
        <w:tc>
          <w:tcPr>
            <w:tcW w:w="6160" w:type="dxa"/>
            <w:vAlign w:val="bottom"/>
            <w:gridSpan w:val="9"/>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640" w:type="dxa"/>
            <w:vAlign w:val="bottom"/>
            <w:gridSpan w:val="4"/>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Item 1A. Risk Factors.</w:t>
              </w:r>
            </w:hyperlink>
          </w:p>
        </w:tc>
        <w:tc>
          <w:tcPr>
            <w:tcW w:w="260" w:type="dxa"/>
            <w:vAlign w:val="bottom"/>
          </w:tcPr>
          <w:p>
            <w:pPr>
              <w:spacing w:after="0"/>
              <w:rPr>
                <w:sz w:val="21"/>
                <w:szCs w:val="21"/>
                <w:color w:val="auto"/>
              </w:rPr>
            </w:pPr>
          </w:p>
        </w:tc>
        <w:tc>
          <w:tcPr>
            <w:tcW w:w="6920" w:type="dxa"/>
            <w:vAlign w:val="bottom"/>
            <w:gridSpan w:val="12"/>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882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 Unregistered Sales of Equity Securities and Use of Proceeds.</w:t>
              </w:r>
            </w:hyperlink>
          </w:p>
        </w:tc>
        <w:tc>
          <w:tcPr>
            <w:tcW w:w="254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920" w:type="dxa"/>
            <w:vAlign w:val="bottom"/>
            <w:gridSpan w:val="9"/>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3. Defaults Upon Senior Securities.</w:t>
              </w:r>
            </w:hyperlink>
          </w:p>
        </w:tc>
        <w:tc>
          <w:tcPr>
            <w:tcW w:w="2020" w:type="dxa"/>
            <w:vAlign w:val="bottom"/>
            <w:gridSpan w:val="6"/>
          </w:tcPr>
          <w:p>
            <w:pPr>
              <w:spacing w:after="0"/>
              <w:rPr>
                <w:sz w:val="21"/>
                <w:szCs w:val="21"/>
                <w:color w:val="auto"/>
              </w:rPr>
            </w:pPr>
          </w:p>
        </w:tc>
        <w:tc>
          <w:tcPr>
            <w:tcW w:w="3880" w:type="dxa"/>
            <w:vAlign w:val="bottom"/>
            <w:gridSpan w:val="2"/>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92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 Mine Safety Disclosures.</w:t>
              </w:r>
            </w:hyperlink>
          </w:p>
        </w:tc>
        <w:tc>
          <w:tcPr>
            <w:tcW w:w="5900" w:type="dxa"/>
            <w:vAlign w:val="bottom"/>
            <w:gridSpan w:val="8"/>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460" w:type="dxa"/>
            <w:vAlign w:val="bottom"/>
            <w:gridSpan w:val="10"/>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5. Other Information.</w:t>
              </w:r>
            </w:hyperlink>
          </w:p>
        </w:tc>
        <w:tc>
          <w:tcPr>
            <w:tcW w:w="6460" w:type="dxa"/>
            <w:vAlign w:val="bottom"/>
            <w:gridSpan w:val="10"/>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920" w:type="dxa"/>
            <w:vAlign w:val="bottom"/>
            <w:gridSpan w:val="12"/>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200" w:type="dxa"/>
            <w:vAlign w:val="bottom"/>
            <w:gridSpan w:val="3"/>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Item 6. Exhibits.</w:t>
              </w:r>
            </w:hyperlink>
          </w:p>
        </w:tc>
        <w:tc>
          <w:tcPr>
            <w:tcW w:w="700" w:type="dxa"/>
            <w:vAlign w:val="bottom"/>
            <w:gridSpan w:val="2"/>
          </w:tcPr>
          <w:p>
            <w:pPr>
              <w:spacing w:after="0"/>
              <w:rPr>
                <w:sz w:val="21"/>
                <w:szCs w:val="21"/>
                <w:color w:val="auto"/>
              </w:rPr>
            </w:pPr>
          </w:p>
        </w:tc>
        <w:tc>
          <w:tcPr>
            <w:tcW w:w="6920" w:type="dxa"/>
            <w:vAlign w:val="bottom"/>
            <w:gridSpan w:val="12"/>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20" w:type="dxa"/>
            <w:vAlign w:val="bottom"/>
            <w:gridSpan w:val="14"/>
          </w:tcPr>
          <w:p>
            <w:pPr>
              <w:spacing w:after="0" w:line="20" w:lineRule="exact"/>
              <w:rPr>
                <w:sz w:val="1"/>
                <w:szCs w:val="1"/>
                <w:color w:val="auto"/>
              </w:rPr>
            </w:pPr>
          </w:p>
        </w:tc>
        <w:tc>
          <w:tcPr>
            <w:tcW w:w="238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Signatures</w:t>
              </w:r>
            </w:hyperlink>
          </w:p>
        </w:tc>
        <w:tc>
          <w:tcPr>
            <w:tcW w:w="440" w:type="dxa"/>
            <w:vAlign w:val="bottom"/>
            <w:gridSpan w:val="2"/>
          </w:tcPr>
          <w:p>
            <w:pPr>
              <w:spacing w:after="0"/>
              <w:rPr>
                <w:sz w:val="21"/>
                <w:szCs w:val="21"/>
                <w:color w:val="auto"/>
              </w:rPr>
            </w:pPr>
          </w:p>
        </w:tc>
        <w:tc>
          <w:tcPr>
            <w:tcW w:w="7620" w:type="dxa"/>
            <w:vAlign w:val="bottom"/>
            <w:gridSpan w:val="14"/>
          </w:tcPr>
          <w:p>
            <w:pPr>
              <w:spacing w:after="0"/>
              <w:rPr>
                <w:sz w:val="21"/>
                <w:szCs w:val="21"/>
                <w:color w:val="auto"/>
              </w:rPr>
            </w:pPr>
          </w:p>
        </w:tc>
        <w:tc>
          <w:tcPr>
            <w:tcW w:w="254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723"/>
        </w:trPr>
        <w:tc>
          <w:tcPr>
            <w:tcW w:w="760" w:type="dxa"/>
            <w:vAlign w:val="bottom"/>
            <w:tcBorders>
              <w:top w:val="single" w:sz="8" w:color="0000EE"/>
            </w:tcBorders>
          </w:tcPr>
          <w:p>
            <w:pPr>
              <w:spacing w:after="0"/>
              <w:rPr>
                <w:sz w:val="24"/>
                <w:szCs w:val="24"/>
                <w:color w:val="auto"/>
              </w:rPr>
            </w:pPr>
          </w:p>
        </w:tc>
        <w:tc>
          <w:tcPr>
            <w:tcW w:w="6000" w:type="dxa"/>
            <w:vAlign w:val="bottom"/>
            <w:gridSpan w:val="15"/>
          </w:tcPr>
          <w:p>
            <w:pPr>
              <w:jc w:val="right"/>
              <w:ind w:right="1040"/>
              <w:spacing w:after="0"/>
              <w:rPr>
                <w:sz w:val="20"/>
                <w:szCs w:val="20"/>
                <w:color w:val="auto"/>
              </w:rPr>
            </w:pPr>
            <w:r>
              <w:rPr>
                <w:rFonts w:ascii="Arial" w:cs="Arial" w:eastAsia="Arial" w:hAnsi="Arial"/>
                <w:sz w:val="18"/>
                <w:szCs w:val="18"/>
                <w:color w:val="auto"/>
              </w:rPr>
              <w:t>3</w:t>
            </w:r>
          </w:p>
        </w:tc>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735"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27, 2018</w:t>
            </w:r>
          </w:p>
        </w:tc>
        <w:tc>
          <w:tcPr>
            <w:tcW w:w="120" w:type="dxa"/>
            <w:vAlign w:val="bottom"/>
          </w:tcPr>
          <w:p>
            <w:pPr>
              <w:spacing w:after="0"/>
              <w:rPr>
                <w:sz w:val="16"/>
                <w:szCs w:val="16"/>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b w:val="1"/>
                <w:bCs w:val="1"/>
                <w:color w:val="auto"/>
                <w:w w:val="93"/>
              </w:rPr>
              <w:t>December 27, 2017</w:t>
            </w: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Accounts and other receivables, net</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3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Property and equipment owned, net</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103,937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102,794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held under capital leases, net</w:t>
            </w:r>
          </w:p>
        </w:tc>
        <w:tc>
          <w:tcPr>
            <w:tcW w:w="3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248,674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248,674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3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61,888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448,648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442,711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vMerge w:val="continue"/>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Current portion of obligations under capital leases</w:t>
            </w:r>
          </w:p>
        </w:tc>
        <w:tc>
          <w:tcPr>
            <w:tcW w:w="3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Accrued salaries and vacation</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7,339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insurance</w:t>
            </w:r>
          </w:p>
        </w:tc>
        <w:tc>
          <w:tcPr>
            <w:tcW w:w="3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Accrued income taxes payable</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Current portion of income tax receivable agreement payable</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12,887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8,281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3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13,270</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33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50,622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47,325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Revolver loan</w:t>
            </w:r>
          </w:p>
        </w:tc>
        <w:tc>
          <w:tcPr>
            <w:tcW w:w="3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3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intangible liabilities, net</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tax receivable agreement payable, net of current portion</w:t>
            </w:r>
          </w:p>
        </w:tc>
        <w:tc>
          <w:tcPr>
            <w:tcW w:w="3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13,694</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21,278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3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167,761</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33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40"/>
              <w:spacing w:after="0"/>
              <w:rPr>
                <w:sz w:val="20"/>
                <w:szCs w:val="20"/>
                <w:color w:val="auto"/>
              </w:rPr>
            </w:pPr>
            <w:r>
              <w:rPr>
                <w:rFonts w:ascii="Arial" w:cs="Arial" w:eastAsia="Arial" w:hAnsi="Arial"/>
                <w:sz w:val="18"/>
                <w:szCs w:val="18"/>
                <w:color w:val="auto"/>
                <w:w w:val="89"/>
              </w:rPr>
              <w:t>Preferred stock, $0.01 par value, 100,000,000 shares authorized; none</w:t>
            </w:r>
          </w:p>
        </w:tc>
        <w:tc>
          <w:tcPr>
            <w:tcW w:w="3500" w:type="dxa"/>
            <w:vAlign w:val="bottom"/>
            <w:gridSpan w:val="2"/>
          </w:tcPr>
          <w:p>
            <w:pPr>
              <w:jc w:val="right"/>
              <w:ind w:right="2820"/>
              <w:spacing w:after="0"/>
              <w:rPr>
                <w:sz w:val="20"/>
                <w:szCs w:val="20"/>
                <w:color w:val="auto"/>
              </w:rPr>
            </w:pPr>
            <w:r>
              <w:rPr>
                <w:rFonts w:ascii="Arial" w:cs="Arial" w:eastAsia="Arial" w:hAnsi="Arial"/>
                <w:sz w:val="18"/>
                <w:szCs w:val="18"/>
                <w:color w:val="auto"/>
                <w:w w:val="90"/>
              </w:rPr>
              <w:t>issued or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Common stock, $0.01 par value—200,000,000 shares authorized; 38,608,810</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38,661,850 shares issued and outstanding</w:t>
            </w:r>
          </w:p>
        </w:tc>
        <w:tc>
          <w:tcPr>
            <w:tcW w:w="3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Additional paid-in-capital</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374,081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372,990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(98,427)</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33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280,128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274,950</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448,648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442,711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360"/>
          </w:cols>
          <w:pgMar w:left="240" w:top="580" w:right="29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580" w:right="2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2018</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2017</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27, 2018</w:t>
            </w:r>
          </w:p>
        </w:tc>
        <w:tc>
          <w:tcPr>
            <w:tcW w:w="180" w:type="dxa"/>
            <w:vAlign w:val="bottom"/>
          </w:tcPr>
          <w:p>
            <w:pPr>
              <w:spacing w:after="0"/>
              <w:rPr>
                <w:sz w:val="22"/>
                <w:szCs w:val="22"/>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June 28, 2017</w:t>
            </w:r>
          </w:p>
        </w:tc>
        <w:tc>
          <w:tcPr>
            <w:tcW w:w="0" w:type="dxa"/>
            <w:vAlign w:val="bottom"/>
          </w:tcPr>
          <w:p>
            <w:pPr>
              <w:spacing w:after="0"/>
              <w:rPr>
                <w:sz w:val="1"/>
                <w:szCs w:val="1"/>
                <w:color w:val="auto"/>
              </w:rPr>
            </w:pPr>
          </w:p>
        </w:tc>
      </w:tr>
      <w:tr>
        <w:trPr>
          <w:trHeight w:val="236"/>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99,627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98,885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194,180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192,334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10,550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205,344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Cost of operations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paper cost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Labor and related expenses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27,856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26,592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53,425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other operating expenses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42,116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Company restaurant expenses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79,450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77,312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156,266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151,759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12,082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loss on disposal of assets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6,782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183,243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Interest expense, net of interest income of $7 and $6 for the quarters ended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June 27, 2018 and June 28, 2017, respectively, and $15 and $11 for year-to-</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date ended June 27, 2018 and June 28, 2017,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receivable agreement expense (income)</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12,696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Weighted-average shares used in computing net income per share</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38,482,074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38,449,240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38,473,641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38,443,130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39,043,434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39,123,961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39,015,259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39,102,501</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27, 2018</w:t>
            </w:r>
          </w:p>
        </w:tc>
        <w:tc>
          <w:tcPr>
            <w:tcW w:w="22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28, 2017</w:t>
            </w:r>
          </w:p>
        </w:tc>
        <w:tc>
          <w:tcPr>
            <w:tcW w:w="0" w:type="dxa"/>
            <w:vAlign w:val="bottom"/>
          </w:tcPr>
          <w:p>
            <w:pPr>
              <w:spacing w:after="0"/>
              <w:rPr>
                <w:sz w:val="1"/>
                <w:szCs w:val="1"/>
                <w:color w:val="auto"/>
              </w:rPr>
            </w:pPr>
          </w:p>
        </w:tc>
      </w:tr>
      <w:tr>
        <w:trPr>
          <w:trHeight w:val="243"/>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12,696</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flows provided by operating</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on disposal of assets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Closed-store reserve expense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favorable and unfavorable leases,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and other 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salaries and vacation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insurance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accrued expenses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30,733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(19,040)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Minimum tax withholdings related to net share settlements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revolver loan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Borrowings on revolver loan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upon exercise of stock options, net of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obligations under capital leases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Increase in cash and cash equivalents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13,085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6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8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 w:name="page7"/>
    <w:bookmarkEnd w:id="6"/>
    <w:p>
      <w:pPr>
        <w:ind w:left="9120"/>
        <w:spacing w:after="0"/>
        <w:rPr>
          <w:sz w:val="20"/>
          <w:szCs w:val="20"/>
          <w:color w:val="auto"/>
        </w:rPr>
      </w:pPr>
      <w:r>
        <w:rPr>
          <w:rFonts w:ascii="Arial" w:cs="Arial" w:eastAsia="Arial" w:hAnsi="Arial"/>
          <w:sz w:val="14"/>
          <w:szCs w:val="14"/>
          <w:b w:val="1"/>
          <w:bCs w:val="1"/>
          <w:color w:val="auto"/>
        </w:rPr>
        <w:t>Twenty-Six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27, 2018</w:t>
            </w:r>
          </w:p>
        </w:tc>
        <w:tc>
          <w:tcPr>
            <w:tcW w:w="220" w:type="dxa"/>
            <w:vAlign w:val="bottom"/>
          </w:tcPr>
          <w:p>
            <w:pPr>
              <w:spacing w:after="0"/>
              <w:rPr>
                <w:sz w:val="16"/>
                <w:szCs w:val="16"/>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28, 2017</w:t>
            </w:r>
          </w:p>
        </w:tc>
      </w:tr>
      <w:tr>
        <w:trPr>
          <w:trHeight w:val="263"/>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1,650</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135</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Unpaid purchases of property and equipment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4,321</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6"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66" w:lineRule="exact"/>
        <w:rPr>
          <w:sz w:val="20"/>
          <w:szCs w:val="20"/>
          <w:color w:val="auto"/>
        </w:rPr>
      </w:pPr>
    </w:p>
    <w:p>
      <w:pPr>
        <w:ind w:right="378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right="200"/>
        <w:spacing w:after="0" w:line="279" w:lineRule="auto"/>
        <w:rPr>
          <w:sz w:val="20"/>
          <w:szCs w:val="20"/>
          <w:color w:val="auto"/>
        </w:rPr>
      </w:pPr>
      <w:r>
        <w:rPr>
          <w:rFonts w:ascii="Arial" w:cs="Arial" w:eastAsia="Arial" w:hAnsi="Arial"/>
          <w:sz w:val="17"/>
          <w:szCs w:val="17"/>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June 27, 2018, the Company operated 211 and franchised 269 El Pollo Loco restaurants.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the Company's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27, 2017.</w:t>
      </w:r>
    </w:p>
    <w:p>
      <w:pPr>
        <w:spacing w:after="0" w:line="19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2017 and 2018 are both 52-week years, ending on December 27, 2017 and December 26, 2018, respectively. Revenues, expenses, and other financial and operational figures may be elevated in a 53-week year.</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Holdings has no material assets or operations. Holdings and Holdings’ direct subsidiary, EPL Intermediate, Inc. (“Intermediate”), guaranteed EPL’s 2014 Revolver (see Note 4) (and guarantee the 2018 Revolver)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subject to its compliance, on a pro forma basis, with (x) a lease-adjusted consolidated leverage ratio not to exceed 4.25 times and (y) the financial covenants applicable to the 2014 Revolver.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ind w:right="380"/>
        <w:spacing w:after="0" w:line="277" w:lineRule="auto"/>
        <w:rPr>
          <w:sz w:val="20"/>
          <w:szCs w:val="20"/>
          <w:color w:val="auto"/>
        </w:rPr>
      </w:pPr>
      <w:r>
        <w:rPr>
          <w:rFonts w:ascii="Arial" w:cs="Arial" w:eastAsia="Arial" w:hAnsi="Arial"/>
          <w:sz w:val="18"/>
          <w:szCs w:val="18"/>
          <w:color w:val="auto"/>
        </w:rPr>
        <w:t>impairment of goodwill, intangible assets and property and equipment, insurance reserves, lease termination liabilities, closed-store reserves, stock-based compensation, income tax receivable agreement liability, and income tax valuation allowances.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highly-liquid instruments with an original maturity of three months or less at the date of purchase to be cash equivalents.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Company’s principal liquidity requirements are to service its debt and to meet capital expenditure needs. At June 27, 2018, the Company’s total debt (including capital lease liabilities) was $86.3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$13.1 million at June 27, 2018, and available borrowings under the 2018 Revolver will be adequate to meet the Company’s liquidity needs for the next twelve months from the filing of the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of Securities Class Action Legal Expense</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thirteen and twenty-six weeks ended June 27, 2018, the Company received insurance proceeds of $2.4 million and $4.1 million, respectively, related to the reimbursement of certain legal expenses paid in prior years for the defense of securities lawsuits. See Note 7, Commitments and Contingencies, Legal Matters.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May 2017, the Financial Accounting Standards Board ("FASB") issued Accounting Standards Update ("ASU") 2017-09 "Compensation—Stock Compensation (Topic 718)—Scope of Modification Accounting", which provides clarity, reduces diversity in practice, and reduces cost and complexity when applying the guidance in Topic 718, Compensation—Stock Compensation, regarding a change to the terms or conditions of a share-based payment award. Specifically, an entity is to account for the effects of a modification, unless all of the following are satisfied: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as a liability instrument is the same as the classification of the original award immediately before the original award is modified. The Company adopted ASU 2017-09 in the first quarter of fiscal 2018, and this adoption did not result in any impact on the Company’s consolidated financial position or results of operations.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January 2017, the FASB issued ASU 2017-01 "Business Combinations (Topic 805)—Clarifying the Definition of a Business", clarifying the definition of a business. ASU 2017-01 clarifies the definition of a business with the objective of adding guidance to assist entities with the evaluation of whether transactions should be accounted for as acquisitions (or disposals) of assets or businesses. The Company adopted ASU 2017-01 in the first quarter of fiscal 2018, and this adoption did not result in any impact on the Company’s consolidated financial position or results of operations.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November 2016, the FASB issued ASU 2016-18, "Restricted Cash." ASU 2016-18 addresses the diversity in practice that exists regarding the classification and the presentation of changes in restricted cash on the statements of cash flows under Topic 230, Statements of Cash Flow, and other Topics. The amendments in ASU No. 2016-18 require that amounts generally described as restricted cash and restricted cash equivalents should be included with cash and cash equivalents when reconciling the beginning-of-period and the end-of-period total amounts set forth on the statements of cash flows. The Company adopted ASU 2016-18 in the first quarter of fiscal 2018, and this adoption did not result in any impact on the Company’s consolidated financial position or results of operations.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ASU 2016-15 addresses how certain cash receipts and cash payments are presented and classified in the statements of cash flows under Topic 230, Statements of Cash Flow. The Company adopted ASU 2016-15 in the first quarter of fiscal 2018, and this adoption did not result in any impact on the Company’s consolidated financial position or results of operations.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9" w:name="page10"/>
    <w:bookmarkEnd w:id="9"/>
    <w:p>
      <w:pPr>
        <w:ind w:right="60"/>
        <w:spacing w:after="0" w:line="254" w:lineRule="auto"/>
        <w:rPr>
          <w:sz w:val="20"/>
          <w:szCs w:val="20"/>
          <w:color w:val="auto"/>
        </w:rPr>
      </w:pPr>
      <w:r>
        <w:rPr>
          <w:rFonts w:ascii="Arial" w:cs="Arial" w:eastAsia="Arial" w:hAnsi="Arial"/>
          <w:sz w:val="18"/>
          <w:szCs w:val="18"/>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 Company adopted ASU 2016-01 in the first quarter of fiscal 2018, and this adoption did not result in any impact on the Company’s consolidated financial position or results of operations.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addition, the FASB has issued the following Technical Corrections, Practical Expedients and Improvements to Topic 606, Revenue from Contracts with Customers: ASU 2017-13 in September 2017, ASU No. 2016-20, in December 2016, ASU No. 2016-12, in May 2016, and ASU No. 2016-10, in April 2016.</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adopted ASU 2014-09, and all related ASU's in the first quarter of 2018. See "Changes in Accounting Policies," below and Note 10 for further details.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June 2018, the FASB issued ASU 2018-07, "Compensation—Stock Compensation (Topic 718): Improvements to Nonemployee Share-Based Payment Accounting," which expands the scope of Topic 718 to include share-based payment transactions for acquiring goods and services from non-employees. ASU 2018-07 is effective for financial statements issued for annual periods beginning after December 15, 2018, and for the interim periods therein. The adoption of ASU 2018-07 is not expected to have a significant impact on the Company’s consolidated financial position or results of operations.</w:t>
      </w:r>
    </w:p>
    <w:p>
      <w:pPr>
        <w:spacing w:after="0" w:line="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March 2018, the FASB issued ASU 2018-05 "Income Taxes (Topic 740)—Amendments to SEC Paragraphs Pursuant to SEC Staff Accounting Bulletin No. 118", which adds various SEC paragraphs pursuant to the issuance of SEC Staff Accounting Bulletin No. 118. In particular, ASU 2018-05 amends Subtopic 740-10, Income Taxes, overall, to add information regarding income tax accounting implications of the Tax Cuts and Jobs Act, as well as other paragraphs and sections related to the income tax accounting implications of the Tax Cuts and Jobs Act. There is no transition date related to this ASU, and there is no impact on the Company's consolidated financial position or results of operations.</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simplifying the manner in which an entity is required to test for goodwill impairment by eliminating Step 2 from the goodwill impairment test. The Company will apply the provisions of this standard when assessing impairment of goodwill upon adoption. ASU 2017-04 is effective for financial statements issued for annual periods beginning after December 15, 2019. The adoption of ASU 2017-04 is not expected to have a significant impact on the Company’s consolidated financial position or results of operations.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therein. Although early adoption is permitted, the Company will adopt these provisions in the first quarter of 2019. A modified retrospective transition approach is required for lessees for capital and operating leases existing at, or entered into after, the beginning of the earliest comparative period presented in the financial statements, with certain practical expedients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right="200"/>
        <w:spacing w:after="0" w:line="286" w:lineRule="auto"/>
        <w:rPr>
          <w:sz w:val="20"/>
          <w:szCs w:val="20"/>
          <w:color w:val="auto"/>
        </w:rPr>
      </w:pPr>
      <w:r>
        <w:rPr>
          <w:rFonts w:ascii="Arial" w:cs="Arial" w:eastAsia="Arial" w:hAnsi="Arial"/>
          <w:sz w:val="17"/>
          <w:szCs w:val="17"/>
          <w:color w:val="auto"/>
        </w:rPr>
        <w:t>available. The Company has $282.3 million of operating lease obligations as of June 27, 2018, and upon adoption of this standard will record a ROU asset and lease liability equal to the present value of the lease payments, which will have a material impact on the consolidated balance sheet. However, the recognition of lease expense in the consolidated statement of operations is not expected to change from the current methodology.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Subsequent to June 27, 2018, the Company opened one restaurant in California and one of our franchisees opened one restaurant in California and another franchisee opened one restaurant in Utah. Additionally, the Company approved the closure of one restaurant in Arizona.</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Furthermore, the Company’s Board of Directors, on July 30, 2018, as part of the Company’s focus on shareholder returns, approved a share repurchase program under which it authorized the Company, at its discretion, to repurchase up to $20.0 million of its common stock outstanding through June 26, 2019. Repurchases of the Company’s outstanding common stock will be made in accordance with applicable securities laws and may be made at management’s discretion from time to time in the open market, through privately negotiated transactions or otherwise, including pursuant to Rule 10b5-1 trading plans. There is no guarantee as to the exact number of shares to be repurchased by the Company. The timing and extent of repurchases will depend upon several factors, including market and business conditions, regulatory requirements and other corporate considerations, and repurchases may be discontinued at any time.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Agreement</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July 13, 2018, the Company refinanced the 2014 Revolver, pursuant to a credit agreement (the "2018 Credit Agreement") among EPL, as borrower, the Company and Intermediate, as guarantors, Bank of America, N.A., as administrative agent, swingline lender, and letter of credit issuer, the lenders party thereto, and the other parties thereto, which provides for a $150 million five-year senior secured revolving facility (the “2018 Revolver”). The 2018 Revolver includes a sub limit of $15.0 million for letters of credit and a sub limit of $15.0 million for swingline loans. The proceeds of the 2018 Revolver were used to refinance the 2014 Revolver and may also be used from time to time for general corporate purposes. The 2018 Revolver will mature on July 13, 2023. The obligations of EPL under the 2018 Credit Agreement and related loan documents are guaranteed by the Company and Intermediate and the obligations of each of the Company, EPL and Intermediate under the 2018 Credit Agreement and related loan documents are secured by a first priority (subject to permitted liens) lien on substantially all of their respective assets (subject to customary exceptions).</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of Bank of America prime rate, or (c) LIBOR plus 1.00%. For LIBOR loans, the margin is in the range of 1.25% to 2.25%, and for base rate loans the margin is in a range of 0.25% to 1.25%. Borrowings under the 2018 Revolver may be repaid and reborrowed.</w:t>
      </w:r>
    </w:p>
    <w:p>
      <w:pPr>
        <w:spacing w:after="0" w:line="188" w:lineRule="exact"/>
        <w:rPr>
          <w:sz w:val="20"/>
          <w:szCs w:val="20"/>
          <w:color w:val="auto"/>
        </w:rPr>
      </w:pPr>
    </w:p>
    <w:p>
      <w:pPr>
        <w:ind w:right="2220"/>
        <w:spacing w:after="0" w:line="297" w:lineRule="auto"/>
        <w:rPr>
          <w:sz w:val="20"/>
          <w:szCs w:val="20"/>
          <w:color w:val="auto"/>
        </w:rPr>
      </w:pPr>
      <w:r>
        <w:rPr>
          <w:rFonts w:ascii="Arial" w:cs="Arial" w:eastAsia="Arial" w:hAnsi="Arial"/>
          <w:sz w:val="16"/>
          <w:szCs w:val="16"/>
          <w:color w:val="auto"/>
        </w:rPr>
        <w:t>The 2018 Credit Agreement includes negative covenants and financial covenants, including, among others, the following (all subject to certain exceptions): a maximum lease-adjusted consolidated leverage ratio covenant, a minimum consolidated fixed charge coverage ratio, and limitations on (among others) indebtedness, liens, investments, asset sales, mergers, consolidations, liquidations, dissolutions, restricted payments, negative pledges, transactions with affiliates, sale-leaseback transactions and prepayments of certain debt. The 2018 Credit Agreement also includes certain affirmative covenants and events of default.</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evaluated subsequent events that have occurred after June 27, 2018, and determined that there were no other events or transactions occurring during this reporting period that require recognition or disclosure in the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had no supplier for which amounts due totaled more than 10.0% of the Company's accounts payable at June 27, 2018. As of December 27, 2017, the Company had one supplier for which amounts due totaled 14.0% of the Company’s accounts payable. Purchases from the Company’s largest supplier totaled 29.1% and 28.6% of total expenses for the thirteen and twenty-six weeks ended June 27, 2018, respectively, and 33.0% and 32.0% of total expenses for the thirteen and twenty-six weeks ended June 28, 2017, respectively.</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584" w:right="319" w:bottom="1440" w:gutter="0" w:footer="0" w:header="0"/>
        </w:sectPr>
      </w:pPr>
    </w:p>
    <w:bookmarkStart w:id="11" w:name="page12"/>
    <w:bookmarkEnd w:id="11"/>
    <w:p>
      <w:pPr>
        <w:spacing w:after="0" w:line="264" w:lineRule="auto"/>
        <w:rPr>
          <w:sz w:val="20"/>
          <w:szCs w:val="20"/>
          <w:color w:val="auto"/>
        </w:rPr>
      </w:pPr>
      <w:r>
        <w:rPr>
          <w:rFonts w:ascii="Arial" w:cs="Arial" w:eastAsia="Arial" w:hAnsi="Arial"/>
          <w:sz w:val="18"/>
          <w:szCs w:val="18"/>
          <w:color w:val="auto"/>
        </w:rPr>
        <w:t>Company-operated and franchised restaurants in the greater Los Angeles area generated, in the aggregate, approximately 68.5% and 68.8% of total revenue for the thirteen and twenty-six weeks ended June 27, 2018, respectively, and 73.0% of total revenue for both the thirteen and twenty-six weeks ended June 28,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the first quarter of 2018 the Company implemented ASU 2014-09. Revenue is measured based on a consideration specified in a contract with a customer. The Company recognizes revenue when it satisfies a performance obligation by transferring control over a product or service to a customer. ASU 2014-09 defines a five-step process to achieve this core principle. Refer to Note 10 for further details on the Company's revenue recognition policy.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Upon the sale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performs annual impairment tests for goodwill during the fourth fiscal quarter of each year, or more frequently if impairment indicators arise.</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5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3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did not identify any indicators of potential impairment of its goodwill or indefinite-lived intangible assets during the thirteen and twenty-six weeks ended June 27, 2018 or June 28, 2017, and therefore did not record any impairment during the respective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or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27, 2018 and December 27, 2017, the Company had no assets or liabilities measured at fair value on a recurring basis.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00" w:right="259" w:bottom="1440" w:gutter="0" w:footer="0" w:header="0"/>
        </w:sectPr>
      </w:pPr>
    </w:p>
    <w:bookmarkStart w:id="12" w:name="page13"/>
    <w:bookmarkEnd w:id="12"/>
    <w:p>
      <w:pPr>
        <w:ind w:right="160"/>
        <w:spacing w:after="0" w:line="308" w:lineRule="auto"/>
        <w:rPr>
          <w:sz w:val="20"/>
          <w:szCs w:val="20"/>
          <w:color w:val="auto"/>
        </w:rPr>
      </w:pPr>
      <w:r>
        <w:rPr>
          <w:rFonts w:ascii="Arial" w:cs="Arial" w:eastAsia="Arial" w:hAnsi="Arial"/>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and twenty-six weeks ended June 27, 2018, reflecting certain property and equipment assets for which an impairment loss was recognized during the corresponding periods, as discussed immediately below under "Impairment of Long-Lived Assets:"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Thirteen Weeks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Twenty-Six Weeks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40" w:type="dxa"/>
            <w:vAlign w:val="bottom"/>
            <w:gridSpan w:val="3"/>
            <w:vMerge w:val="restart"/>
          </w:tcPr>
          <w:p>
            <w:pPr>
              <w:jc w:val="center"/>
              <w:ind w:left="22"/>
              <w:spacing w:after="0"/>
              <w:rPr>
                <w:sz w:val="20"/>
                <w:szCs w:val="20"/>
                <w:color w:val="auto"/>
              </w:rPr>
            </w:pPr>
            <w:r>
              <w:rPr>
                <w:rFonts w:ascii="Arial" w:cs="Arial" w:eastAsia="Arial" w:hAnsi="Arial"/>
                <w:sz w:val="14"/>
                <w:szCs w:val="14"/>
                <w:b w:val="1"/>
                <w:bCs w:val="1"/>
                <w:color w:val="auto"/>
                <w:w w:val="92"/>
              </w:rPr>
              <w:t>Fair Value Measurements at June 27, 2018 Using</w:t>
            </w:r>
          </w:p>
        </w:tc>
        <w:tc>
          <w:tcPr>
            <w:tcW w:w="5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 June 27,</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Ended June 27,</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3"/>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4"/>
        </w:trPr>
        <w:tc>
          <w:tcPr>
            <w:tcW w:w="29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0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Level 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182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92"/>
              </w:rPr>
              <w:t>Impairment Losses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Impairment Losses</w:t>
            </w: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owned, net</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7"/>
        </w:trPr>
        <w:tc>
          <w:tcPr>
            <w:tcW w:w="2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and twenty-six weeks ended June 28, 2017, reflecting certain property and equipment assets for which an impairment loss was recognized during the corresponding periods, as discussed immediately below under "Impairment of Long-Lived Assets:"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Thirteen Weeks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Twenty-Six Weeks</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00" w:type="dxa"/>
            <w:vAlign w:val="bottom"/>
            <w:gridSpan w:val="3"/>
            <w:vMerge w:val="restart"/>
          </w:tcPr>
          <w:p>
            <w:pPr>
              <w:jc w:val="center"/>
              <w:ind w:left="62"/>
              <w:spacing w:after="0"/>
              <w:rPr>
                <w:sz w:val="20"/>
                <w:szCs w:val="20"/>
                <w:color w:val="auto"/>
              </w:rPr>
            </w:pPr>
            <w:r>
              <w:rPr>
                <w:rFonts w:ascii="Arial" w:cs="Arial" w:eastAsia="Arial" w:hAnsi="Arial"/>
                <w:sz w:val="14"/>
                <w:szCs w:val="14"/>
                <w:b w:val="1"/>
                <w:bCs w:val="1"/>
                <w:color w:val="auto"/>
                <w:w w:val="92"/>
              </w:rPr>
              <w:t>Fair Value Measurements at June 28, 2017 Using</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 June 28,</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Ended June 28,</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64"/>
        </w:trPr>
        <w:tc>
          <w:tcPr>
            <w:tcW w:w="29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ind w:right="539"/>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0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Level 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Impairment Losses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Impairment Losses</w:t>
            </w: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owned, net</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302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2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 reviews its long-lived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 on expected undiscounted future cash flows, an impairment loss is recorded to reduce the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Based on the results of the analysis, the Company recorded a non-cash impairment charge of $1.7 million for the thirteen and twenty-six weeks ended</w:t>
      </w:r>
    </w:p>
    <w:p>
      <w:pPr>
        <w:spacing w:after="0" w:line="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June 27, 2018, primarily related to the carrying value of the assets of one restaurant in Arizona. The Company recorded a non-cash impairment charge of $0.4 million for the thirteen and twenty-six weeks ended June 28, 2017, primarily related to the partial carrying value of the assets of one restaurant in Texas. Given the difficulty in projecting results for newer restaurants in newer markets, we are monitoring the recoverability of the carrying value of the assets of several restaurants on an ongoing basis, including those in the Arizona and Northern California markets. For these restaurants, if expected performance improvements are not realized, an impairment charge may be recognized in future periods, and such charge could be material.</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92"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Closed-Store Reserves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When the Company closes a restaurant, it reviews the future minimum lease payments and related ancillary costs from the date of the restaurant closure to the end of the remaining lease term and records a lease charge for the lease liabilities to be incurred, net of any estimated sublease recoveries. There is uncertainty in the estimates of future lease costs and sublease recoveries. In addition an impairment charge is recognized for any remaining carrying value of certain restaurant assets. During the thirteen weeks ended June 27, 2018, the Company closed two restaurants in Texas, both of which were previously impaired during the third quarter of 2017. During the twenty-six weeks ended June 27, 2018, the Company closed four restaurants in Texas, all of which were previously impaired during the third quarter of 2017, and decided not to move forward with the development of a third location in Texas. This resulted in a closed-store reserve expense of $2.3 million and $5.1 million for the thirteen and twenty-six weeks ended June 27, 2018, respectively. During the twenty-six weeks ended June 28, 2017, we closed one restaurant in Arizona and one restaurant in Texas, resulting in a closed store reserve expense of $0.8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expected to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consolidated financial position, results of operations, and cash flows.</w:t>
      </w:r>
    </w:p>
    <w:p>
      <w:pPr>
        <w:spacing w:after="0" w:line="17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June 27, 2018 or at December 27, 2017, and did not recognize interest or penalties during the thirteen or twenty-six weeks ended June 27, 2018 or June 28, 2017, since there were no material unrecognized tax benefits. Management believes no material changes to the amount of unrecognized tax benefits will occur within the next twelve months.</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fiscal 2017, President Trump signed into law "the Tax Cuts and Jobs Act”. The Tax Cuts and Jobs Act provides for significant changes in the U.S. Internal Revenue Code of 1986, as amended (the "Code"). The Tax Cuts and Jobs Act contains provisions with separate effective dates but is generally effective for tax years beginning after December 31, 2017. Among other changes, the Tax Cuts and Jobs Act lowers the corporate income tax rate from 35% to21%, repeals the corporate alternative minimum tax ("AMT"), limits the deductibility of interest expense and performance based incentive compensation, allows for 100% bonus depreciation on qualified fixed asset additions placed in service on or after September 27, 2017 and implements a modified territorial tax system. For tax years beginning in 2018, 2019 and 2020, to the extent AMT credit carryovers exceed regular tax liability, 50% of the excess of AMT credit carryovers would be refundable. Any remaining AMT credits would be fully refundable in 2021. The Tax Cuts and Jobs Act impacted the Company's consolidated results of operations in the current period, and is expected to continue to impact its consolidated results of operations in future periods. Impacts from the Tax Cuts and Jobs Act include the reduction in the corporate income tax rate from 35% to 21% and additional meals subject to the 50% disallowance that were previously 100% deductible. The Company may also be subject to future disallowance of deductions for certain executive compensation as a result of the changes to the Code section 162(m). We may make further refinements to our deferred tax assets related to executive compensations based upon technical guidance that may be published and changes to current interpretations of certain provisions of the Tax Cuts and Jobs Act. Any impacts to our provision as the result of additional guidance will be recorded in the period in which the guidance is issued.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04" w:right="239" w:bottom="1440" w:gutter="0" w:footer="0" w:header="0"/>
        </w:sectPr>
      </w:pPr>
    </w:p>
    <w:bookmarkStart w:id="14" w:name="page15"/>
    <w:bookmarkEnd w:id="14"/>
    <w:p>
      <w:pPr>
        <w:ind w:right="240"/>
        <w:spacing w:after="0" w:line="273" w:lineRule="auto"/>
        <w:rPr>
          <w:sz w:val="20"/>
          <w:szCs w:val="20"/>
          <w:color w:val="auto"/>
        </w:rPr>
      </w:pPr>
      <w:r>
        <w:rPr>
          <w:rFonts w:ascii="Arial" w:cs="Arial" w:eastAsia="Arial" w:hAnsi="Arial"/>
          <w:sz w:val="17"/>
          <w:szCs w:val="17"/>
          <w:color w:val="auto"/>
        </w:rPr>
        <w:t>On July 30, 2014, the Company entered into the TRA, which calls for the Company to pay to its pre-IPO stockholders 85% of the savings in cash that the Company realizes in its taxes as a result of utilizing its net operating losses and other tax attributes attributable to preceding periods. For the thirteen and twenty-six weeks ended June 27, 2018, we recorded income tax receivable agreement expense of $0.7 million and tax receivable agreement income $0.2 million, respectively, and for the thirteen and twenty-six weeks ended June 28, 2017, we recorded income tax receivable agreement income of $0.1 million and income tax receivable expense of $0.1 million, respectively, related to the amortization of interest expense related to our total expected TRA payments and changes in estimates for actual tax returns filed and future forecasted taxable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changes below, the Company has consistently applied the accounting policies to all periods presented in these condensed consolidated financial statements.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adopted ASU 2014-09, with a date of initial application of December 28, 2017. As a result, the Company has changed its accounting policy for revenue recognition as detailed below.</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generates a substantial amount of its revenues from company-operated restaurants. This revenue stream was not impacted by the adoption of ASU No. 2014-09, or any of the subsequent related ASU’s.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applied ASU 2014-09 using the modified retrospective method - by recognizing the cumulative effect of initially applying ASU 2014-09 as an adjustment to the opening balance of equity at December 28, 2017. Therefore, the comparative information has not been adjusted and continues to be reported under Topic 605. The details of the significant changes and quantitative impact of the changes are set out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Franchise revenue consists of franchise royalties, initial franchise fees, license fees due from franchisees and IT support services. Rental income for leases and subleases to franchisees are outside of the scope of the revenue standard and are within the scope of lease guidance. Franchise royalties are based upon a percentage of net sales of the franchisee and were previously recorded as income as such sales are earned by the franchisees, which will not change with the adoption of ASU 2014-09.</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franchise and development agreement fees, the Company's previous accounting policy was to recognize initial franchise fees, development fees, and franchise agreement renewals when all material obligations had been performed and conditions had been satisfied, typically when operations of the franchised restaurant had commenced. In accordance with the new guidance, the initial franchise services, or exclusivity of the development agreements, are not distinct from the continuing rights or services offered during the term of the franchise agreement, and will therefore be treated as a single performance obligation. As such, initial franchise and development fees received, and subsequent renewal fees, will be recognized over the franchise or renewal term typically twenty years.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Advertising Fee Revenue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previous accounting policy is to recognize advertising funded by franchisees on a net basis in the consolidated statements of income, and as a liability within our consolidated balance sheets. Under the new guidance, we will present advertising contributions received from franchisees as franchise advertising fee revenue and record all expenses of the advertising fund within franchise expenses, resulting in an increase in revenues and expenses on our consolidated statements of income, with no change to the consolidated balance sheets.</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adoption of this guidance did not have a material change on revenue from Company-operated restaurant revenue, gift cards or the Company's loyalty program.</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summarize the impacts of adopting ASU 2014-09 on the Company’s consolidated financial statements as of and for the thirteen and twenty-six weeks ended June 27,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00"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8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w w:val="93"/>
              </w:rPr>
              <w:t>Impact of changes in accounting policies</w:t>
            </w:r>
          </w:p>
        </w:tc>
      </w:tr>
      <w:tr>
        <w:trPr>
          <w:trHeight w:val="252"/>
        </w:trPr>
        <w:tc>
          <w:tcPr>
            <w:tcW w:w="3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Balances without</w:t>
            </w:r>
          </w:p>
        </w:tc>
      </w:tr>
      <w:tr>
        <w:trPr>
          <w:trHeight w:val="216"/>
        </w:trPr>
        <w:tc>
          <w:tcPr>
            <w:tcW w:w="3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adoption of ASU</w:t>
            </w:r>
          </w:p>
        </w:tc>
      </w:tr>
      <w:tr>
        <w:trPr>
          <w:trHeight w:val="234"/>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June 27, 2018 (in thousands)</w:t>
            </w:r>
          </w:p>
        </w:tc>
        <w:tc>
          <w:tcPr>
            <w:tcW w:w="1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Adjustments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2014-09</w:t>
            </w:r>
          </w:p>
        </w:tc>
      </w:tr>
      <w:tr>
        <w:trPr>
          <w:trHeight w:val="270"/>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
        </w:trPr>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1,285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448,648</w:t>
            </w:r>
          </w:p>
        </w:tc>
        <w:tc>
          <w:tcPr>
            <w:tcW w:w="14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1,285</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447,363</w:t>
            </w:r>
          </w:p>
        </w:tc>
      </w:tr>
      <w:tr>
        <w:trPr>
          <w:trHeight w:val="27"/>
        </w:trPr>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38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1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15,172</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50,622</w:t>
            </w:r>
          </w:p>
        </w:tc>
        <w:tc>
          <w:tcPr>
            <w:tcW w:w="14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50,275</w:t>
            </w:r>
          </w:p>
        </w:tc>
      </w:tr>
      <w:tr>
        <w:trPr>
          <w:trHeight w:val="27"/>
        </w:trPr>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21,278</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4,364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168,520</w:t>
            </w:r>
          </w:p>
        </w:tc>
        <w:tc>
          <w:tcPr>
            <w:tcW w:w="14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4,711</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163,809</w:t>
            </w:r>
          </w:p>
        </w:tc>
      </w:tr>
      <w:tr>
        <w:trPr>
          <w:trHeight w:val="27"/>
        </w:trPr>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(94,340)</w:t>
            </w:r>
          </w:p>
        </w:tc>
        <w:tc>
          <w:tcPr>
            <w:tcW w:w="1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(3,426)</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(90,914)</w:t>
            </w:r>
          </w:p>
        </w:tc>
      </w:tr>
      <w:tr>
        <w:trPr>
          <w:trHeight w:val="27"/>
        </w:trPr>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280,128</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(3,426)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283,554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w w:val="90"/>
              </w:rPr>
              <w:t>Total liabilities and stockholder’s equity</w:t>
            </w: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448,648</w:t>
            </w:r>
          </w:p>
        </w:tc>
        <w:tc>
          <w:tcPr>
            <w:tcW w:w="140" w:type="dxa"/>
            <w:vAlign w:val="bottom"/>
          </w:tcPr>
          <w:p>
            <w:pPr>
              <w:spacing w:after="0"/>
              <w:rPr>
                <w:sz w:val="21"/>
                <w:szCs w:val="21"/>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1,285</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447,363</w:t>
            </w:r>
          </w:p>
        </w:tc>
      </w:tr>
      <w:tr>
        <w:trPr>
          <w:trHeight w:val="513"/>
        </w:trPr>
        <w:tc>
          <w:tcPr>
            <w:tcW w:w="3160" w:type="dxa"/>
            <w:vAlign w:val="bottom"/>
          </w:tcPr>
          <w:p>
            <w:pPr>
              <w:spacing w:after="0"/>
              <w:rPr>
                <w:sz w:val="24"/>
                <w:szCs w:val="24"/>
                <w:color w:val="auto"/>
              </w:rPr>
            </w:pPr>
          </w:p>
        </w:tc>
        <w:tc>
          <w:tcPr>
            <w:tcW w:w="418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Thirteen Weeks Ended June 27, 2018</w:t>
            </w:r>
          </w:p>
        </w:tc>
        <w:tc>
          <w:tcPr>
            <w:tcW w:w="40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Twenty-Six Weeks Ended June 27, 2018</w:t>
            </w:r>
          </w:p>
        </w:tc>
      </w:tr>
      <w:tr>
        <w:trPr>
          <w:trHeight w:val="252"/>
        </w:trPr>
        <w:tc>
          <w:tcPr>
            <w:tcW w:w="3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Balances</w:t>
            </w:r>
          </w:p>
        </w:tc>
      </w:tr>
      <w:tr>
        <w:trPr>
          <w:trHeight w:val="216"/>
        </w:trPr>
        <w:tc>
          <w:tcPr>
            <w:tcW w:w="3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Balances without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without</w:t>
            </w:r>
          </w:p>
        </w:tc>
      </w:tr>
      <w:tr>
        <w:trPr>
          <w:trHeight w:val="216"/>
        </w:trPr>
        <w:tc>
          <w:tcPr>
            <w:tcW w:w="3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adoption of ASU</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adoption of ASU</w:t>
            </w:r>
          </w:p>
        </w:tc>
      </w:tr>
      <w:tr>
        <w:trPr>
          <w:trHeight w:val="234"/>
        </w:trPr>
        <w:tc>
          <w:tcPr>
            <w:tcW w:w="316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As Reported</w:t>
            </w: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Adjustments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2014-09</w:t>
            </w:r>
          </w:p>
        </w:tc>
        <w:tc>
          <w:tcPr>
            <w:tcW w:w="120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w w:val="99"/>
              </w:rPr>
              <w:t>As Reported</w:t>
            </w: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2014-09</w:t>
            </w:r>
          </w:p>
        </w:tc>
      </w:tr>
      <w:tr>
        <w:trPr>
          <w:trHeight w:val="27"/>
        </w:trPr>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6,553</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6,609</w:t>
            </w:r>
          </w:p>
        </w:tc>
        <w:tc>
          <w:tcPr>
            <w:tcW w:w="1060" w:type="dxa"/>
            <w:vAlign w:val="bottom"/>
          </w:tcPr>
          <w:p>
            <w:pPr>
              <w:jc w:val="right"/>
              <w:spacing w:after="0"/>
              <w:rPr>
                <w:sz w:val="20"/>
                <w:szCs w:val="20"/>
                <w:color w:val="auto"/>
              </w:rPr>
            </w:pPr>
            <w:r>
              <w:rPr>
                <w:rFonts w:ascii="Arial" w:cs="Arial" w:eastAsia="Arial" w:hAnsi="Arial"/>
                <w:sz w:val="18"/>
                <w:szCs w:val="18"/>
                <w:color w:val="auto"/>
              </w:rPr>
              <w:t>12,659</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12,727</w:t>
            </w:r>
          </w:p>
        </w:tc>
      </w:tr>
      <w:tr>
        <w:trPr>
          <w:trHeight w:val="27"/>
        </w:trPr>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5,453</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5,453</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111,633</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5,397</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106,236</w:t>
            </w:r>
          </w:p>
        </w:tc>
        <w:tc>
          <w:tcPr>
            <w:tcW w:w="1060" w:type="dxa"/>
            <w:vAlign w:val="bottom"/>
          </w:tcPr>
          <w:p>
            <w:pPr>
              <w:jc w:val="right"/>
              <w:spacing w:after="0"/>
              <w:rPr>
                <w:sz w:val="20"/>
                <w:szCs w:val="20"/>
                <w:color w:val="auto"/>
              </w:rPr>
            </w:pPr>
            <w:r>
              <w:rPr>
                <w:rFonts w:ascii="Arial" w:cs="Arial" w:eastAsia="Arial" w:hAnsi="Arial"/>
                <w:sz w:val="18"/>
                <w:szCs w:val="18"/>
                <w:color w:val="auto"/>
              </w:rPr>
              <w:t>217,389</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10,482</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206,907</w:t>
            </w:r>
          </w:p>
        </w:tc>
      </w:tr>
      <w:tr>
        <w:trPr>
          <w:trHeight w:val="27"/>
        </w:trPr>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operations</w:t>
            </w:r>
          </w:p>
        </w:tc>
        <w:tc>
          <w:tcPr>
            <w:tcW w:w="1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Franchise expenses</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6,250</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5,453</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797</w:t>
            </w:r>
          </w:p>
        </w:tc>
        <w:tc>
          <w:tcPr>
            <w:tcW w:w="1060" w:type="dxa"/>
            <w:vAlign w:val="bottom"/>
          </w:tcPr>
          <w:p>
            <w:pPr>
              <w:jc w:val="right"/>
              <w:spacing w:after="0"/>
              <w:rPr>
                <w:sz w:val="20"/>
                <w:szCs w:val="20"/>
                <w:color w:val="auto"/>
              </w:rPr>
            </w:pPr>
            <w:r>
              <w:rPr>
                <w:rFonts w:ascii="Arial" w:cs="Arial" w:eastAsia="Arial" w:hAnsi="Arial"/>
                <w:sz w:val="18"/>
                <w:szCs w:val="18"/>
                <w:color w:val="auto"/>
              </w:rPr>
              <w:t>12,082</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10,550</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1,532</w:t>
            </w:r>
          </w:p>
        </w:tc>
      </w:tr>
      <w:tr>
        <w:trPr>
          <w:trHeight w:val="27"/>
        </w:trPr>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104,044</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5,453</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98,591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205,352</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194,802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7,589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7,645</w:t>
            </w:r>
          </w:p>
        </w:tc>
        <w:tc>
          <w:tcPr>
            <w:tcW w:w="1060" w:type="dxa"/>
            <w:vAlign w:val="bottom"/>
          </w:tcPr>
          <w:p>
            <w:pPr>
              <w:jc w:val="right"/>
              <w:spacing w:after="0"/>
              <w:rPr>
                <w:sz w:val="20"/>
                <w:szCs w:val="20"/>
                <w:color w:val="auto"/>
              </w:rPr>
            </w:pPr>
            <w:r>
              <w:rPr>
                <w:rFonts w:ascii="Arial" w:cs="Arial" w:eastAsia="Arial" w:hAnsi="Arial"/>
                <w:sz w:val="18"/>
                <w:szCs w:val="18"/>
                <w:color w:val="auto"/>
              </w:rPr>
              <w:t>12,037</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12,105</w:t>
            </w:r>
          </w:p>
        </w:tc>
      </w:tr>
      <w:tr>
        <w:trPr>
          <w:trHeight w:val="27"/>
        </w:trPr>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w:t>
            </w:r>
          </w:p>
        </w:tc>
        <w:tc>
          <w:tcPr>
            <w:tcW w:w="1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1"/>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taxes</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5,917</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5,973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5,052</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5,108</w:t>
            </w:r>
          </w:p>
        </w:tc>
        <w:tc>
          <w:tcPr>
            <w:tcW w:w="1060" w:type="dxa"/>
            <w:vAlign w:val="bottom"/>
          </w:tcPr>
          <w:p>
            <w:pPr>
              <w:jc w:val="right"/>
              <w:spacing w:after="0"/>
              <w:rPr>
                <w:sz w:val="20"/>
                <w:szCs w:val="20"/>
                <w:color w:val="auto"/>
              </w:rPr>
            </w:pPr>
            <w:r>
              <w:rPr>
                <w:rFonts w:ascii="Arial" w:cs="Arial" w:eastAsia="Arial" w:hAnsi="Arial"/>
                <w:sz w:val="18"/>
                <w:szCs w:val="18"/>
                <w:color w:val="auto"/>
              </w:rPr>
              <w:t>7,581</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5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and equipment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27, 2018</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27,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149,218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124,056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8,225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(135,951)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(106,522)</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103,937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102,794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gross value of assets under capital leases for buildings and improvements was $1.6 million as of June 27, 2018 and December 27, 2017. Accumulated depreciation for assets under capital leases was $1.5 million as of June 27, 2018 and December 27, 2017.</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was $4.3 million and $4.6 million for the thirteen weeks ended June 27, 2018 and June 28, 2017, respectively, and $8.6 million and $8.9 million for the twenty-six weeks ended June 28, 2017, respectively.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the Company's review of its long-lived assets for impairment, the Company recorded non-cash impairment charges of $1.7 million for the thirteen and twenty-six weeks ended June 27, 2018, and $0.4 million for the thirteen and twenty-six weeks ended June 28,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At June 27, 2018, options to purchase 2,196,744 shares of common stock were outstanding, including 1,980,301 vested and 216,443 unvested. Unvested options vest over time; however, upon a change in control, the board may accelerate vesting. At June 27, 2018, 1,599,944 premium options, options granted above the stock price at date of grant, remained outstanding. There were no stock option exercises during the thirteen and twenty-six weeks ended June 27, 2018. For the thirteen and twenty-six ended June 28, 2017, there were stock option exercises of 17,661. For the thirteen and twenty-six weeks ended June 27, 2018, there were 120,752 stock options granted at the fair market value on the date of grant. For the thirteen and twenty-six weeks ended June 28, 2017, there were 128,252 stock options granted at the fair market value on the date of grant. At June 27, 2018, the Company had total unrecognized compensation expense of $0.7 million related to unvested stock options, which it expects to recognize over a weighted-average period of 3.3 years.</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thirteen and twenty-six weeks ended June 27, 2018, there were no restricted shares granted. For the thirteen and twenty-six weeks ended June 28, 2017, there were 169,676 restricted shares granted at the fair market value on date of grant. At June 27, 2018, there were 113,741 unvested restricted shares outstanding. At June 27, 2018, the Company had total unrecognized compensation expense of $1.4 million related to unvested restricted shares, which it expects to recognize over a weighted-average period of 2.7 years.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For the thirteen and twenty-six weeks ended June 27, 2018, there were 72,116 performance stock units granted at the fair market value on date of grant. These awards are subject to service-based and market-based vesting conditions. The service period is from May 2018 to May 2019 and the market-based conditions are based on stock price. There were no performance stock units granted for the thirteen and twenty-six weeks ended June 28, 2017. At June 27, 2018, there were 72,116 unvested performance stock units outstanding. At June 27, 2018, the Company had total unrecognized compensation expense of $0.4 million related to performance stock units, which it expects to recognize over a weighted-average period of 4.9 years.</w:t>
      </w:r>
    </w:p>
    <w:p>
      <w:pPr>
        <w:spacing w:after="0" w:line="1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thirteen and twenty-six weeks ended June 27, 2018, there were 96,156 restricted units granted at the fair market value on date of grant. There were no restricted units granted for the thirteen and twenty-six weeks ended June 28, 2017. At June 27, 2018, there were 96,156 unvested restricted units outstanding. At June 27, 2018, the Company had total unrecognized compensation expense of $0.9 million related to unvested restricted units, which it expects to recognize over a weighted-average period of 3.9 years.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connection with the retirement of our former President and CEO, the Company has modified his previously granted equity awards to accelerate the vesting of 33,545 shares, which would have otherwise vested in May 2018, and extended the exercise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ind w:right="60"/>
        <w:spacing w:after="0" w:line="259" w:lineRule="auto"/>
        <w:rPr>
          <w:sz w:val="20"/>
          <w:szCs w:val="20"/>
          <w:color w:val="auto"/>
        </w:rPr>
      </w:pPr>
      <w:r>
        <w:rPr>
          <w:rFonts w:ascii="Arial" w:cs="Arial" w:eastAsia="Arial" w:hAnsi="Arial"/>
          <w:sz w:val="18"/>
          <w:szCs w:val="18"/>
          <w:color w:val="auto"/>
        </w:rPr>
        <w:t>ability of all his vested and outstanding options until the expiration of the original term of such options. As a result, the Company incurred incremental stock-based compensation expense of $0.3 million and $0.8 million for the thirteen and twenty-six weeks ended June 27, 2018, respectively. Total stock-based compensation expense was $0.6 million and $1.2 million for the thirteen and twenty-six weeks ended June 27, 2018, respectively, and $0.3 million and $0.4 million for the thirteen and twenty-six weeks ended June 28,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AGREEMENTS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provided for a $200.0 million five-year senior secured revolving facility (the “2014 Revolver”). The 2014 Revolver included a sub limit of $15.0 million for letters of credit and a sub limit of $15.0 million for swingline loans. At June 27, 2018, $7.7 million of letters of credit, and $86.0 million of the revolving line of credit were outstanding. The amount available under the revolving line of credit was $106.3 million at June 27, 2018. The 2014 Revolver will mature on or about December 11, 2019.</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interest rate range was 3.6% to 3.7% and 3.3% to 3.7% for the thirteen and twenty-six weeks ended June 27, 2018, respectively, and 2.7% to 3.0% and 2.4% to 3.0% for the thirteen and twenty-six weeks ended June 28, 2017, respectively.</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June 27, 2018. See Note 1 for restrictions on the payment of dividends under the 2014 Revolver.</w:t>
      </w:r>
    </w:p>
    <w:p>
      <w:pPr>
        <w:spacing w:after="0" w:line="18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On July 13, 2018, the 2014 Revolver was refinanced pursuant to a new credit agreement (the “2018 Credit Agreement”) among EPL, as borrower, the Company and Intermediate, as guarantors, the lenders and other parties party thereto and Bank of America, N.A., as administrative agent, swingline lender and letters of credit issuer, which provides for a $150.0 million five-year senior secured revolving facility (the “2018 Revolver”). For more information regarding the 2018 Credit Agreement, see “Subsequent Events ― 2018 Credit Agreement.”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are no required principal payments prior to maturity for the 2014 Revolver. During the thirteen and twenty-six weeks ended June 27, 2018, the Company elected to pay down $5.0 million and $13.0 million of outstanding borrowings on the Company's 2014 Revolver, respectively, primarily from its cash flow from operations. During the thirteen and twenty-six weeks ended June 28, 2017, the Company elected to pay down $6.5 million and $9.5 million, respectively, of outstanding borrowings on the Company's 2014 Revolver. On July 13, 2018, the Company refinanced the 2014 Revolver pursuant to the 2018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27, 2018</w:t>
            </w:r>
          </w:p>
        </w:tc>
        <w:tc>
          <w:tcPr>
            <w:tcW w:w="14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27,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property taxes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Gift card liability</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2,319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legal fees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4,615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accrued expenses and current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13,270</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NONCURRENT LIABILITIES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27, 2018</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27,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Franchise contract liability</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620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noncurrent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21,278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12,772</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78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40"/>
        <w:spacing w:after="0" w:line="287" w:lineRule="auto"/>
        <w:rPr>
          <w:sz w:val="20"/>
          <w:szCs w:val="20"/>
          <w:color w:val="auto"/>
        </w:rPr>
      </w:pPr>
      <w:r>
        <w:rPr>
          <w:rFonts w:ascii="Arial" w:cs="Arial" w:eastAsia="Arial" w:hAnsi="Arial"/>
          <w:sz w:val="16"/>
          <w:szCs w:val="16"/>
          <w:color w:val="auto"/>
        </w:rPr>
        <w:t xml:space="preserve">On or about February 24, 2014, a former employee filed a class action in the Superior Court of the State of California, County of Orange, under the caption </w:t>
      </w:r>
      <w:r>
        <w:rPr>
          <w:rFonts w:ascii="Arial" w:cs="Arial" w:eastAsia="Arial" w:hAnsi="Arial"/>
          <w:sz w:val="16"/>
          <w:szCs w:val="16"/>
          <w:u w:val="single" w:color="auto"/>
          <w:color w:val="auto"/>
        </w:rPr>
        <w:t>Elliott Olvera, et al v. El Pollo Loco, Inc., et al</w:t>
      </w:r>
      <w:r>
        <w:rPr>
          <w:rFonts w:ascii="Arial" w:cs="Arial" w:eastAsia="Arial" w:hAnsi="Arial"/>
          <w:sz w:val="16"/>
          <w:szCs w:val="16"/>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executed a Stipulation of Class Settlement and Release which the court refused to approve on the grounds that it did not provide sufficient compensation for the putative class members. Further settlement discussions were not successful, and the court recently certified two class of plaintiffs - one class encompasses restaurant employees who were not provided proper rest breaks because they were not allowed to leave the premises during their breaks and the other class encompasses restaurant employees who were required to wait at the restaurant after they finished working for the night until the manager set the alarm for safety purposes. Purported class actions alleging wage and hour violations are commonly filed against California employers. The Company has similar cases pending that overlap in part with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action and fully expects to have to defend against similar lawsuits in the future.</w:t>
      </w:r>
    </w:p>
    <w:p>
      <w:pPr>
        <w:spacing w:after="0" w:line="38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8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on July 3, 2018, the Court granted Plaintiffs’ motion and certified a class as to all of Plaintiffs’ claims. Defendants are currently seeking appellate review of a portion of the Court’s July 3, 2018 class certification order. Defendants intend to continue to defend against the claims asserted.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ind w:right="26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6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On March 17, 2017, the Delaware court granted in part, and denied in part, the motion to stay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for five months pending an investigation of the allegations in the action by a special litigation committee of the Holdings board of directors, and the action remains stayed.</w:t>
      </w:r>
    </w:p>
    <w:p>
      <w:pPr>
        <w:spacing w:after="0" w:line="187"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Janice P. Handlers-Bryman and Michael D. Bryman v. El Pollo Loco, Inc.</w:t>
      </w:r>
      <w:r>
        <w:rPr>
          <w:rFonts w:ascii="Arial" w:cs="Arial" w:eastAsia="Arial" w:hAnsi="Arial"/>
          <w:sz w:val="16"/>
          <w:szCs w:val="16"/>
          <w:color w:val="auto"/>
        </w:rPr>
        <w:t xml:space="preserve">,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company-owned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company-owned locations to Plaintiffs or to continuously disgorge to Plaintiffs the unjust enrichment allegedly obtained by us through the operation of the company-owned restaurants in Lancaster. We denied Plaintiffs’ allegations as the franchise agreement did not grant Plaintiffs any exclusive territorial rights and, instead, expressly reserved for us the right to open and operate and the right to grant others the right to open and operate - El Pollo Loco restaurants “in the immediate vicinity of or adjacent to” Plaintiffs’ restaurant in Lancaster. On June 7, 2016, we filed a cross-complaint against Plaintiffs for breach of the franchise agreement due to Plaintiffs’ failure to pay to us liquidated damages provided for in the franchise agreement in connection with their solicitation and/or hiring of our general manager. This counterclaim was voluntarily dismissed by us, without prejudice, on February 27, 2017 and a related action before the San Bernardino Superior Court titled </w:t>
      </w:r>
      <w:r>
        <w:rPr>
          <w:rFonts w:ascii="Arial" w:cs="Arial" w:eastAsia="Arial" w:hAnsi="Arial"/>
          <w:sz w:val="16"/>
          <w:szCs w:val="16"/>
          <w:u w:val="single" w:color="auto"/>
          <w:color w:val="auto"/>
        </w:rPr>
        <w:t>El</w:t>
      </w:r>
      <w:r>
        <w:rPr>
          <w:rFonts w:ascii="Arial" w:cs="Arial" w:eastAsia="Arial" w:hAnsi="Arial"/>
          <w:sz w:val="16"/>
          <w:szCs w:val="16"/>
          <w:color w:val="auto"/>
        </w:rPr>
        <w:t xml:space="preserve"> </w:t>
      </w:r>
      <w:r>
        <w:rPr>
          <w:rFonts w:ascii="Arial" w:cs="Arial" w:eastAsia="Arial" w:hAnsi="Arial"/>
          <w:sz w:val="16"/>
          <w:szCs w:val="16"/>
          <w:u w:val="single" w:color="auto"/>
          <w:color w:val="auto"/>
        </w:rPr>
        <w:t>Pollo Loco, Inc. v. EPL 3766, Inc. was dismissed on April 6, 2017.</w:t>
      </w:r>
      <w:r>
        <w:rPr>
          <w:rFonts w:ascii="Arial" w:cs="Arial" w:eastAsia="Arial" w:hAnsi="Arial"/>
          <w:sz w:val="16"/>
          <w:szCs w:val="16"/>
          <w:color w:val="auto"/>
        </w:rPr>
        <w:t xml:space="preserve">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went forward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 17200 et seq. ,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company-owned El Pollo Loco restaurants in Lancaster, and (2) not offering the two new company-owned El Pollo Loco restaurants in Lancaster to Plaintiffs. Because the trial was bifurcated, the December 11, 2017 verdict did not include a determination of damages.</w:t>
      </w:r>
    </w:p>
    <w:p>
      <w:pPr>
        <w:spacing w:after="0" w:line="3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damages phase of the trial went forward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company-owned El Pollo Loco restaurants in Lancaster to Plaintiffs. On August 1, 2018, the court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0" w:name="page21"/>
    <w:bookmarkEnd w:id="20"/>
    <w:p>
      <w:pPr>
        <w:ind w:right="40"/>
        <w:spacing w:after="0" w:line="255" w:lineRule="auto"/>
        <w:rPr>
          <w:sz w:val="20"/>
          <w:szCs w:val="20"/>
          <w:color w:val="auto"/>
        </w:rPr>
      </w:pPr>
      <w:r>
        <w:rPr>
          <w:rFonts w:ascii="Arial" w:cs="Arial" w:eastAsia="Arial" w:hAnsi="Arial"/>
          <w:sz w:val="18"/>
          <w:szCs w:val="18"/>
          <w:color w:val="auto"/>
        </w:rPr>
        <w:t>issued a final judgment and decision on the unfair business practices claim under California Business &amp; Professions Code §§ 17200 et seq. The court has found El Pollo Loco liable and has issued injunctive relief requiring El Pollo Loco to revise its franchise disclosure document and franchise agreement. The court also awarded Plaintiffs restitution of $4,356,600 for “impact damages” arising out of our construction of the two new company-owned El Pollo Loco restaurants in Lancaster. The court, reversing its previous position, held that these damages could be awarded in addition to the "lost opportunity damages" awarded by the jury. Thus, the court entered a total monetary judgment of $8,837,806. There has been no ruling on the causes of action for reformation due to mistake and unconscionability, and declaratory relief.</w:t>
      </w:r>
    </w:p>
    <w:p>
      <w:pPr>
        <w:spacing w:after="0" w:line="19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believes that both jury verdicts and the court's verdict are in error due to express language of the franchise agreement and because of prejudicial and reversible errors of the court in the earlier phases of the litigation, during the liability phase of the trial, and during the damages phases of the trial. El Pollo Loco intends to file a motion challenging the verdicts, a motion for new trial (both the liability phase and damages phase) and, if unsuccessful, will appeal the verdict and various other rulings in the case. Based on the assessment by Management, together with our legal counsel, the Company believes that the loss is currently not probable under ASC 450 and as of June 27, 2018, no accrual has been made with regard to the verdict.</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June 27, 2018, the Company’s total estimated commitment to purchase chicken was $14.6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result of assigning the Company’s interest in obligations under real estate leases in connection with the sale of company-operated restaurants to some of the Company’s franchisees, the Company is contingently liable on five lease agreements. These leases have various terms, the latest of which expires in 2036. As of June 27, 2018, the potential amount of undiscounted payments the Company could be required to make in the event of non-payment by the primary lessee was $2.5 million. The present value of these potential payments discounted at the Company’s estimated pre-tax cost of debt at June 27, 2018 was $2.1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condensed consolidated financial statements related to these contingent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has employment agreements with two of the officers of the Company on an at will basis. These agreements provide for minimum salary levels, possible annual adjustments for cost-of-living changes, and incentive bonuses that are payable under certain business conditions. The Company incurred $0.4 million and $0.8 million of expense related to employment agreements for the thirteen and twenty-six weeks ended June 27, 2018. There were no expenses related to employment agreements for the thirteen and twenty-six weeks ended June 28, 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Basic net income per share is calculated using the weighted-average number of shares of common stock outstanding during the thirteen weeks ended June 27, 2018 and June 28, 2017. Diluted net income per share is calculated using the weighted-average number of shares of common stock outstanding and potentially dilutive during the period, using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net income per share data for the periods indicated, which are in thousands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2018</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2017</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27, 2018</w:t>
            </w:r>
          </w:p>
        </w:tc>
        <w:tc>
          <w:tcPr>
            <w:tcW w:w="180" w:type="dxa"/>
            <w:vAlign w:val="bottom"/>
          </w:tcPr>
          <w:p>
            <w:pPr>
              <w:spacing w:after="0"/>
              <w:rPr>
                <w:sz w:val="22"/>
                <w:szCs w:val="22"/>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June 28, 2017</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5,052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7,819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7,581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12,696</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shares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outstanding—basic</w:t>
            </w:r>
          </w:p>
        </w:tc>
        <w:tc>
          <w:tcPr>
            <w:tcW w:w="20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38,482,074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38,449,240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38,473,641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38,443,130</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outstanding—diluted</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39,043,434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39,123,961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39,015,259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39,102,501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per share—basic</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0.33</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Anti-dilutive securities not considered in</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570,774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763,761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570,774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763,761</w:t>
            </w:r>
          </w:p>
        </w:tc>
      </w:tr>
    </w:tbl>
    <w:p>
      <w:pPr>
        <w:sectPr>
          <w:pgSz w:w="11900" w:h="16838" w:orient="portrait"/>
          <w:cols w:equalWidth="0" w:num="1">
            <w:col w:w="11420"/>
          </w:cols>
          <w:pgMar w:left="240" w:top="584" w:right="239" w:bottom="0" w:gutter="0" w:footer="0" w:header="0"/>
        </w:sectPr>
      </w:pPr>
    </w:p>
    <w:bookmarkStart w:id="21" w:name="page22"/>
    <w:bookmarkEnd w:id="21"/>
    <w:p>
      <w:pPr>
        <w:ind w:left="180"/>
        <w:spacing w:after="0"/>
        <w:rPr>
          <w:sz w:val="20"/>
          <w:szCs w:val="20"/>
          <w:color w:val="auto"/>
        </w:rPr>
      </w:pPr>
      <w:r>
        <w:rPr>
          <w:rFonts w:ascii="Arial" w:cs="Arial" w:eastAsia="Arial" w:hAnsi="Arial"/>
          <w:sz w:val="18"/>
          <w:szCs w:val="18"/>
          <w:color w:val="auto"/>
        </w:rPr>
        <w:t>diluted EPS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basic and diluted share counts.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27, 2018</w:t>
            </w: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28, 2017</w:t>
            </w: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27, 2018</w:t>
            </w:r>
          </w:p>
        </w:tc>
        <w:tc>
          <w:tcPr>
            <w:tcW w:w="1360" w:type="dxa"/>
            <w:vAlign w:val="bottom"/>
          </w:tcPr>
          <w:p>
            <w:pPr>
              <w:jc w:val="right"/>
              <w:ind w:right="174"/>
              <w:spacing w:after="0"/>
              <w:rPr>
                <w:sz w:val="20"/>
                <w:szCs w:val="20"/>
                <w:color w:val="auto"/>
              </w:rPr>
            </w:pPr>
            <w:r>
              <w:rPr>
                <w:rFonts w:ascii="Arial" w:cs="Arial" w:eastAsia="Arial" w:hAnsi="Arial"/>
                <w:sz w:val="14"/>
                <w:szCs w:val="14"/>
                <w:b w:val="1"/>
                <w:bCs w:val="1"/>
                <w:color w:val="auto"/>
              </w:rPr>
              <w:t>June 28, 2017</w:t>
            </w:r>
          </w:p>
        </w:tc>
        <w:tc>
          <w:tcPr>
            <w:tcW w:w="0" w:type="dxa"/>
            <w:vAlign w:val="bottom"/>
          </w:tcPr>
          <w:p>
            <w:pPr>
              <w:spacing w:after="0"/>
              <w:rPr>
                <w:sz w:val="1"/>
                <w:szCs w:val="1"/>
                <w:color w:val="auto"/>
              </w:rPr>
            </w:pPr>
          </w:p>
        </w:tc>
      </w:tr>
      <w:tr>
        <w:trPr>
          <w:trHeight w:val="215"/>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38,482,074</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38,449,240</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38,473,641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38,443,130</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Dilutive effect of stock options and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restricted shares</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561,360</w:t>
            </w:r>
          </w:p>
        </w:tc>
        <w:tc>
          <w:tcPr>
            <w:tcW w:w="12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674,721</w:t>
            </w:r>
          </w:p>
        </w:tc>
        <w:tc>
          <w:tcPr>
            <w:tcW w:w="14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541,618</w:t>
            </w:r>
          </w:p>
        </w:tc>
        <w:tc>
          <w:tcPr>
            <w:tcW w:w="1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659,371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38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39,043,434</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39,123,961</w:t>
            </w:r>
          </w:p>
        </w:tc>
        <w:tc>
          <w:tcPr>
            <w:tcW w:w="14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39,015,259</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39,102,501</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Trimaran Pollo Partners, L.L.C. (“LLC”), owns approximately 43.2%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w:t>
      </w:r>
    </w:p>
    <w:p>
      <w:pPr>
        <w:spacing w:after="0" w:line="2"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member of the board of directors may be removed at any time without cause by affirmative vote of a majority of the Company’s common stock,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stockholders representing 40% or greater ownership may cause special stockholder meetings to be called.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ind w:right="6020" w:firstLine="8"/>
        <w:spacing w:after="0" w:line="445" w:lineRule="auto"/>
        <w:tabs>
          <w:tab w:leader="none" w:pos="27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REVENUE FROM CONTRACTS WITH CUSTOMERS Adoption of ASU 2014-09, "Revenue from Contracts with Customers"</w:t>
      </w:r>
    </w:p>
    <w:p>
      <w:pPr>
        <w:spacing w:after="0" w:line="35"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On December 28, 2017, the Company adopted ASU 2014-09 using the modified retrospective method applied to those contracts, which were not fully satisfied as of December 28, 2017. Results for reporting periods beginning after December 28, 2017, are presented under Topic 606, while prior period amounts are not adjusted and continue to be reported in accordance with our historic accounting under Topic 605.</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catch-up adjustment recorded to accumulated deficit was approximately $3.5 million, net of taxes, related to franchise and development fees.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revenue streams, company-operated restaurant revenue and franchise related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offers a loyalty rewards program, which awards a customer one point for ever $1 spent. When 100 points are accumulated a $10 reward to be used on future purchases is earned.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or the likelihood of redemption is remote. A portion of the transaction price is allocated to loyalty points, if necessary, on a pro-rata basis, based on stand-alone selling price, as determined by menu pricing and loyalty points terms. As of June 27, 2018 and December 27, 2017, the revenue allocated to loyalty points that have not been redeemed are $0.7 million and $0.4 million, respectively, which are reflected in the Company's accompanying condensed consolidated balance sheets within other accrued expenses and current liabilities. The Company expects the loyalty points to be redeemed and recognized over a one year period.</w:t>
      </w:r>
    </w:p>
    <w:p>
      <w:pPr>
        <w:spacing w:after="0" w:line="7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and franchise advertising revenue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Franchise revenue consists of franchise royalties, initial franchise fees, license fees due from franchisees, IT support services, and rental income for leases and subleases to franchisees. Franchise advertising revenue consists of advertising contributions received from franchisees. These revenue streams are made up of the following performance obligations:</w:t>
      </w:r>
    </w:p>
    <w:p>
      <w:pPr>
        <w:spacing w:after="0" w:line="7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Franchise License - inclusive of advertising services, development agreements, training, access to plans and help desk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Discounted renewal option.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Hardware services.</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6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3" w:name="page24"/>
    <w:bookmarkEnd w:id="23"/>
    <w:p>
      <w:pPr>
        <w:ind w:right="240"/>
        <w:spacing w:after="0" w:line="277" w:lineRule="auto"/>
        <w:rPr>
          <w:sz w:val="20"/>
          <w:szCs w:val="20"/>
          <w:color w:val="auto"/>
        </w:rPr>
      </w:pPr>
      <w:r>
        <w:rPr>
          <w:rFonts w:ascii="Arial" w:cs="Arial" w:eastAsia="Arial" w:hAnsi="Arial"/>
          <w:sz w:val="18"/>
          <w:szCs w:val="18"/>
          <w:color w:val="auto"/>
        </w:rPr>
        <w:t>expedient regarding disclosure of the aggregate amount of the transaction price allocated to the performance obligations that are unsatisfied for sales-based royalties.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 year renewal. This performance obligation is satisfied over the renewal term, typically 10 or 20 years, while payment is fixed and due at the time the renewal is signed.</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June 27, 2018, there were no performance obligations, related to hardware services that were unsatisfied or partially satisfied.</w:t>
      </w:r>
    </w:p>
    <w:p>
      <w:pPr>
        <w:sectPr>
          <w:pgSz w:w="11900" w:h="16838" w:orient="portrait"/>
          <w:cols w:equalWidth="0" w:num="1">
            <w:col w:w="11420"/>
          </w:cols>
          <w:pgMar w:left="240" w:top="692"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revenues disaggregated by revenue source and market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Core Market</w:t>
      </w:r>
      <w:r>
        <w:rPr>
          <w:rFonts w:ascii="Arial" w:cs="Arial" w:eastAsia="Arial" w:hAnsi="Arial"/>
          <w:sz w:val="8"/>
          <w:szCs w:val="8"/>
          <w:b w:val="1"/>
          <w:bCs w:val="1"/>
          <w:color w:val="auto"/>
        </w:rPr>
        <w:t>(1)</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Company-operated restaurant revenue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Franchise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Franchise advertising fee revenue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Total core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Non-Core Market</w:t>
      </w:r>
      <w:r>
        <w:rPr>
          <w:rFonts w:ascii="Arial" w:cs="Arial" w:eastAsia="Arial" w:hAnsi="Arial"/>
          <w:sz w:val="8"/>
          <w:szCs w:val="8"/>
          <w:b w:val="1"/>
          <w:bCs w:val="1"/>
          <w:color w:val="auto"/>
        </w:rPr>
        <w:t>(2)</w:t>
      </w:r>
      <w:r>
        <w:rPr>
          <w:rFonts w:ascii="Arial" w:cs="Arial" w:eastAsia="Arial" w:hAnsi="Arial"/>
          <w:sz w:val="13"/>
          <w:szCs w:val="13"/>
          <w:b w:val="1"/>
          <w:bCs w:val="1"/>
          <w:color w:val="auto"/>
        </w:rPr>
        <w:t>:</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Company-operated restaurant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Franchise revenue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Franchise advertising fee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Total non-core market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Thirteen Weeks Ended</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Twenty-Six Weeks Ended</w:t>
            </w:r>
          </w:p>
        </w:tc>
      </w:tr>
      <w:tr>
        <w:trPr>
          <w:trHeight w:val="183"/>
        </w:trPr>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3"/>
                <w:szCs w:val="13"/>
                <w:b w:val="1"/>
                <w:bCs w:val="1"/>
                <w:color w:val="auto"/>
              </w:rPr>
              <w:t>June 27, 2018</w:t>
            </w:r>
          </w:p>
        </w:tc>
        <w:tc>
          <w:tcPr>
            <w:tcW w:w="840" w:type="dxa"/>
            <w:vAlign w:val="bottom"/>
            <w:tcBorders>
              <w:bottom w:val="single" w:sz="8" w:color="auto"/>
            </w:tcBorders>
          </w:tcPr>
          <w:p>
            <w:pPr>
              <w:spacing w:after="0"/>
              <w:rPr>
                <w:sz w:val="15"/>
                <w:szCs w:val="15"/>
                <w:color w:val="auto"/>
              </w:rPr>
            </w:pPr>
          </w:p>
        </w:tc>
      </w:tr>
      <w:tr>
        <w:trPr>
          <w:trHeight w:val="524"/>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86,842</w:t>
            </w:r>
          </w:p>
        </w:tc>
        <w:tc>
          <w:tcPr>
            <w:tcW w:w="120" w:type="dxa"/>
            <w:vAlign w:val="bottom"/>
          </w:tcPr>
          <w:p>
            <w:pPr>
              <w:spacing w:after="0"/>
              <w:rPr>
                <w:sz w:val="24"/>
                <w:szCs w:val="24"/>
                <w:color w:val="auto"/>
              </w:rPr>
            </w:pPr>
          </w:p>
        </w:tc>
        <w:tc>
          <w:tcPr>
            <w:tcW w:w="62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169,804</w:t>
            </w:r>
          </w:p>
        </w:tc>
      </w:tr>
      <w:tr>
        <w:trPr>
          <w:trHeight w:val="270"/>
        </w:trPr>
        <w:tc>
          <w:tcPr>
            <w:tcW w:w="120" w:type="dxa"/>
            <w:vAlign w:val="bottom"/>
          </w:tcPr>
          <w:p>
            <w:pPr>
              <w:spacing w:after="0"/>
              <w:rPr>
                <w:sz w:val="23"/>
                <w:szCs w:val="23"/>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3,609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6,985</w:t>
            </w:r>
          </w:p>
        </w:tc>
      </w:tr>
      <w:tr>
        <w:trPr>
          <w:trHeight w:val="280"/>
        </w:trPr>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2,769</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5,378</w:t>
            </w:r>
          </w:p>
        </w:tc>
      </w:tr>
      <w:tr>
        <w:trPr>
          <w:trHeight w:val="25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93,220</w:t>
            </w:r>
          </w:p>
        </w:tc>
        <w:tc>
          <w:tcPr>
            <w:tcW w:w="120" w:type="dxa"/>
            <w:vAlign w:val="bottom"/>
          </w:tcPr>
          <w:p>
            <w:pPr>
              <w:spacing w:after="0"/>
              <w:rPr>
                <w:sz w:val="21"/>
                <w:szCs w:val="21"/>
                <w:color w:val="auto"/>
              </w:rPr>
            </w:pPr>
          </w:p>
        </w:tc>
        <w:tc>
          <w:tcPr>
            <w:tcW w:w="6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182,167</w:t>
            </w:r>
          </w:p>
        </w:tc>
      </w:tr>
      <w:tr>
        <w:trPr>
          <w:trHeight w:val="524"/>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12,785</w:t>
            </w:r>
          </w:p>
        </w:tc>
        <w:tc>
          <w:tcPr>
            <w:tcW w:w="120" w:type="dxa"/>
            <w:vAlign w:val="bottom"/>
          </w:tcPr>
          <w:p>
            <w:pPr>
              <w:spacing w:after="0"/>
              <w:rPr>
                <w:sz w:val="24"/>
                <w:szCs w:val="24"/>
                <w:color w:val="auto"/>
              </w:rPr>
            </w:pPr>
          </w:p>
        </w:tc>
        <w:tc>
          <w:tcPr>
            <w:tcW w:w="620" w:type="dxa"/>
            <w:vAlign w:val="bottom"/>
          </w:tcPr>
          <w:p>
            <w:pPr>
              <w:jc w:val="right"/>
              <w:ind w:right="45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24,376</w:t>
            </w:r>
          </w:p>
        </w:tc>
      </w:tr>
      <w:tr>
        <w:trPr>
          <w:trHeight w:val="270"/>
        </w:trPr>
        <w:tc>
          <w:tcPr>
            <w:tcW w:w="120" w:type="dxa"/>
            <w:vAlign w:val="bottom"/>
          </w:tcPr>
          <w:p>
            <w:pPr>
              <w:spacing w:after="0"/>
              <w:rPr>
                <w:sz w:val="23"/>
                <w:szCs w:val="23"/>
                <w:color w:val="auto"/>
              </w:rPr>
            </w:pPr>
          </w:p>
        </w:tc>
        <w:tc>
          <w:tcPr>
            <w:tcW w:w="1380" w:type="dxa"/>
            <w:vAlign w:val="bottom"/>
          </w:tcPr>
          <w:p>
            <w:pPr>
              <w:jc w:val="right"/>
              <w:ind w:right="57"/>
              <w:spacing w:after="0"/>
              <w:rPr>
                <w:sz w:val="20"/>
                <w:szCs w:val="20"/>
                <w:color w:val="auto"/>
              </w:rPr>
            </w:pPr>
            <w:r>
              <w:rPr>
                <w:rFonts w:ascii="Arial" w:cs="Arial" w:eastAsia="Arial" w:hAnsi="Arial"/>
                <w:sz w:val="13"/>
                <w:szCs w:val="13"/>
                <w:color w:val="auto"/>
              </w:rPr>
              <w:t>2,944</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5,674</w:t>
            </w:r>
          </w:p>
        </w:tc>
      </w:tr>
      <w:tr>
        <w:trPr>
          <w:trHeight w:val="280"/>
        </w:trPr>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2,684</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5,172</w:t>
            </w:r>
          </w:p>
        </w:tc>
      </w:tr>
      <w:tr>
        <w:trPr>
          <w:trHeight w:val="25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18,413</w:t>
            </w:r>
          </w:p>
        </w:tc>
        <w:tc>
          <w:tcPr>
            <w:tcW w:w="120" w:type="dxa"/>
            <w:vAlign w:val="bottom"/>
          </w:tcPr>
          <w:p>
            <w:pPr>
              <w:spacing w:after="0"/>
              <w:rPr>
                <w:sz w:val="21"/>
                <w:szCs w:val="21"/>
                <w:color w:val="auto"/>
              </w:rPr>
            </w:pPr>
          </w:p>
        </w:tc>
        <w:tc>
          <w:tcPr>
            <w:tcW w:w="6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35,222</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111,633</w:t>
            </w:r>
          </w:p>
        </w:tc>
        <w:tc>
          <w:tcPr>
            <w:tcW w:w="120" w:type="dxa"/>
            <w:vAlign w:val="bottom"/>
          </w:tcPr>
          <w:p>
            <w:pPr>
              <w:spacing w:after="0"/>
              <w:rPr>
                <w:sz w:val="20"/>
                <w:szCs w:val="20"/>
                <w:color w:val="auto"/>
              </w:rPr>
            </w:pPr>
          </w:p>
        </w:tc>
        <w:tc>
          <w:tcPr>
            <w:tcW w:w="62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217,389</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2">
            <w:col w:w="7620" w:space="720"/>
            <w:col w:w="3080"/>
          </w:cols>
          <w:pgMar w:left="240" w:top="692" w:right="239" w:bottom="1440" w:gutter="0" w:footer="0" w:header="0"/>
          <w:type w:val="continuous"/>
        </w:sect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Core Market includes markets with existing company-operated restaurants at the Initial Public Offering (IPO) date.</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Non-Core Market includes markets entered into subsequent to the IPO date.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geographic market:</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80" w:type="dxa"/>
            <w:vAlign w:val="bottom"/>
          </w:tcPr>
          <w:p>
            <w:pPr>
              <w:spacing w:after="0"/>
              <w:rPr>
                <w:sz w:val="15"/>
                <w:szCs w:val="15"/>
                <w:color w:val="auto"/>
              </w:rPr>
            </w:pPr>
          </w:p>
        </w:tc>
        <w:tc>
          <w:tcPr>
            <w:tcW w:w="198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Thirteen Weeks Ended</w:t>
            </w:r>
          </w:p>
        </w:tc>
        <w:tc>
          <w:tcPr>
            <w:tcW w:w="18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Twenty-Six Weeks Ended</w:t>
            </w: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tcPr>
          <w:p>
            <w:pPr>
              <w:spacing w:after="0"/>
              <w:rPr>
                <w:sz w:val="21"/>
                <w:szCs w:val="21"/>
                <w:color w:val="auto"/>
              </w:rPr>
            </w:pPr>
          </w:p>
        </w:tc>
        <w:tc>
          <w:tcPr>
            <w:tcW w:w="3840" w:type="dxa"/>
            <w:vAlign w:val="bottom"/>
            <w:tcBorders>
              <w:bottom w:val="single" w:sz="8" w:color="auto"/>
            </w:tcBorders>
            <w:gridSpan w:val="3"/>
          </w:tcPr>
          <w:p>
            <w:pPr>
              <w:jc w:val="right"/>
              <w:ind w:right="1477"/>
              <w:spacing w:after="0"/>
              <w:rPr>
                <w:sz w:val="20"/>
                <w:szCs w:val="20"/>
                <w:color w:val="auto"/>
              </w:rPr>
            </w:pPr>
            <w:r>
              <w:rPr>
                <w:rFonts w:ascii="Arial" w:cs="Arial" w:eastAsia="Arial" w:hAnsi="Arial"/>
                <w:sz w:val="13"/>
                <w:szCs w:val="13"/>
                <w:b w:val="1"/>
                <w:bCs w:val="1"/>
                <w:color w:val="auto"/>
              </w:rPr>
              <w:t>June 27, 2018</w:t>
            </w:r>
          </w:p>
        </w:tc>
        <w:tc>
          <w:tcPr>
            <w:tcW w:w="0" w:type="dxa"/>
            <w:vAlign w:val="bottom"/>
          </w:tcPr>
          <w:p>
            <w:pPr>
              <w:spacing w:after="0"/>
              <w:rPr>
                <w:sz w:val="1"/>
                <w:szCs w:val="1"/>
                <w:color w:val="auto"/>
              </w:rPr>
            </w:pPr>
          </w:p>
        </w:tc>
      </w:tr>
      <w:tr>
        <w:trPr>
          <w:trHeight w:val="270"/>
        </w:trPr>
        <w:tc>
          <w:tcPr>
            <w:tcW w:w="7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Greater Los Angeles area market</w:t>
            </w: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c>
          <w:tcPr>
            <w:tcW w:w="12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w:t>
            </w:r>
          </w:p>
        </w:tc>
        <w:tc>
          <w:tcPr>
            <w:tcW w:w="0" w:type="dxa"/>
            <w:vAlign w:val="bottom"/>
          </w:tcPr>
          <w:p>
            <w:pPr>
              <w:spacing w:after="0"/>
              <w:rPr>
                <w:sz w:val="1"/>
                <w:szCs w:val="1"/>
                <w:color w:val="auto"/>
              </w:rPr>
            </w:pPr>
          </w:p>
        </w:tc>
      </w:tr>
      <w:tr>
        <w:trPr>
          <w:trHeight w:val="264"/>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markets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w:t>
            </w:r>
          </w:p>
        </w:tc>
        <w:tc>
          <w:tcPr>
            <w:tcW w:w="12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60"/>
        </w:trPr>
        <w:tc>
          <w:tcPr>
            <w:tcW w:w="758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Total</w:t>
            </w: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120" w:type="dxa"/>
            <w:vAlign w:val="bottom"/>
            <w:shd w:val="clear" w:color="auto" w:fill="CCEEFF"/>
          </w:tcPr>
          <w:p>
            <w:pPr>
              <w:spacing w:after="0"/>
              <w:rPr>
                <w:sz w:val="13"/>
                <w:szCs w:val="13"/>
                <w:color w:val="auto"/>
              </w:rPr>
            </w:pP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0" w:type="dxa"/>
            <w:vAlign w:val="bottom"/>
          </w:tcPr>
          <w:p>
            <w:pPr>
              <w:spacing w:after="0"/>
              <w:rPr>
                <w:sz w:val="1"/>
                <w:szCs w:val="1"/>
                <w:color w:val="auto"/>
              </w:rPr>
            </w:pPr>
          </w:p>
        </w:tc>
      </w:tr>
      <w:tr>
        <w:trPr>
          <w:trHeight w:val="77"/>
        </w:trPr>
        <w:tc>
          <w:tcPr>
            <w:tcW w:w="7580" w:type="dxa"/>
            <w:vAlign w:val="bottom"/>
            <w:tcBorders>
              <w:bottom w:val="single" w:sz="8" w:color="CCEEFF"/>
            </w:tcBorders>
            <w:shd w:val="clear" w:color="auto" w:fill="CCEEFF"/>
          </w:tcPr>
          <w:p>
            <w:pPr>
              <w:spacing w:after="0"/>
              <w:rPr>
                <w:sz w:val="6"/>
                <w:szCs w:val="6"/>
                <w:color w:val="auto"/>
              </w:rPr>
            </w:pPr>
          </w:p>
        </w:tc>
        <w:tc>
          <w:tcPr>
            <w:tcW w:w="1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provides information about the change in the franchise contract liability balances during the twenty-six weeks ended June 27, 2018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820" w:type="dxa"/>
            <w:vAlign w:val="bottom"/>
          </w:tcPr>
          <w:p>
            <w:pPr>
              <w:ind w:left="40"/>
              <w:spacing w:after="0"/>
              <w:rPr>
                <w:sz w:val="20"/>
                <w:szCs w:val="20"/>
                <w:color w:val="auto"/>
              </w:rPr>
            </w:pPr>
            <w:r>
              <w:rPr>
                <w:rFonts w:ascii="Arial" w:cs="Arial" w:eastAsia="Arial" w:hAnsi="Arial"/>
                <w:sz w:val="13"/>
                <w:szCs w:val="13"/>
                <w:b w:val="1"/>
                <w:bCs w:val="1"/>
                <w:color w:val="auto"/>
              </w:rPr>
              <w:t>December 28, 2017</w:t>
            </w:r>
          </w:p>
        </w:tc>
        <w:tc>
          <w:tcPr>
            <w:tcW w:w="660" w:type="dxa"/>
            <w:vAlign w:val="bottom"/>
          </w:tcPr>
          <w:p>
            <w:pPr>
              <w:jc w:val="right"/>
              <w:ind w:right="4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5,799</w:t>
            </w:r>
          </w:p>
        </w:tc>
      </w:tr>
      <w:tr>
        <w:trPr>
          <w:trHeight w:val="197"/>
        </w:trPr>
        <w:tc>
          <w:tcPr>
            <w:tcW w:w="9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Revenue recognized - beginning balance</w:t>
            </w: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208"/>
        </w:trPr>
        <w:tc>
          <w:tcPr>
            <w:tcW w:w="9820" w:type="dxa"/>
            <w:vAlign w:val="bottom"/>
          </w:tcPr>
          <w:p>
            <w:pPr>
              <w:ind w:left="380"/>
              <w:spacing w:after="0"/>
              <w:rPr>
                <w:sz w:val="20"/>
                <w:szCs w:val="20"/>
                <w:color w:val="auto"/>
              </w:rPr>
            </w:pPr>
            <w:r>
              <w:rPr>
                <w:rFonts w:ascii="Arial" w:cs="Arial" w:eastAsia="Arial" w:hAnsi="Arial"/>
                <w:sz w:val="13"/>
                <w:szCs w:val="13"/>
                <w:color w:val="auto"/>
              </w:rPr>
              <w:t>Additional contract liability</w:t>
            </w:r>
          </w:p>
        </w:tc>
        <w:tc>
          <w:tcPr>
            <w:tcW w:w="66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141</w:t>
            </w:r>
          </w:p>
        </w:tc>
      </w:tr>
      <w:tr>
        <w:trPr>
          <w:trHeight w:val="197"/>
        </w:trPr>
        <w:tc>
          <w:tcPr>
            <w:tcW w:w="9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Revenue recognized - additional contract liability</w:t>
            </w:r>
          </w:p>
        </w:tc>
        <w:tc>
          <w:tcPr>
            <w:tcW w:w="6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203"/>
        </w:trPr>
        <w:tc>
          <w:tcPr>
            <w:tcW w:w="9820" w:type="dxa"/>
            <w:vAlign w:val="bottom"/>
          </w:tcPr>
          <w:p>
            <w:pPr>
              <w:ind w:left="40"/>
              <w:spacing w:after="0"/>
              <w:rPr>
                <w:sz w:val="20"/>
                <w:szCs w:val="20"/>
                <w:color w:val="auto"/>
              </w:rPr>
            </w:pPr>
            <w:r>
              <w:rPr>
                <w:rFonts w:ascii="Arial" w:cs="Arial" w:eastAsia="Arial" w:hAnsi="Arial"/>
                <w:sz w:val="13"/>
                <w:szCs w:val="13"/>
                <w:b w:val="1"/>
                <w:bCs w:val="1"/>
                <w:color w:val="auto"/>
              </w:rPr>
              <w:t>June 27, 2018</w:t>
            </w:r>
          </w:p>
        </w:tc>
        <w:tc>
          <w:tcPr>
            <w:tcW w:w="66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5,762</w:t>
            </w:r>
          </w:p>
        </w:tc>
      </w:tr>
      <w:tr>
        <w:trPr>
          <w:trHeight w:val="20"/>
        </w:trPr>
        <w:tc>
          <w:tcPr>
            <w:tcW w:w="9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type w:val="continuous"/>
        </w:sectPr>
      </w:pPr>
    </w:p>
    <w:bookmarkStart w:id="24" w:name="page25"/>
    <w:bookmarkEnd w:id="24"/>
    <w:p>
      <w:pPr>
        <w:ind w:right="260"/>
        <w:spacing w:after="0" w:line="276" w:lineRule="auto"/>
        <w:rPr>
          <w:sz w:val="20"/>
          <w:szCs w:val="20"/>
          <w:color w:val="auto"/>
        </w:rPr>
      </w:pPr>
      <w:r>
        <w:rPr>
          <w:rFonts w:ascii="Arial" w:cs="Arial" w:eastAsia="Arial" w:hAnsi="Arial"/>
          <w:sz w:val="17"/>
          <w:szCs w:val="17"/>
          <w:color w:val="auto"/>
        </w:rPr>
        <w:t>The Company’s franchise contract liability includes development fees, initial franchise and license fees, and franchise renewal fees and is included within other accrued expenses and current liabilities and other noncurrent liabilities within the accompanying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For the thirteen and twenty-six weeks ended June 27, 2018, there were no significant changes in the franchise contract liability balances.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estimated revenue to be recognized in the future related to performance obligations that are unsatisfied as of June 27, 2018:</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160" w:type="dxa"/>
            <w:vAlign w:val="bottom"/>
          </w:tcPr>
          <w:p>
            <w:pPr>
              <w:ind w:left="40"/>
              <w:spacing w:after="0"/>
              <w:rPr>
                <w:sz w:val="20"/>
                <w:szCs w:val="20"/>
                <w:color w:val="auto"/>
              </w:rPr>
            </w:pPr>
            <w:r>
              <w:rPr>
                <w:rFonts w:ascii="Arial" w:cs="Arial" w:eastAsia="Arial" w:hAnsi="Arial"/>
                <w:sz w:val="13"/>
                <w:szCs w:val="13"/>
                <w:b w:val="1"/>
                <w:bCs w:val="1"/>
                <w:color w:val="auto"/>
              </w:rPr>
              <w:t>Franchise revenues (in thousands):</w:t>
            </w: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97"/>
        </w:trPr>
        <w:tc>
          <w:tcPr>
            <w:tcW w:w="9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6"/>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2018</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190</w:t>
            </w:r>
          </w:p>
        </w:tc>
      </w:tr>
      <w:tr>
        <w:trPr>
          <w:trHeight w:val="208"/>
        </w:trPr>
        <w:tc>
          <w:tcPr>
            <w:tcW w:w="9160" w:type="dxa"/>
            <w:vAlign w:val="bottom"/>
          </w:tcPr>
          <w:p>
            <w:pPr>
              <w:ind w:left="380"/>
              <w:spacing w:after="0"/>
              <w:rPr>
                <w:sz w:val="20"/>
                <w:szCs w:val="20"/>
                <w:color w:val="auto"/>
              </w:rPr>
            </w:pPr>
            <w:r>
              <w:rPr>
                <w:rFonts w:ascii="Arial" w:cs="Arial" w:eastAsia="Arial" w:hAnsi="Arial"/>
                <w:sz w:val="13"/>
                <w:szCs w:val="13"/>
                <w:color w:val="auto"/>
              </w:rPr>
              <w:t>2019</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392</w:t>
            </w:r>
          </w:p>
        </w:tc>
      </w:tr>
      <w:tr>
        <w:trPr>
          <w:trHeight w:val="224"/>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2020</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396</w:t>
            </w:r>
          </w:p>
        </w:tc>
      </w:tr>
      <w:tr>
        <w:trPr>
          <w:trHeight w:val="208"/>
        </w:trPr>
        <w:tc>
          <w:tcPr>
            <w:tcW w:w="9160" w:type="dxa"/>
            <w:vAlign w:val="bottom"/>
          </w:tcPr>
          <w:p>
            <w:pPr>
              <w:ind w:left="380"/>
              <w:spacing w:after="0"/>
              <w:rPr>
                <w:sz w:val="20"/>
                <w:szCs w:val="20"/>
                <w:color w:val="auto"/>
              </w:rPr>
            </w:pPr>
            <w:r>
              <w:rPr>
                <w:rFonts w:ascii="Arial" w:cs="Arial" w:eastAsia="Arial" w:hAnsi="Arial"/>
                <w:sz w:val="13"/>
                <w:szCs w:val="13"/>
                <w:color w:val="auto"/>
              </w:rPr>
              <w:t>2021</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386</w:t>
            </w:r>
          </w:p>
        </w:tc>
      </w:tr>
      <w:tr>
        <w:trPr>
          <w:trHeight w:val="224"/>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Thereafter</w:t>
            </w:r>
          </w:p>
        </w:tc>
        <w:tc>
          <w:tcPr>
            <w:tcW w:w="9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4,398</w:t>
            </w:r>
          </w:p>
        </w:tc>
      </w:tr>
      <w:tr>
        <w:trPr>
          <w:trHeight w:val="203"/>
        </w:trPr>
        <w:tc>
          <w:tcPr>
            <w:tcW w:w="9160" w:type="dxa"/>
            <w:vAlign w:val="bottom"/>
          </w:tcPr>
          <w:p>
            <w:pPr>
              <w:ind w:left="380"/>
              <w:spacing w:after="0"/>
              <w:rPr>
                <w:sz w:val="20"/>
                <w:szCs w:val="20"/>
                <w:color w:val="auto"/>
              </w:rPr>
            </w:pPr>
            <w:r>
              <w:rPr>
                <w:rFonts w:ascii="Arial" w:cs="Arial" w:eastAsia="Arial" w:hAnsi="Arial"/>
                <w:sz w:val="13"/>
                <w:szCs w:val="13"/>
                <w:b w:val="1"/>
                <w:bCs w:val="1"/>
                <w:color w:val="auto"/>
              </w:rPr>
              <w:t>Total</w:t>
            </w: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5,762</w:t>
            </w:r>
          </w:p>
        </w:tc>
      </w:tr>
      <w:tr>
        <w:trPr>
          <w:trHeight w:val="20"/>
        </w:trPr>
        <w:tc>
          <w:tcPr>
            <w:tcW w:w="9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incur costs to obtain or fulfill a contract that would be considered contract assets under Topic 606.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discussion and analysis should be read in conjunction with Item 1 above and with the consolidated financial statements contained in our annual report on Form 10-K for the year ended December 27, 2017. This discussion and analysis contains forward-looking statements that involve risks, uncertainties and assumptions. Outcomes may differ materially from our expectations. For more information, we direct you to the sections “Risk Factors” (as updated by “PART II-OTHER INFORMATION-Item 1A. Risk Factors.” below) and “Forward-Looking Statements” in our annual report. We make no guarantees regarding outcomes, and assume no obligations to update the forward-looking statements herein, except pursuant to law.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strive to offer the quality of food and dining experience typical of fast casual restaurants while providing the speed, convenience, and value typical of traditional quick-service restaurants (“QSRs”), a combination that we call “QSR+” and to provide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team members in a contemporary restaurant environment. We serve individual and family-sized chicken meals, a variety of Mexican-inspired entrees, and sides, and, throughout the year, on a limited-time basis, additional proteins like shrimp and beef. Our entrees include favorites such as our Chicken Avocado Burrito, Under 500 Calorie entrees, Double Pollo Bowl, and Stuffed Chicken Avocado Quesadilla.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5" w:name="page26"/>
    <w:bookmarkEnd w:id="25"/>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June 27, 2018, we had 480 locations in six states. In fiscal 2017, we opened 16 new company-operated and 7 new franchised restaurants across Arizona, California, Utah and Texas. For the twenty-six weeks ended June 27, 2018, we opened three new company-operated restaurants and four franchised restaurants in California, Texas, Louisiana and Utah. In 2018, we intend to open 7 to 8 new company-operated and 8 to 10 new franchised restaurants. To increase comparable restaurant sales, we plan to increase customer frequency, attract new customers, and improve per-person spend. These growth rates are not guaranteed.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System-wide, for the thirteen and twenty-six weeks ended June 27, 2018, comparable restaurant sales decreased 0.9% and 1.0% year over year, respectively. For company-operated restaurants, comparable restaurant sales, for the thirteen and twenty-six weeks ended June 27, 2018, decreased by 1.6% and 1.8%, respectively. For company-operated restaurants, the quarter’s change in comparable restaurant sales consisted of a 2.5% decline in transactions, and a 0.9% increase in average check size and the year to date change in comparable restaurant sales consisted of a 2.1% decline in transactions, and a 0.3% increase in average check size. For franchised restaurants, comparable restaurant sales decreased 0.3% and 0.4% for the thirteen and twenty-six weeks ended June 27, 2018,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restaurant counts at the beginning and end of each of the last three fiscal years and the twenty-six weeks ended June 27, 2018,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Twenty-Six Weeks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Year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June 27, 2018</w:t>
            </w:r>
          </w:p>
        </w:tc>
        <w:tc>
          <w:tcPr>
            <w:tcW w:w="13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2"/>
                <w:szCs w:val="22"/>
                <w:color w:val="auto"/>
              </w:rPr>
            </w:pPr>
          </w:p>
        </w:tc>
        <w:tc>
          <w:tcPr>
            <w:tcW w:w="1340" w:type="dxa"/>
            <w:vAlign w:val="bottom"/>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activity:</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Franchised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System-wide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and our franchisees commenced our remodeling program in 2011 and, as of June 27, 2018, together we had remodeled 125 company-operated and 208 franchised restaurants, or 333 system-wide, over 75% of our restaurant system due to be remodeled. This includes 20 company-operated and 16 franchised restaurants that have been remodeled using our newest Vision restaurant design. The Vision design elevates the brand image with exterior and interior features that embrace the brand’s authentic roots with warm textures, rustic elements and a focus on the signature open kitchen layout established in previous designs. As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6" w:name="page27"/>
    <w:bookmarkEnd w:id="26"/>
    <w:p>
      <w:pPr>
        <w:ind w:right="60"/>
        <w:spacing w:after="0" w:line="257" w:lineRule="auto"/>
        <w:rPr>
          <w:sz w:val="20"/>
          <w:szCs w:val="20"/>
          <w:color w:val="auto"/>
        </w:rPr>
      </w:pPr>
      <w:r>
        <w:rPr>
          <w:rFonts w:ascii="Arial" w:cs="Arial" w:eastAsia="Arial" w:hAnsi="Arial"/>
          <w:sz w:val="18"/>
          <w:szCs w:val="18"/>
          <w:color w:val="auto"/>
        </w:rPr>
        <w:t>June 27, 2018, including new builds and remodels, we had 66 restaurants open with the Vision design in our system. Remodeling is a use of cash and has implications for our net property and equipment owned and depreciation and amortization line items on our condensed consolidated balance sheets and consolidated statements of income, among others. The cost of our restaurant remodels varies depending on the scope of work required, but on average, the investment is $0.3 million to $0.4 million per restaurant. We believe that our remodeling program will result in higher restaurant revenue and a strengthened brand.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Loco Rewards</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During the second quarter of 2017, we introduced a new loyalty rewards points program in an effort to increase sales and loyalty among our customers, by offering rewards that incentivize customers to visit our restaurants more often each month. Customers earn 1 point for each $1 spent and 100 points can be redeemed for a $10 reward to be used for a future purchase. In addition, customers can earn additional points and free entrées for a variety of engagement activities. As points are available for redemption past the quarter earned, a portion of the revenue associated with the earned points will be deferred until redemption. As of June 27, 2018, the amount of revenue deferred related to the earned points, net of redemptions, is $0.7 million. The Company had over 850,000 loyalty program members as of June 27,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Income” in our annual report on Form 10-K for the year ended December 27, 2017, and Note 2, “Summary of Significant Accounting Policies,” to Item 8, “Financial Statements and Supplementary Data,” in our annual report. For a summary of our significant accounting policies and a discussion of our use of estimates, see also Note 1 and note 10 to Item 1 above.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 other than the adoption of ASU 2014-09, as described in Note 1 and Note 10 to Item 1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Recent accounting pronouncements are described in Note 10 to our condensed consolidated financial statements included elsewhere 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will cease to be an EGC following the earliest of (i) five years after our IPO, (ii) $1.07 billion in annual revenue, (iii) $700.0 million in common stock market capitalization held by non-affiliates, or (iv) $1.0 billion in non-convertible debt security issuance on a three-year rolling basis. Please refer to our annual report on Form 10-K for more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Our revenue is derived from two primary sources: company-operated restaurant revenue and franchise revenue, the latter of which is comprised primarily of franchise royalties and, to a lesser extent, franchise fees and sublease rental income. See Note 10 for further details regarding our revenue recognition policy.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 Additionally, upon adoption of ASU 2014-09 in the first quarter of 2018, the franchisee's portion of advertising expenses is now included in franchise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review long-lived assets such as property, equipment, and intangibles on a unit-by-unit basis for impairment when events or circumstances indicate a carrying value of the assets that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 values requires the use of estimates and assumptions, including our ability to sell or reuse the related assets and market</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692" w:right="319" w:bottom="1440" w:gutter="0" w:footer="0" w:header="0"/>
        </w:sectPr>
      </w:pPr>
    </w:p>
    <w:bookmarkStart w:id="28" w:name="page29"/>
    <w:bookmarkEnd w:id="28"/>
    <w:p>
      <w:pPr>
        <w:ind w:right="200"/>
        <w:spacing w:after="0" w:line="264" w:lineRule="auto"/>
        <w:rPr>
          <w:sz w:val="20"/>
          <w:szCs w:val="20"/>
          <w:color w:val="auto"/>
        </w:rPr>
      </w:pPr>
      <w:r>
        <w:rPr>
          <w:rFonts w:ascii="Arial" w:cs="Arial" w:eastAsia="Arial" w:hAnsi="Arial"/>
          <w:sz w:val="18"/>
          <w:szCs w:val="18"/>
          <w:color w:val="auto"/>
        </w:rPr>
        <w:t>conditions, which are subject to a high degree of judgment. If these assumptions change in the future, we may be required to record impairment charges for these assets and these charges could be material. Closure costs include non-cash restaurant charges such as up-front expensing of the net present value of unpaid rent remaining on the life of a lease, offset by assumed sublease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June 27, 2018 and June 28, 2017, there were 447 and 420 comparable restaurants, 194 and 178 company-operated and 253 and 242 franchised, respectively. Comparable restaurant sales indicate the performance of existing restaurants, since new restaurants are excluded.</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692" w:right="259" w:bottom="1440" w:gutter="0" w:footer="0" w:header="0"/>
        </w:sectPr>
      </w:pPr>
    </w:p>
    <w:bookmarkStart w:id="29" w:name="page30"/>
    <w:bookmarkEnd w:id="29"/>
    <w:p>
      <w:pPr>
        <w:ind w:right="180"/>
        <w:spacing w:after="0" w:line="297" w:lineRule="auto"/>
        <w:rPr>
          <w:sz w:val="20"/>
          <w:szCs w:val="20"/>
          <w:color w:val="auto"/>
        </w:rPr>
      </w:pPr>
      <w:r>
        <w:rPr>
          <w:rFonts w:ascii="Arial" w:cs="Arial" w:eastAsia="Arial" w:hAnsi="Arial"/>
          <w:sz w:val="16"/>
          <w:szCs w:val="16"/>
          <w:color w:val="auto"/>
        </w:rPr>
        <w:t>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20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2018</w:t>
            </w:r>
          </w:p>
        </w:tc>
        <w:tc>
          <w:tcPr>
            <w:tcW w:w="20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2017</w:t>
            </w:r>
          </w:p>
        </w:tc>
        <w:tc>
          <w:tcPr>
            <w:tcW w:w="22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2018</w:t>
            </w:r>
          </w:p>
        </w:tc>
        <w:tc>
          <w:tcPr>
            <w:tcW w:w="220" w:type="dxa"/>
            <w:vAlign w:val="bottom"/>
          </w:tcPr>
          <w:p>
            <w:pPr>
              <w:spacing w:after="0"/>
              <w:rPr>
                <w:sz w:val="22"/>
                <w:szCs w:val="22"/>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June 28, 2017</w:t>
            </w:r>
          </w:p>
        </w:tc>
      </w:tr>
      <w:tr>
        <w:trPr>
          <w:trHeight w:val="250"/>
        </w:trPr>
        <w:tc>
          <w:tcPr>
            <w:tcW w:w="5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99,627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98,885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194,180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192,334</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Company restaurant expenses</w:t>
            </w:r>
          </w:p>
        </w:tc>
        <w:tc>
          <w:tcPr>
            <w:tcW w:w="200" w:type="dxa"/>
            <w:vAlign w:val="bottom"/>
          </w:tcPr>
          <w:p>
            <w:pPr>
              <w:spacing w:after="0"/>
              <w:rPr>
                <w:sz w:val="21"/>
                <w:szCs w:val="21"/>
                <w:color w:val="auto"/>
              </w:rPr>
            </w:pPr>
          </w:p>
        </w:tc>
        <w:tc>
          <w:tcPr>
            <w:tcW w:w="1220" w:type="dxa"/>
            <w:vAlign w:val="bottom"/>
          </w:tcPr>
          <w:p>
            <w:pPr>
              <w:jc w:val="right"/>
              <w:ind w:right="116"/>
              <w:spacing w:after="0"/>
              <w:rPr>
                <w:sz w:val="20"/>
                <w:szCs w:val="20"/>
                <w:color w:val="auto"/>
              </w:rPr>
            </w:pPr>
            <w:r>
              <w:rPr>
                <w:rFonts w:ascii="Arial" w:cs="Arial" w:eastAsia="Arial" w:hAnsi="Arial"/>
                <w:sz w:val="18"/>
                <w:szCs w:val="18"/>
                <w:color w:val="auto"/>
              </w:rPr>
              <w:t>79,450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77,312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156,266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151,759</w:t>
            </w:r>
          </w:p>
        </w:tc>
      </w:tr>
      <w:tr>
        <w:trPr>
          <w:trHeight w:val="27"/>
        </w:trPr>
        <w:tc>
          <w:tcPr>
            <w:tcW w:w="5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20,177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21,573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37,914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40,575</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Restaurant contribution margin (%)</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30" w:name="page31"/>
    <w:bookmarkEnd w:id="30"/>
    <w:p>
      <w:pPr>
        <w:ind w:right="20"/>
        <w:spacing w:after="0" w:line="271" w:lineRule="auto"/>
        <w:rPr>
          <w:sz w:val="20"/>
          <w:szCs w:val="20"/>
          <w:color w:val="auto"/>
        </w:rPr>
      </w:pPr>
      <w:r>
        <w:rPr>
          <w:rFonts w:ascii="Arial" w:cs="Arial" w:eastAsia="Arial" w:hAnsi="Arial"/>
          <w:sz w:val="17"/>
          <w:szCs w:val="17"/>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 and for compensation performance benchmarks.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2018</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2017</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27, 2018</w:t>
            </w:r>
          </w:p>
        </w:tc>
        <w:tc>
          <w:tcPr>
            <w:tcW w:w="180" w:type="dxa"/>
            <w:vAlign w:val="bottom"/>
          </w:tcPr>
          <w:p>
            <w:pPr>
              <w:spacing w:after="0"/>
              <w:rPr>
                <w:sz w:val="22"/>
                <w:szCs w:val="22"/>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June 28, 2017</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7,581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12,696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1,568</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11,221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17,473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20,799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30,924</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6"/>
                <w:szCs w:val="16"/>
                <w:color w:val="auto"/>
              </w:rPr>
              <w:t>(a)</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loss on disposal of assets</w:t>
            </w:r>
            <w:r>
              <w:rPr>
                <w:rFonts w:ascii="Arial" w:cs="Arial" w:eastAsia="Arial" w:hAnsi="Arial"/>
                <w:sz w:val="16"/>
                <w:szCs w:val="16"/>
                <w:color w:val="auto"/>
              </w:rPr>
              <w:t>(b)</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expense(c)</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impairment and closed-store reserves</w:t>
            </w:r>
            <w:r>
              <w:rPr>
                <w:rFonts w:ascii="Arial" w:cs="Arial" w:eastAsia="Arial" w:hAnsi="Arial"/>
                <w:sz w:val="16"/>
                <w:szCs w:val="16"/>
                <w:color w:val="auto"/>
              </w:rPr>
              <w:t>(d)</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6,782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1,255</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expense (income)(e)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Securities lawsuits related legal expense</w:t>
            </w:r>
            <w:r>
              <w:rPr>
                <w:rFonts w:ascii="Arial" w:cs="Arial" w:eastAsia="Arial" w:hAnsi="Arial"/>
                <w:sz w:val="16"/>
                <w:szCs w:val="16"/>
                <w:color w:val="auto"/>
              </w:rPr>
              <w:t>(f)</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1,408</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Pre-opening costs</w:t>
            </w:r>
            <w:r>
              <w:rPr>
                <w:rFonts w:ascii="Arial" w:cs="Arial" w:eastAsia="Arial" w:hAnsi="Arial"/>
                <w:sz w:val="16"/>
                <w:szCs w:val="16"/>
                <w:color w:val="auto"/>
              </w:rPr>
              <w:t>(g)</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Executive transition costs</w:t>
            </w:r>
            <w:r>
              <w:rPr>
                <w:rFonts w:ascii="Arial" w:cs="Arial" w:eastAsia="Arial" w:hAnsi="Arial"/>
                <w:sz w:val="16"/>
                <w:szCs w:val="16"/>
                <w:color w:val="auto"/>
              </w:rPr>
              <w:t>(h)</w:t>
            </w: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17,510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19,657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32,123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35,643</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23" w:lineRule="exact"/>
        <w:rPr>
          <w:rFonts w:ascii="Arial" w:cs="Arial" w:eastAsia="Arial" w:hAnsi="Arial"/>
          <w:sz w:val="18"/>
          <w:szCs w:val="18"/>
          <w:color w:val="auto"/>
        </w:rPr>
      </w:pPr>
    </w:p>
    <w:p>
      <w:pPr>
        <w:ind w:left="660" w:right="28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ind w:left="660" w:right="36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thirteen and twenty-six weeks ended June 27, 2018, we received insurance proceeds of $2.4 million and $4.1 million and during the thirteen and twenty-six weeks ended June 28, 2017 we received insurance proceeds of $0.5 million, related to the reimbursement of certain legal expenses paid in prior years for the defense of securities lawsuits. See the Notes to the Condensed Consolidated Financial Statements, Note 7, Commitments and Contingencies, Legal Matters.</w:t>
      </w:r>
    </w:p>
    <w:p>
      <w:pPr>
        <w:spacing w:after="0" w:line="1" w:lineRule="exact"/>
        <w:rPr>
          <w:rFonts w:ascii="Arial" w:cs="Arial" w:eastAsia="Arial" w:hAnsi="Arial"/>
          <w:sz w:val="18"/>
          <w:szCs w:val="18"/>
          <w:color w:val="auto"/>
        </w:rPr>
      </w:pPr>
    </w:p>
    <w:p>
      <w:pPr>
        <w:ind w:left="660" w:right="40" w:hanging="652"/>
        <w:spacing w:after="0" w:line="26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costs related to impairment of long-lived assets and closing restaurants. During the thirteen and twenty-six weeks ended June 27, 2018, the Company determined that the carrying value of one restaurant in Arizona may not be recoverable. As a result, the Company recorded a $1.7 million expense, primarily related to the impairment of the assets of the restaurant. During the thirteen weeks ended June 27, 2018, the Company closed two restaurants in Texas, both of which were previously impaired during the third quarter of 2017. During the twenty-six weeks ended June 27, 2018, the Company closed four restaurants in Texas, all of which were previously impaired during the third quarter of 2017, and decided not to move forward with the development of a third location in Texas. This resulted in a closed-store reserve of $2.3 million for the thirteen weeks ended June 27, 2018 and $5.1 million for the twenty-six weeks ended June 27, 2018. During the thirteen and twenty-six weeks ended June 28, 2017, the Company determined that the carrying value of one restaurant in Texas may not be recoverable. As a result, the Company recorded a $0.4 million expense related to the impairment of the assets of the restaurant. During the twenty-six weeks ended June 28, 2017, we closed one restaurant in Arizona and one restaurant in Texas, resulting in a closed store reserve of $0.8 million. We continue to monitor the recoverability of the carrying value of the assets of several other restaurants.</w:t>
      </w:r>
    </w:p>
    <w:p>
      <w:pPr>
        <w:spacing w:after="0" w:line="2" w:lineRule="exact"/>
        <w:rPr>
          <w:rFonts w:ascii="Arial" w:cs="Arial" w:eastAsia="Arial" w:hAnsi="Arial"/>
          <w:sz w:val="17"/>
          <w:szCs w:val="17"/>
          <w:color w:val="auto"/>
        </w:rPr>
      </w:pPr>
    </w:p>
    <w:p>
      <w:pPr>
        <w:ind w:left="660" w:right="20" w:hanging="652"/>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and twenty-six weeks ended June 27, 2018 and June 28, 2017,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1" w:name="page32"/>
    <w:bookmarkEnd w:id="31"/>
    <w:p>
      <w:pPr>
        <w:ind w:left="660" w:right="180"/>
        <w:spacing w:after="0" w:line="282" w:lineRule="auto"/>
        <w:rPr>
          <w:sz w:val="20"/>
          <w:szCs w:val="20"/>
          <w:color w:val="auto"/>
        </w:rPr>
      </w:pPr>
      <w:r>
        <w:rPr>
          <w:rFonts w:ascii="Arial" w:cs="Arial" w:eastAsia="Arial" w:hAnsi="Arial"/>
          <w:sz w:val="18"/>
          <w:szCs w:val="18"/>
          <w:color w:val="auto"/>
        </w:rPr>
        <w:t>income tax receivable agreement expense (income) consisted of the amortization of interest expense and changes in estimates for actual tax returns filed, related to our total expected TRA payments.</w:t>
      </w:r>
    </w:p>
    <w:p>
      <w:pPr>
        <w:spacing w:after="0" w:line="1" w:lineRule="exact"/>
        <w:rPr>
          <w:sz w:val="20"/>
          <w:szCs w:val="20"/>
          <w:color w:val="auto"/>
        </w:rPr>
      </w:pPr>
    </w:p>
    <w:p>
      <w:pPr>
        <w:ind w:left="660" w:right="880" w:hanging="652"/>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See the Notes to the Condensed Consolidated Financial Statements, Note 7, Commitments and Contingencies, Legal Matters.</w:t>
      </w:r>
    </w:p>
    <w:p>
      <w:pPr>
        <w:ind w:left="660" w:right="20" w:hanging="652"/>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ind w:left="660" w:right="120" w:hanging="652"/>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costs associated with the transition of our CEO, such as executive recruiter costs, CEO sign-on bonus, and former CEO stock modification expense.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of Income</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operating results for the thirteen weeks ended June 27, 2018 and June 28, 2017, in absolute terms, and expressed as percentages of total revenue, with the exception of cost of operations and company restaurant expenses, which are expressed as a percentage of company-operated restaurant revenue, are compared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2"/>
              </w:rPr>
              <w:t>June 27, 2018</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2"/>
              </w:rPr>
              <w:t>June 28, 2017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center"/>
              <w:ind w:left="412"/>
              <w:spacing w:after="0" w:line="153" w:lineRule="exact"/>
              <w:rPr>
                <w:sz w:val="20"/>
                <w:szCs w:val="20"/>
                <w:color w:val="auto"/>
              </w:rPr>
            </w:pPr>
            <w:r>
              <w:rPr>
                <w:rFonts w:ascii="Arial" w:cs="Arial" w:eastAsia="Arial" w:hAnsi="Arial"/>
                <w:sz w:val="14"/>
                <w:szCs w:val="14"/>
                <w:b w:val="1"/>
                <w:bCs w:val="1"/>
                <w:color w:val="auto"/>
                <w:w w:val="92"/>
              </w:rPr>
              <w:t>Increase /</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12"/>
              <w:spacing w:after="0"/>
              <w:rPr>
                <w:sz w:val="20"/>
                <w:szCs w:val="20"/>
                <w:color w:val="auto"/>
              </w:rPr>
            </w:pPr>
            <w:r>
              <w:rPr>
                <w:rFonts w:ascii="Arial" w:cs="Arial" w:eastAsia="Arial" w:hAnsi="Arial"/>
                <w:sz w:val="14"/>
                <w:szCs w:val="14"/>
                <w:b w:val="1"/>
                <w:bCs w:val="1"/>
                <w:color w:val="auto"/>
                <w:w w:val="89"/>
              </w:rPr>
              <w:t>(Decrease)</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Statements of Income Data</w:t>
            </w:r>
          </w:p>
        </w:tc>
        <w:tc>
          <w:tcPr>
            <w:tcW w:w="20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 ,000)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99,627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6,553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6,688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111,633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105,573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6,060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28,681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29,146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22,913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21,574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6"/>
                <w:szCs w:val="16"/>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79,450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77,312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12,474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9,576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4,344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932.0</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104,044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93.2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92,833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87.9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11,211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7,589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12,740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expense (income)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5,917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12,063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5,052</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7,819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30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18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11" w:right="239" w:bottom="1440" w:gutter="0" w:footer="0" w:header="0"/>
        </w:sectPr>
      </w:pPr>
    </w:p>
    <w:bookmarkStart w:id="32" w:name="page33"/>
    <w:bookmarkEnd w:id="32"/>
    <w:p>
      <w:pPr>
        <w:ind w:right="100"/>
        <w:spacing w:after="0" w:line="264" w:lineRule="auto"/>
        <w:rPr>
          <w:sz w:val="20"/>
          <w:szCs w:val="20"/>
          <w:color w:val="auto"/>
        </w:rPr>
      </w:pPr>
      <w:r>
        <w:rPr>
          <w:rFonts w:ascii="Arial" w:cs="Arial" w:eastAsia="Arial" w:hAnsi="Arial"/>
          <w:sz w:val="18"/>
          <w:szCs w:val="18"/>
          <w:color w:val="auto"/>
        </w:rPr>
        <w:t>Our operating results for the twenty-six weeks ended June 27, 2018 and June 28, 2017, in absolute terms, and expressed as percentages of total revenue, with the exception of cost of operations and company restaurant expenses, which are expressed as a percentage of company-operated restaurant revenue, are compared below.</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Twenty-Six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w w:val="92"/>
              </w:rPr>
              <w:t>June 27, 2018</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w w:val="92"/>
              </w:rPr>
              <w:t>June 28, 2017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center"/>
              <w:ind w:left="412"/>
              <w:spacing w:after="0" w:line="153" w:lineRule="exact"/>
              <w:rPr>
                <w:sz w:val="20"/>
                <w:szCs w:val="20"/>
                <w:color w:val="auto"/>
              </w:rPr>
            </w:pPr>
            <w:r>
              <w:rPr>
                <w:rFonts w:ascii="Arial" w:cs="Arial" w:eastAsia="Arial" w:hAnsi="Arial"/>
                <w:sz w:val="14"/>
                <w:szCs w:val="14"/>
                <w:b w:val="1"/>
                <w:bCs w:val="1"/>
                <w:color w:val="auto"/>
                <w:w w:val="92"/>
              </w:rPr>
              <w:t>Increase /</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12"/>
              <w:spacing w:after="0"/>
              <w:rPr>
                <w:sz w:val="20"/>
                <w:szCs w:val="20"/>
                <w:color w:val="auto"/>
              </w:rPr>
            </w:pPr>
            <w:r>
              <w:rPr>
                <w:rFonts w:ascii="Arial" w:cs="Arial" w:eastAsia="Arial" w:hAnsi="Arial"/>
                <w:sz w:val="14"/>
                <w:szCs w:val="14"/>
                <w:b w:val="1"/>
                <w:bCs w:val="1"/>
                <w:color w:val="auto"/>
                <w:w w:val="89"/>
              </w:rPr>
              <w:t>(Decrease)</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 of Operations Data</w:t>
            </w:r>
          </w:p>
        </w:tc>
        <w:tc>
          <w:tcPr>
            <w:tcW w:w="20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 ,000)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194,180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   192,334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12,659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13,010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10,550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217,389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205,344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12,045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55,916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56,218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44,832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42,116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6"/>
                <w:szCs w:val="16"/>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156,266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151,759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4,507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25,676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19,309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8,556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8,949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695.1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205,352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94.5</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183,243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22,109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12,037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22,101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10,395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20,407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7,581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12,696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8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the quarter, company-operated restaurant revenue increased $0.7 million, or 0.8%, from the comparable period in the prior year. The growth in company-operated restaurant sales was due to $4.0 million of non-comparable restaurant sales on restaurants that had not been open the fifteen months required to be included in comparable restaurant sales. This was partially offset by a $1.6 million decrease resulting from a 1.6% decline in company-operated comparable sales, the closure of four restaurants during or subsequent to the first quarter of 2018 and three restaurants during or subsequent to the second quarter of 2017, and the net negative impact of temporary remodel closures during the second quarter of 2018 and the second quarter of 2017. The company-operated comparable restaurant sales decrease consisted of a decline in transactions of 2.5%, partially offset by an increase in average check size of 0.9%.</w:t>
      </w:r>
    </w:p>
    <w:p>
      <w:pPr>
        <w:spacing w:after="0" w:line="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Year-to-date, company-operated restaurant revenue increased $1.8 million, or 1.0%, from the comparable period in the prior year. The growth in company-operated restaurant sales was due to $7.5 million of non-comparable restaurant sales on restaurants that had not been open the fifteen months required to be included in comparable restaurant sales and the positive net impact of temporary remodel closures in the first half of 2018 and the first half of 2017. This was partially offset by a $3.4 million decrease resulting from a 1.8% decline in company-operated comparable sales, the closure of four restaurants in the first half of 2018 and five restaurants during or subsequent to the first half of 2017. The company-operated comparable restaurant sales decrease consisted of a decline in transactions of 2.1% , partially offset by an increase in average check size of 0.3%.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For the quarter, franchise revenue decreased $0.1 million, or 2.0%, from the comparable period in the prior year. This decrease was primarily due to lower franchise fees received from franchised restaurants related to their use of our point-of-sales system, and franchise comparable restaurant sales decline of 0.3%. This was partially offset by seven new franchised restaurants opened during or after the prior year quarter.</w:t>
      </w:r>
    </w:p>
    <w:p>
      <w:pPr>
        <w:spacing w:after="0" w:line="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Year-to-date, franchise revenue decreased $0.4 million, or 2.7%, from the comparable period in the prior year. This decrease was primarily due to a decline in revenue recognized from franchise agreement and development agreement fees, lower franchise fees received from franchised restaurants related to their use of our point-of-sales system, and franchise comparable restaurant sales decline of 0.4%. This was partially offset by eleven new franchised restaurants opened during or after the first quarter of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Advertising Fee Revenue</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the first quarter of 2018, we implemented Accounting Standard Update 2014-09, which requires us to present franchise advertising contributions received from franchisees as franchise advertising fee revenue and record all expenses of the advertising fund within franchise expenses, resulting in an increase in revenues and expenses on our consolidated statements of income. As such, franchise advertising fee revenue increased $5.5 million for the quarter and $10.6 million for the year-to-date, from the comparable period in the prior year, as this was the first year of implementation. Refer to the Condensed Consolidated Financial Statements, Note 10, Revenue from Contracts with Customers, for further details.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the quarter, food and paper costs decreased $0.5 million, or 1.6%, from the comparable period in the prior year, due to a $0.6 million decrease in food costs, partially offset by a $0.1 million increase in paper costs. Year-to-date, food and paper costs decreased $0.3 million, or 0.5%, from the comparable period in the prior year, due to a $0.6 million decrease in food costs and a $0.3 million increase in paper costs. The decrease in food and paper costs, for the quarter and year-to-date periods, resulted primarily from lower transactions, and lower commodity costs related to avocados, partially offset by increased packaging costs.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quarter, food and paper costs as a percentage of company-operated restaurant revenue were 28.8%, down from 29.5% in the comparable period of the prior year. Year-to-date, food and paper costs as a percentage of company-operated restaurant revenue were 28.8%, down from 29.2% in the comparable period of the prior year. The percentage decrease for the quarter and year-to-date periods was due primarily to a favorable sales mix and lower commodity costs, noted above, partially offset by increased packaging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For the quarter, payroll and benefit expenses increased $1.3 million, or 4.8%, from the comparable period in the prior year. Year-to-date, payroll and benefit expenses increased $2.1 million, or 3.9%, from the comparable period in the prior year. The increase for the quarter and year-to-date periods was due primarily to increased labor costs resulting from the opening of 19 new restaurants in fiscal 2017 and the first half of fiscal 2018, and the impact of the wage increases in California and Los Angeles during fiscal 2017 and the first half of fiscal 2018. Additionally, the increase in the quarter-to-date period was negatively impacted by higher workers' compensation expense due to increased claims activity.</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quarter, payroll and benefit expenses as a percentage of company-operated restaurant revenue were 28.0%, up from 26.9% in the comparable period in the prior year. Year-to-date payroll and benefit expenses as a percentage of company-operated restaurant revenue were 28.6%, up from 27.8% in the comparable period in the prior year. The increase was due primarily to wage increases in California and Los Angeles, the impact of the higher labor required for 19 new restaurants opened during or after the first quarter of 2017. Additionally, the increase in the quarter-to-date period was negatively impacted by higher workers' compensation expense due to increased claims activity.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quarter, occupancy and other operating expenses increased $1.3 million, or 6.2%, from the comparable period of the prior year. The increase was primarily due to a $0.4 million increase in occupancy costs, due primarily to additional rent, a $0.3 million increase in advertising costs, a $0.1 million increase in utilities costs, and a $0.5 million increase in other operating expenses, resulting primarily from an increase in repair and maintenance costs, restaurant security expenses and property tax expense. The increases resulted primarily from the new restaurants opened during or after the second quarter of 2017. Year-to-</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08" w:right="239" w:bottom="1440" w:gutter="0" w:footer="0" w:header="0"/>
        </w:sectPr>
      </w:pPr>
    </w:p>
    <w:bookmarkStart w:id="34" w:name="page35"/>
    <w:bookmarkEnd w:id="34"/>
    <w:p>
      <w:pPr>
        <w:ind w:right="100"/>
        <w:spacing w:after="0" w:line="257" w:lineRule="auto"/>
        <w:rPr>
          <w:sz w:val="20"/>
          <w:szCs w:val="20"/>
          <w:color w:val="auto"/>
        </w:rPr>
      </w:pPr>
      <w:r>
        <w:rPr>
          <w:rFonts w:ascii="Arial" w:cs="Arial" w:eastAsia="Arial" w:hAnsi="Arial"/>
          <w:sz w:val="18"/>
          <w:szCs w:val="18"/>
          <w:color w:val="auto"/>
        </w:rPr>
        <w:t>date, occupancy and other operating expenses increased $2.7 million, or 6.4%, from the comparable period of the prior year. The increase was primarily due to a $1.2 million increase in occupancy costs, due primarily to additional rent, a $0.5 million increase in advertising costs, a $0.2 million increase in utilities costs, and a $0.8 million increase in other operating expenses, resulting primarily from an increase in restaurant security expenses, repair and maintenance costs, property tax expense and credit card fees and restaurant security expenses. The increases resulted primarily from the new restaurants opened during or after the first quarter of 2017.</w:t>
      </w:r>
    </w:p>
    <w:p>
      <w:pPr>
        <w:spacing w:after="0" w:line="188"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For the quarter, occupancy and other operating expenses as a percentage of company-operated restaurant revenue were 23.0%, up from 21.8% in the comparable period of the prior year. Year-to-date, occupancy and other operating expenses as a percentage of company-operated restaurant revenue were</w:t>
      </w:r>
    </w:p>
    <w:p>
      <w:pPr>
        <w:ind w:right="100"/>
        <w:spacing w:after="0" w:line="323" w:lineRule="auto"/>
        <w:rPr>
          <w:sz w:val="20"/>
          <w:szCs w:val="20"/>
          <w:color w:val="auto"/>
        </w:rPr>
      </w:pPr>
      <w:r>
        <w:rPr>
          <w:rFonts w:ascii="Arial" w:cs="Arial" w:eastAsia="Arial" w:hAnsi="Arial"/>
          <w:sz w:val="16"/>
          <w:szCs w:val="16"/>
          <w:color w:val="auto"/>
        </w:rPr>
        <w:t>23.1%, up from 21.9% in the comparable period of the prior year. Both the quarter and year-to-date increase resulted primarily from rent expense, relative to revenue volume generated, and other incremental costs related to opening new restaurants in 2017 and the twenty-six weeks ended June 27, 2018.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For the quarter, general and administrative expenses increased $2.9 million, or 30.3%, from the comparable period in the prior year. The increase for the quarter was due primarily to (i) a $2.4 million increase in legal expense related primarily to a $2.1 million increase in securities class action litigation costs,</w:t>
      </w:r>
    </w:p>
    <w:p>
      <w:pPr>
        <w:ind w:right="140" w:firstLine="8"/>
        <w:spacing w:after="0" w:line="255"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$0.4 million increase in stock compensation related expenses, primarily related to the stock modification discussed in Note 3, (iii) a $0.3 million increase in professional related fees, and (iv) a $0.1 million increase in other general and administrative expenses. These increases were partially offset by a $0.3 million decrease in restaurant pre-opening costs.</w:t>
      </w:r>
    </w:p>
    <w:p>
      <w:pPr>
        <w:spacing w:after="0" w:line="8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Year-to-date, general and administrative expenses increased $6.4 million, or 33.0%, from the comparable period in the prior year. The increase for the quarter was due primarily to (i) a $5.1 million increase in legal expense related primarily to an increase in securities class action litigation costs, (ii) a $0.8 million increase in stock compensation related expenses, primarily related to the stock modification discussed in Note 3, (iii) a $0.4 million increase in professional related fees, (iv) a $0.2 million increase in dead site costs related to costs incurred for potential new restaurant locations that we chose not to continue to pursue, (v) a $0.2 million increase in software maintenance costs and (vi) a $0.4 million increase in other general and administrative expenses. These increases were partially offset by a $0.7 million decrease in restaurant pre-opening costs.</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quarter, general and administrative expenses as a percentage of total revenue were 11.2% up from 9.1% in the comparable period of the prior year. Excluding franchise advertising fee revenue, discussed in Note 10, general and administrative expenses as a percentage of total revenue were 11.7% up from 9.1% in the comparable period of the prior year. Year-to-date, general and administrative expenses as a percentage of total revenue were 11.8% up from 9.4% in the comparable period of the prior year. Excluding franchise advertising fee revenue, discussed in Note 10, general and administrative expenses as a percentage of total revenue were 12.4% up from 9.4% in the comparable period of the prior year. The percentage increase is primarily due to the cost increases discussed above.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Securities Class Action Legal Expense</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thirteen and twenty-six weeks ended June 27, 2018, we received insurance proceeds of $2.4 million and $4.1 million, respectively, related to the reimbursement of certain legal expenses paid in prior years for the defense of securities lawsuits. See the Notes to the Condensed Consolidated Financial Statements, Note 7, Commitments and Contingencies, Legal Matters.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left="60"/>
        <w:spacing w:after="0" w:line="270" w:lineRule="auto"/>
        <w:rPr>
          <w:sz w:val="20"/>
          <w:szCs w:val="20"/>
          <w:color w:val="auto"/>
        </w:rPr>
      </w:pPr>
      <w:r>
        <w:rPr>
          <w:rFonts w:ascii="Arial" w:cs="Arial" w:eastAsia="Arial" w:hAnsi="Arial"/>
          <w:sz w:val="17"/>
          <w:szCs w:val="17"/>
          <w:color w:val="auto"/>
        </w:rPr>
        <w:t>During the thirteen and twenty-six weeks ended June 27, 2018, the Company determined that the carrying value of one restaurant in Arizona may not be recoverable. As a result, the Company recorded a $1.7 million expense, primarily related to the impairment of the assets of the restaurant. During the thirteen weeks ended June 27, 2018, the Company closed two restaurants in Texas, both of which were previously impaired during the third quarter of 2017. During the twenty-six weeks ended June 27, 2018, the Company closed four restaurants in Texas, all of which were previously impaired during the third quarter of 2017, and decided not to move forward with the development of a third location in Texas. This resulted in a closed-store reserve of $2.3 million for the thirteen weeks ended June 27, 2018 and $5.1 million for the twenty-six weeks ended June 27, 2018. During the thirteen and twenty-six weeks ended June 28, 2017, the Company determined that the carrying value of one restaurant in Texas may not be recoverable. As a result, the Company recorded a $0.4 million expense related to the impairment of the assets of the restaurant. During the twenty-six weeks ended June 28, 2017, we closed one restaurant in Arizona and one restaurant in Texas, resulting in a closed store reserve of $0.8 million. We continue to monitor the recoverability of the carrying value of the assets of several other restaurants.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692"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For the quarter, interest expense, net increased by $0.2 million, or 23.4%, and for the year-to-date period, interest expense, net increased by $0.3 million, or 17.9%. Both quarter and year-to-date increases were due to an increase in the interest rate on our debt, partially offset by a lower outstanding debt balance.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quarter ended June 27, 2018 and June 28, 2017, we recorded income tax receivable agreement expense of $0.7 million and income tax receivable agreement income of $0.1 million, respectively. For the year-to-date periods ending June 27, 2018 and June 28, 2017, we recorded an income tax receivable agreement income of $0.2 million and income tax receivable agreement expense of $0.1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For the quarter ended June 27, 2018, we recorded an income tax provision of $0.9 million, reflecting an estimated effective tax rate of 14.6%. For the quarter ended June 28, 2017, we recorded an income tax provision of $4.2 million, reflecting an estimated effective tax rate of approximately 35.2%. Year-to-date ended June 27, 2018 we recorded an income tax provision of $2.8 million, reflecting an estimated effective tax rate of approximately 27.1%. Year-to-date ended June 28, 2017 we recorded an income tax provision of $7.7 million, reflecting an estimated effective tax rate of approximately 37.8%. The difference between the 21.0% statutory rate and the Company’s effective tax rate of 27.1% for the year-to-date ended June 28, 2017 is primarily a result of state taxes, a Work Opportunity Tax Credit benefit, the Company’s valuation allowance against certain state credits as a result of future forecasted income and changes to total expected TRA payments due to changes in future forecasted taxable income.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twelve months from the filing of the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4"/>
          </w:tcPr>
          <w:p>
            <w:pPr>
              <w:jc w:val="right"/>
              <w:ind w:right="1454"/>
              <w:spacing w:after="0"/>
              <w:rPr>
                <w:sz w:val="20"/>
                <w:szCs w:val="20"/>
                <w:color w:val="auto"/>
              </w:rPr>
            </w:pPr>
            <w:r>
              <w:rPr>
                <w:rFonts w:ascii="Arial" w:cs="Arial" w:eastAsia="Arial" w:hAnsi="Arial"/>
                <w:sz w:val="14"/>
                <w:szCs w:val="14"/>
                <w:b w:val="1"/>
                <w:bCs w:val="1"/>
                <w:color w:val="auto"/>
              </w:rPr>
              <w:t>Twenty-Six Weeks Ended</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420" w:type="dxa"/>
            <w:vAlign w:val="bottom"/>
          </w:tcPr>
          <w:p>
            <w:pPr>
              <w:spacing w:after="0"/>
              <w:rPr>
                <w:sz w:val="19"/>
                <w:szCs w:val="19"/>
                <w:color w:val="auto"/>
              </w:rPr>
            </w:pPr>
          </w:p>
        </w:tc>
        <w:tc>
          <w:tcPr>
            <w:tcW w:w="198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27, 2018</w:t>
            </w:r>
          </w:p>
        </w:tc>
        <w:tc>
          <w:tcPr>
            <w:tcW w:w="420" w:type="dxa"/>
            <w:vAlign w:val="bottom"/>
          </w:tcPr>
          <w:p>
            <w:pPr>
              <w:spacing w:after="0"/>
              <w:rPr>
                <w:sz w:val="19"/>
                <w:szCs w:val="19"/>
                <w:color w:val="auto"/>
              </w:rPr>
            </w:pPr>
          </w:p>
        </w:tc>
        <w:tc>
          <w:tcPr>
            <w:tcW w:w="1860" w:type="dxa"/>
            <w:vAlign w:val="bottom"/>
          </w:tcPr>
          <w:p>
            <w:pPr>
              <w:jc w:val="right"/>
              <w:ind w:right="634"/>
              <w:spacing w:after="0"/>
              <w:rPr>
                <w:sz w:val="20"/>
                <w:szCs w:val="20"/>
                <w:color w:val="auto"/>
              </w:rPr>
            </w:pPr>
            <w:r>
              <w:rPr>
                <w:rFonts w:ascii="Arial" w:cs="Arial" w:eastAsia="Arial" w:hAnsi="Arial"/>
                <w:sz w:val="14"/>
                <w:szCs w:val="14"/>
                <w:b w:val="1"/>
                <w:bCs w:val="1"/>
                <w:color w:val="auto"/>
              </w:rPr>
              <w:t>June 28,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(used) by</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25,630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30,733</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(19,040)</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(7,143)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(9,490)</w:t>
            </w:r>
          </w:p>
        </w:tc>
      </w:tr>
      <w:tr>
        <w:trPr>
          <w:trHeight w:val="27"/>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4,535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2,203</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For the twenty-six weeks ended June 27, 2018, net cash provided by operating activities decreased by approximately $5.1 million from the comparable period of the prior year. This was due primarily to a decline in profitability after non-cash items, partially offset by favorable working capital fluctuations.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twenty-six weeks ended June 27, 2018, net cash used by investing activities decreased by $5.1 million from the comparable period of the prior year. This was due primarily to opening three new company restaurants and six remodels completed in the twenty-six weeks ended June 27, 2018 compared to nine new restaurants and seven remodels completed in the twenty-six weeks ended June 28, 2017.</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year ending December 26, 2018, we expect to incur capital expenditures of $27.0 million to $31.0 million, consisting of $13.0 to $17.0 million related to new restaurants, $6.0 million related to the remodeling of existing restaurants, and $8.0 million related to major maintenance and other corporate capital expenditures.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For the twenty-six weeks ended June 27, 2018, net cash used by financing activities decreased by $2.3 million from the comparable period of the prior year. This was due primarily to decrease in net prepayments of $2.5 million on the 2014 Revolver during the twenty-six weeks ended June 27, 2018 compared to the twenty-six weeks ended June 28, 2017. This was partially offset by a $0.2 million increase in cash outflow related to share-based compensation-related transactions.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$15.0 million for letters of credit and a sub limit of $15.0 million for swingline loans. At June 27, 2018, $7.7 million of letters of credit were outstanding and $106.3 million was available to borrow under the revolving line of credit.</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a range of 1.75% to 2.50%, and for base rate loans the margin is in a range of 0.75% to 1.50%. The interest rate range was 3.6% to 3.7% and for 3.3% to 3.7% the thirteen and twenty-six weeks ended June 27, 2018, respectively, and 2.7% to 3.0% and 2.4% to 3.0% for the thirteen and twenty-six weeks ended June 28, 2017, respectively.</w:t>
      </w:r>
    </w:p>
    <w:p>
      <w:pPr>
        <w:spacing w:after="0" w:line="19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June 27, 2018.</w:t>
      </w:r>
    </w:p>
    <w:p>
      <w:pPr>
        <w:spacing w:after="0" w:line="15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the TRA, and, (iii) so long as no default or event of default has occurred and is continuing,</w:t>
      </w:r>
    </w:p>
    <w:p>
      <w:pPr>
        <w:ind w:firstLine="8"/>
        <w:spacing w:after="0" w:line="253"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subject to its compliance, on a pro forma basis, with (x) its lease-adjusted consolidated leverage ratio not to exceed 4.25 times and (y) the financial covenants applicable to the 2014 Revolver.</w:t>
      </w:r>
    </w:p>
    <w:p>
      <w:pPr>
        <w:spacing w:after="0" w:line="191" w:lineRule="exact"/>
        <w:rPr>
          <w:sz w:val="20"/>
          <w:szCs w:val="20"/>
          <w:color w:val="auto"/>
        </w:rPr>
      </w:pPr>
    </w:p>
    <w:p>
      <w:pPr>
        <w:ind w:right="2260"/>
        <w:spacing w:after="0" w:line="257" w:lineRule="auto"/>
        <w:rPr>
          <w:sz w:val="20"/>
          <w:szCs w:val="20"/>
          <w:color w:val="auto"/>
        </w:rPr>
      </w:pPr>
      <w:r>
        <w:rPr>
          <w:rFonts w:ascii="Arial" w:cs="Arial" w:eastAsia="Arial" w:hAnsi="Arial"/>
          <w:sz w:val="18"/>
          <w:szCs w:val="18"/>
          <w:color w:val="auto"/>
        </w:rPr>
        <w:t>On July 13, 2018, the 2014 Revolver was refinanced pursuant to a credit agreement (the “2018 Credit Agreement”) among EPL, as borrower, the Company and Intermediate, as guarantors, the lenders and other parties party thereto and Bank of America, N.A., as administrative agent, swingline lender and L/C issuer, which provides for a $150.0 million five-year senior secured revolving facility. For more information regarding the 2018 Credit Agreement, see “Subsequent Events ― 2018 Credit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08" w:right="239" w:bottom="1440" w:gutter="0" w:footer="0" w:header="0"/>
        </w:sectPr>
      </w:pPr>
    </w:p>
    <w:bookmarkStart w:id="37" w:name="page38"/>
    <w:bookmarkEnd w:id="37"/>
    <w:p>
      <w:pPr>
        <w:ind w:right="320"/>
        <w:spacing w:after="0" w:line="286" w:lineRule="auto"/>
        <w:rPr>
          <w:sz w:val="20"/>
          <w:szCs w:val="20"/>
          <w:color w:val="auto"/>
        </w:rPr>
      </w:pPr>
      <w:r>
        <w:rPr>
          <w:rFonts w:ascii="Arial" w:cs="Arial" w:eastAsia="Arial" w:hAnsi="Arial"/>
          <w:sz w:val="17"/>
          <w:szCs w:val="17"/>
          <w:color w:val="auto"/>
        </w:rPr>
        <w:t>Our contractual commitments outstanding on June 27, 2018, have not changed materially since our annual report on Form 10-K for the year ended December 27, 2017. These relate to future (i) debt payments, including expected interest expense, calculated based on current interest rates, (ii) restaurant operating lease payments, (iii) income tax receivable agreement payments, and (iv) purchasing commitments for chicken.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June 27, 2018 and December 27, 2017, we were using $7.7 million of borrowing capacity on the 2014 Revolver for letters of credit in support of our insurance programs.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are exposed to market risk from changes in the interest rate on our debt, which bears interest at USD LIBOR plus a margin between 1.75% and 2.50%. As of June 27, 2018, we had outstanding borrowings of $86.0 million and another $7.7 million of letters of credit in support of our insurance programs. A 1.0% increase in the effective interest rate applied to these borrowings would result in a pre-tax interest expense increase of $0.9 million on an annualized basis.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92" w:right="259" w:bottom="1440" w:gutter="0" w:footer="0" w:header="0"/>
        </w:sectPr>
      </w:pPr>
    </w:p>
    <w:bookmarkStart w:id="38" w:name="page39"/>
    <w:bookmarkEnd w:id="38"/>
    <w:p>
      <w:pPr>
        <w:spacing w:after="0" w:line="286"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as of the end of the period covered by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 changes in our internal control over financial reporting occurred during the period covered by this report that has materially affected, or is reasonably likely to materially affect, our internal control over financial reporting.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800" w:right="31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On or about February 24, 2014, a former employee filed a class action in the Superior Court of the State of California, County of Orange, under the caption </w:t>
      </w:r>
      <w:r>
        <w:rPr>
          <w:rFonts w:ascii="Arial" w:cs="Arial" w:eastAsia="Arial" w:hAnsi="Arial"/>
          <w:sz w:val="16"/>
          <w:szCs w:val="16"/>
          <w:u w:val="single" w:color="auto"/>
          <w:color w:val="auto"/>
        </w:rPr>
        <w:t>Elliott Olvera, et al v. El Pollo Loco, Inc., et al</w:t>
      </w:r>
      <w:r>
        <w:rPr>
          <w:rFonts w:ascii="Arial" w:cs="Arial" w:eastAsia="Arial" w:hAnsi="Arial"/>
          <w:sz w:val="16"/>
          <w:szCs w:val="16"/>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executed a Stipulation of Class Settlement and Release which the court refused to approve on the grounds that it did not provide sufficient compensation for the putative class members. Further settlement discussions were not successful, and the court recently certified two class of plaintiffs - one class encompasses restaurant employees who were not provided proper rest breaks because they were not allowed to leave the premises during their breaks and the other class encompasses restaurant employees who were required to wait at the restaurant after they finished working for the night until the manager set the alarm for safety purposes. Purported class actions alleging wage and hour violations are commonly filed against California employers. The Company has similar cases pending that overlap in part with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action and fully expects to have to defend against similar lawsuits in the future.</w:t>
      </w:r>
    </w:p>
    <w:p>
      <w:pPr>
        <w:spacing w:after="0" w:line="17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on July 3, 2018, the Court granted Plaintiffs’ motion and certified a class as to all of Plaintiffs’ claims. Defendants are currently seeking appellate review of a portion of the Court’s July 3, 2018 class certification order. Defendants intend to continue to defend against the claims asserted.</w:t>
      </w:r>
    </w:p>
    <w:p>
      <w:pPr>
        <w:spacing w:after="0" w:line="16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7"/>
          <w:szCs w:val="17"/>
          <w:u w:val="single" w:color="auto"/>
          <w:color w:val="auto"/>
        </w:rPr>
        <w:t>Armen Galustyan v. Sather, et al.</w:t>
      </w:r>
      <w:r>
        <w:rPr>
          <w:rFonts w:ascii="Arial" w:cs="Arial" w:eastAsia="Arial" w:hAnsi="Arial"/>
          <w:sz w:val="17"/>
          <w:szCs w:val="17"/>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580" w:right="279" w:bottom="1440" w:gutter="0" w:footer="0" w:header="0"/>
        </w:sectPr>
      </w:pPr>
    </w:p>
    <w:bookmarkStart w:id="40" w:name="page41"/>
    <w:bookmarkEnd w:id="40"/>
    <w:p>
      <w:pPr>
        <w:ind w:right="40"/>
        <w:spacing w:after="0" w:line="255" w:lineRule="auto"/>
        <w:rPr>
          <w:sz w:val="20"/>
          <w:szCs w:val="20"/>
          <w:color w:val="auto"/>
        </w:rPr>
      </w:pPr>
      <w:r>
        <w:rPr>
          <w:rFonts w:ascii="Arial" w:cs="Arial" w:eastAsia="Arial" w:hAnsi="Arial"/>
          <w:sz w:val="18"/>
          <w:szCs w:val="18"/>
          <w:color w:val="auto"/>
        </w:rPr>
        <w:t xml:space="preserve">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8"/>
          <w:szCs w:val="18"/>
          <w:u w:val="single" w:color="auto"/>
          <w:color w:val="auto"/>
        </w:rPr>
        <w:t>Turocy v. El</w:t>
      </w:r>
      <w:r>
        <w:rPr>
          <w:rFonts w:ascii="Arial" w:cs="Arial" w:eastAsia="Arial" w:hAnsi="Arial"/>
          <w:sz w:val="18"/>
          <w:szCs w:val="18"/>
          <w:color w:val="auto"/>
        </w:rPr>
        <w:t xml:space="preserve"> </w:t>
      </w:r>
      <w:r>
        <w:rPr>
          <w:rFonts w:ascii="Arial" w:cs="Arial" w:eastAsia="Arial" w:hAnsi="Arial"/>
          <w:sz w:val="18"/>
          <w:szCs w:val="18"/>
          <w:u w:val="single" w:color="auto"/>
          <w:color w:val="auto"/>
        </w:rPr>
        <w:t>Pollo Loco Holdings, Inc</w:t>
      </w:r>
      <w:r>
        <w:rPr>
          <w:rFonts w:ascii="Arial" w:cs="Arial" w:eastAsia="Arial" w:hAnsi="Arial"/>
          <w:sz w:val="18"/>
          <w:szCs w:val="18"/>
          <w:color w:val="auto"/>
        </w:rPr>
        <w:t xml:space="preserve">., discussed above. A second purported Holdings shareholder filed a derivative complaint on or about September 23, 2016, under the caption </w:t>
      </w:r>
      <w:r>
        <w:rPr>
          <w:rFonts w:ascii="Arial" w:cs="Arial" w:eastAsia="Arial" w:hAnsi="Arial"/>
          <w:sz w:val="18"/>
          <w:szCs w:val="18"/>
          <w:u w:val="single" w:color="auto"/>
          <w:color w:val="auto"/>
        </w:rPr>
        <w:t>Diep v. Sather</w:t>
      </w:r>
      <w:r>
        <w:rPr>
          <w:rFonts w:ascii="Arial" w:cs="Arial" w:eastAsia="Arial" w:hAnsi="Arial"/>
          <w:sz w:val="18"/>
          <w:szCs w:val="18"/>
          <w:color w:val="auto"/>
        </w:rPr>
        <w:t xml:space="preserve">, CA 12760-VCL in the Delaware Court of Chancery.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8"/>
          <w:szCs w:val="18"/>
          <w:u w:val="single" w:color="auto"/>
          <w:color w:val="auto"/>
        </w:rPr>
        <w:t>Galustyan</w:t>
      </w:r>
      <w:r>
        <w:rPr>
          <w:rFonts w:ascii="Arial" w:cs="Arial" w:eastAsia="Arial" w:hAnsi="Arial"/>
          <w:sz w:val="18"/>
          <w:szCs w:val="18"/>
          <w:color w:val="auto"/>
        </w:rPr>
        <w:t xml:space="preserve">. Defendants moved to stay or dismiss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On March 17, 2017, the Delaware court granted in part, and denied in part, the motion to stay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for five months pending an investigation of the allegations in the action by a special litigation committee of the Holdings board of directors, and the action remains stayed.</w:t>
      </w:r>
    </w:p>
    <w:p>
      <w:pPr>
        <w:spacing w:after="0" w:line="187"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Janice P. Handlers-Bryman and Michael D. Bryman v. El Pollo Loco, Inc.</w:t>
      </w:r>
      <w:r>
        <w:rPr>
          <w:rFonts w:ascii="Arial" w:cs="Arial" w:eastAsia="Arial" w:hAnsi="Arial"/>
          <w:sz w:val="16"/>
          <w:szCs w:val="16"/>
          <w:color w:val="auto"/>
        </w:rPr>
        <w:t xml:space="preserve">,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company-owned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company-owned locations to Plaintiffs or to continuously disgorge to Plaintiffs the unjust enrichment allegedly obtained by us through the operation of the company-owned restaurants in Lancaster. We denied Plaintiffs’ allegations as the franchise agreement did not grant Plaintiffs any exclusive territorial rights and, instead, expressly reserved for us the right to open and operate - and the right to grant others the right to open and operate - El Pollo Loco restaurants “in the immediate vicinity of or adjacent to” Plaintiffs’ restaurant in Lancaster. On June 7, 2016, we filed a cross-complaint against Plaintiffs for breach of the franchise agreement due to Plaintiffs’ failure to pay to us liquidated damages provided for in the franchise agreement in connection with their solicitation and/or hiring of our general manager. This counterclaim was voluntarily dismissed by us, without prejudice, on February 27, 2017, and a related action before the San Bernardino Superior Court titled </w:t>
      </w:r>
      <w:r>
        <w:rPr>
          <w:rFonts w:ascii="Arial" w:cs="Arial" w:eastAsia="Arial" w:hAnsi="Arial"/>
          <w:sz w:val="16"/>
          <w:szCs w:val="16"/>
          <w:u w:val="single" w:color="auto"/>
          <w:color w:val="auto"/>
        </w:rPr>
        <w:t>El Pollo Loco, Inc. v. EPL 3766, Inc.</w:t>
      </w:r>
      <w:r>
        <w:rPr>
          <w:rFonts w:ascii="Arial" w:cs="Arial" w:eastAsia="Arial" w:hAnsi="Arial"/>
          <w:sz w:val="16"/>
          <w:szCs w:val="16"/>
          <w:color w:val="auto"/>
        </w:rPr>
        <w:t xml:space="preserve"> was dismissed on April 6, 2017.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went forward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 17200 et seq., and declaratory relief were not presented to the jury as these types of equitable claims are to be decided by the court as a matter of law.) On December 11, 2017, the jury returned a verdict in favor of Plaintiffs finding that we breached the implied covenant of good faith and fair dealing by (1) constructing the two new company-owned El Pollo Loco restaurants in Lancaster, and (2) not offering the two new company-owned El Pollo Loco restaurants in Lancaster to Plaintiffs. Because the trial was bifurcated, the December 11, 2017 verdict did not include a determination of damages.</w:t>
      </w:r>
    </w:p>
    <w:p>
      <w:pPr>
        <w:spacing w:after="0" w:line="3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damages phase of the trial went forward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company-owned El Pollo Loco restaurants in Lancaster to Plaintiffs. On August 1, 2018, the court issued a final judgment and decision on the unfair business practices claim under California Business &amp; Professions Code §§ 17200 et seq. The court has found El Pollo Loco liable and has issued injunctive relief requiring El Pollo Loco to revise its franchise disclosure document and franchise agreement. The court also awarded Plaintiffs restitution of $4,356,600 for “impact damages” arising out of our construction of the two new company-owned El Pollo Loco restaurants in Lancaster. The court, reversing its previous position, held that these damages could be awarded in addition to the "lost opportunity damages" awarded by the jury. Thus, the court entered a total monetary judgment of $8,837,806. There has been no ruling on the causes of action for reformation due to mistake and unconscionability, and declaratory relief.</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0" w:right="239" w:bottom="1440" w:gutter="0" w:footer="0" w:header="0"/>
        </w:sectPr>
      </w:pPr>
    </w:p>
    <w:bookmarkStart w:id="41" w:name="page42"/>
    <w:bookmarkEnd w:id="41"/>
    <w:p>
      <w:pPr>
        <w:spacing w:after="0" w:line="297" w:lineRule="auto"/>
        <w:rPr>
          <w:sz w:val="20"/>
          <w:szCs w:val="20"/>
          <w:color w:val="auto"/>
        </w:rPr>
      </w:pPr>
      <w:r>
        <w:rPr>
          <w:rFonts w:ascii="Arial" w:cs="Arial" w:eastAsia="Arial" w:hAnsi="Arial"/>
          <w:sz w:val="16"/>
          <w:szCs w:val="16"/>
          <w:color w:val="auto"/>
        </w:rPr>
        <w:t>The Company believes that both jury verdicts and the court's verdict are in error due to express language of the franchise agreement and because of the prejudicial and reversible errors of the court in the earlier phases of the litigation, during the liability phase of the trial, and during the damages phase of trial. El Pollo Loco intends to file a motion challenging the verdicts, a motion for new trial (both the liability phase and damages phase) and, if unsuccessful, will appeal the verdict and various other rulings in the case. Based on the assessment by Management, together with our legal counsel, the Company believes that the loss is currently not probable under ASC 450 and as of June 27, 2018, no accrual has been made with regard to the verdict.</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income, liquidity, or capital resources. A significant increase in the number of claims, or an increase in amounts owing under successful claims, could materially and adversely affect its business, consolidated financial condition, results of income,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27, 2017.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None. Additionally, as discussed above in (i) Part I, Item 1, Note 1, “Basis of Presentation”, and (ii) Part I, Item 2, “Liquidity and Capital Resources - Debt and Other Obligations”, our 2014 Revolver and our 2018 Revolver limit payment of dividends.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58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0080" w:type="dxa"/>
            <w:vAlign w:val="bottom"/>
            <w:gridSpan w:val="5"/>
          </w:tcPr>
          <w:p>
            <w:pPr>
              <w:spacing w:after="0"/>
              <w:rPr>
                <w:sz w:val="20"/>
                <w:szCs w:val="20"/>
                <w:color w:val="auto"/>
              </w:rPr>
            </w:pPr>
            <w:r>
              <w:rPr>
                <w:rFonts w:ascii="Arial" w:cs="Arial" w:eastAsia="Arial" w:hAnsi="Arial"/>
                <w:sz w:val="14"/>
                <w:szCs w:val="14"/>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Principal Executive Officer under section 302 of the Sarbanes–Oxley Act of 2002</w:t>
              </w:r>
            </w:hyperlink>
          </w:p>
        </w:tc>
      </w:tr>
      <w:tr>
        <w:trPr>
          <w:trHeight w:val="426"/>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70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of Principal Financial Officer under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r>
      <w:tr>
        <w:trPr>
          <w:trHeight w:val="426"/>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100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Chief Executive Officer and Chief Financial Officer under 18 U.S.C. section 1350, adopted by section 906 of the Sarbanes–</w:t>
              </w:r>
            </w:hyperlink>
          </w:p>
        </w:tc>
      </w:tr>
      <w:tr>
        <w:trPr>
          <w:trHeight w:val="196"/>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80" w:type="dxa"/>
            <w:vAlign w:val="bottom"/>
            <w:gridSpan w:val="5"/>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Oxley Act of 2002</w:t>
              </w:r>
            </w:hyperlink>
          </w:p>
        </w:tc>
      </w:tr>
      <w:tr>
        <w:trPr>
          <w:trHeight w:val="20"/>
        </w:trPr>
        <w:tc>
          <w:tcPr>
            <w:tcW w:w="1140" w:type="dxa"/>
            <w:vAlign w:val="bottom"/>
            <w:gridSpan w:val="2"/>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740" w:type="dxa"/>
            <w:vAlign w:val="bottom"/>
            <w:gridSpan w:val="3"/>
          </w:tcPr>
          <w:p>
            <w:pPr>
              <w:spacing w:after="0" w:line="20" w:lineRule="exact"/>
              <w:rPr>
                <w:sz w:val="1"/>
                <w:szCs w:val="1"/>
                <w:color w:val="auto"/>
              </w:rPr>
            </w:pP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jc w:val="both"/>
        <w:ind w:left="660" w:hanging="652"/>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0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El Pollo Loco Holdings, Inc.</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67"/>
        </w:trPr>
        <w:tc>
          <w:tcPr>
            <w:tcW w:w="3340" w:type="dxa"/>
            <w:vAlign w:val="bottom"/>
          </w:tcPr>
          <w:p>
            <w:pPr>
              <w:spacing w:after="0"/>
              <w:rPr>
                <w:sz w:val="20"/>
                <w:szCs w:val="20"/>
                <w:color w:val="auto"/>
              </w:rPr>
            </w:pPr>
            <w:r>
              <w:rPr>
                <w:rFonts w:ascii="Arial" w:cs="Arial" w:eastAsia="Arial" w:hAnsi="Arial"/>
                <w:sz w:val="18"/>
                <w:szCs w:val="18"/>
                <w:color w:val="auto"/>
              </w:rPr>
              <w:t>August 3, 2018</w:t>
            </w:r>
          </w:p>
        </w:tc>
        <w:tc>
          <w:tcPr>
            <w:tcW w:w="30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Bernard Acoca</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3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3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Bernard Acoca</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567"/>
        </w:trPr>
        <w:tc>
          <w:tcPr>
            <w:tcW w:w="3340" w:type="dxa"/>
            <w:vAlign w:val="bottom"/>
          </w:tcPr>
          <w:p>
            <w:pPr>
              <w:spacing w:after="0"/>
              <w:rPr>
                <w:sz w:val="20"/>
                <w:szCs w:val="20"/>
                <w:color w:val="auto"/>
              </w:rPr>
            </w:pPr>
            <w:r>
              <w:rPr>
                <w:rFonts w:ascii="Arial" w:cs="Arial" w:eastAsia="Arial" w:hAnsi="Arial"/>
                <w:sz w:val="18"/>
                <w:szCs w:val="18"/>
                <w:color w:val="auto"/>
              </w:rPr>
              <w:t>August 3, 2018</w:t>
            </w:r>
          </w:p>
        </w:tc>
        <w:tc>
          <w:tcPr>
            <w:tcW w:w="30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Laurance Roberts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3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3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Laurance Roberts</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86"/>
        </w:trPr>
        <w:tc>
          <w:tcPr>
            <w:tcW w:w="3340" w:type="dxa"/>
            <w:vAlign w:val="bottom"/>
          </w:tcPr>
          <w:p>
            <w:pPr>
              <w:spacing w:after="0"/>
              <w:rPr>
                <w:sz w:val="24"/>
                <w:szCs w:val="24"/>
                <w:color w:val="auto"/>
              </w:rPr>
            </w:pPr>
          </w:p>
        </w:tc>
        <w:tc>
          <w:tcPr>
            <w:tcW w:w="3020" w:type="dxa"/>
            <w:vAlign w:val="bottom"/>
          </w:tcPr>
          <w:p>
            <w:pPr>
              <w:jc w:val="right"/>
              <w:ind w:right="510"/>
              <w:spacing w:after="0"/>
              <w:rPr>
                <w:sz w:val="20"/>
                <w:szCs w:val="20"/>
                <w:color w:val="auto"/>
              </w:rPr>
            </w:pPr>
            <w:r>
              <w:rPr>
                <w:rFonts w:ascii="Arial" w:cs="Arial" w:eastAsia="Arial" w:hAnsi="Arial"/>
                <w:sz w:val="18"/>
                <w:szCs w:val="18"/>
                <w:color w:val="auto"/>
              </w:rPr>
              <w:t>43</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Bernard Acoca,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7"/>
    </w:lvl>
  </w:abstractNum>
  <w:abstractNum w:abstractNumId="5">
    <w:nsid w:val="41A7C4C9"/>
    <w:multiLevelType w:val="hybridMultilevel"/>
    <w:lvl w:ilvl="0">
      <w:lvlJc w:val="left"/>
      <w:lvlText w:val="(%1)"/>
      <w:numFmt w:val="lowerRoman"/>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6"/>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lowerRoman"/>
      <w:start w:val="2"/>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5"/>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2019-12-28T20:35:06Z</dcterms:created>
  <dcterms:modified xsi:type="dcterms:W3CDTF">2019-12-28T20:35:06Z</dcterms:modified>
</cp:coreProperties>
</file>