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3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20, 2025</w:t>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EL POLLO LOCO HOLDINGS, INC.</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5"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2360" w:type="dxa"/>
            <w:vAlign w:val="bottom"/>
            <w:tcBorders>
              <w:bottom w:val="single" w:sz="8" w:color="auto"/>
            </w:tcBorders>
          </w:tcPr>
          <w:p>
            <w:pPr>
              <w:jc w:val="center"/>
              <w:ind w:right="1170"/>
              <w:spacing w:after="0"/>
              <w:rPr>
                <w:sz w:val="20"/>
                <w:szCs w:val="20"/>
                <w:color w:val="auto"/>
              </w:rPr>
            </w:pPr>
            <w:r>
              <w:rPr>
                <w:rFonts w:ascii="Times New Roman" w:cs="Times New Roman" w:eastAsia="Times New Roman" w:hAnsi="Times New Roman"/>
                <w:sz w:val="18"/>
                <w:szCs w:val="18"/>
                <w:color w:val="auto"/>
                <w:w w:val="99"/>
              </w:rPr>
              <w:t>001-36556</w:t>
            </w: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20-3563182</w:t>
            </w:r>
          </w:p>
        </w:tc>
      </w:tr>
      <w:tr>
        <w:trPr>
          <w:trHeight w:val="191"/>
        </w:trPr>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360" w:type="dxa"/>
            <w:vAlign w:val="bottom"/>
          </w:tcPr>
          <w:p>
            <w:pPr>
              <w:jc w:val="center"/>
              <w:ind w:right="115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6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of incorporation)</w:t>
            </w:r>
          </w:p>
        </w:tc>
        <w:tc>
          <w:tcPr>
            <w:tcW w:w="236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8"/>
              </w:rPr>
              <w:t>File Number)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Identification No.)</w:t>
            </w:r>
          </w:p>
        </w:tc>
      </w:tr>
      <w:tr>
        <w:trPr>
          <w:trHeight w:val="445"/>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575 Anton Blvd., Suite 1100, Costa Mesa, California</w:t>
            </w:r>
          </w:p>
        </w:tc>
        <w:tc>
          <w:tcPr>
            <w:tcW w:w="23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92626</w:t>
            </w:r>
          </w:p>
        </w:tc>
      </w:tr>
      <w:tr>
        <w:trPr>
          <w:trHeight w:val="22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36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Registrant’s telephone number, including area code: (714) 599-5000</w:t>
      </w:r>
    </w:p>
    <w:p>
      <w:pPr>
        <w:spacing w:after="0" w:line="117"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7"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60" w:hanging="21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260" w:hanging="21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14a-2 under the Exchange Act (17 CFR 240.14a-12)</w:t>
      </w:r>
    </w:p>
    <w:p>
      <w:pPr>
        <w:spacing w:after="0" w:line="90" w:lineRule="exact"/>
        <w:rPr>
          <w:rFonts w:ascii="MS PGothic" w:cs="MS PGothic" w:eastAsia="MS PGothic" w:hAnsi="MS PGothic"/>
          <w:sz w:val="18"/>
          <w:szCs w:val="18"/>
          <w:color w:val="auto"/>
        </w:rPr>
      </w:pPr>
    </w:p>
    <w:p>
      <w:pPr>
        <w:ind w:left="260" w:hanging="21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260" w:hanging="21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7"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32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4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LOCO</w:t>
            </w:r>
          </w:p>
        </w:tc>
        <w:tc>
          <w:tcPr>
            <w:tcW w:w="3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1"/>
        </w:trPr>
        <w:tc>
          <w:tcPr>
            <w:tcW w:w="32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Rights to Purchase Series A Preferred</w:t>
            </w:r>
          </w:p>
        </w:tc>
        <w:tc>
          <w:tcPr>
            <w:tcW w:w="2200" w:type="dxa"/>
            <w:vAlign w:val="bottom"/>
            <w:tcBorders>
              <w:right w:val="single" w:sz="8" w:color="auto"/>
            </w:tcBorders>
          </w:tcPr>
          <w:p>
            <w:pPr>
              <w:spacing w:after="0"/>
              <w:rPr>
                <w:sz w:val="16"/>
                <w:szCs w:val="16"/>
                <w:color w:val="auto"/>
              </w:rPr>
            </w:pPr>
          </w:p>
        </w:tc>
        <w:tc>
          <w:tcPr>
            <w:tcW w:w="3440" w:type="dxa"/>
            <w:vAlign w:val="bottom"/>
            <w:tcBorders>
              <w:right w:val="single" w:sz="8" w:color="auto"/>
            </w:tcBorders>
          </w:tcPr>
          <w:p>
            <w:pPr>
              <w:spacing w:after="0"/>
              <w:rPr>
                <w:sz w:val="16"/>
                <w:szCs w:val="16"/>
                <w:color w:val="auto"/>
              </w:rPr>
            </w:pPr>
          </w:p>
        </w:tc>
      </w:tr>
      <w:tr>
        <w:trPr>
          <w:trHeight w:val="241"/>
        </w:trPr>
        <w:tc>
          <w:tcPr>
            <w:tcW w:w="3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 par value $0.01 per share</w:t>
            </w:r>
          </w:p>
        </w:tc>
        <w:tc>
          <w:tcPr>
            <w:tcW w:w="2200" w:type="dxa"/>
            <w:vAlign w:val="bottom"/>
            <w:tcBorders>
              <w:bottom w:val="single" w:sz="8" w:color="auto"/>
              <w:right w:val="single" w:sz="8" w:color="auto"/>
            </w:tcBorders>
          </w:tcPr>
          <w:p>
            <w:pPr>
              <w:spacing w:after="0"/>
              <w:rPr>
                <w:sz w:val="20"/>
                <w:szCs w:val="20"/>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30" w:lineRule="exact"/>
        <w:rPr>
          <w:sz w:val="24"/>
          <w:szCs w:val="24"/>
          <w:color w:val="auto"/>
        </w:rPr>
      </w:pPr>
    </w:p>
    <w:p>
      <w:pPr>
        <w:ind w:left="60" w:right="11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 230.405 of this chapter) or Rule 12b- 2 of the Securities Exchange Act of 1934 (§ 240.12b-2 of this chapter). Emerging growth company </w:t>
      </w:r>
      <w:r>
        <w:rPr>
          <w:rFonts w:ascii="MS PGothic" w:cs="MS PGothic" w:eastAsia="MS PGothic" w:hAnsi="MS PGothic"/>
          <w:sz w:val="18"/>
          <w:szCs w:val="18"/>
          <w:color w:val="auto"/>
        </w:rPr>
        <w:t>☐</w:t>
      </w:r>
    </w:p>
    <w:p>
      <w:pPr>
        <w:spacing w:after="0" w:line="117"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685800</wp:posOffset>
            </wp:positionV>
            <wp:extent cx="5657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102870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145415</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1" w:name="page2"/>
    <w:bookmarkEnd w:id="1"/>
    <w:p>
      <w:pPr>
        <w:ind w:left="60" w:right="57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November 20, 2025, El Pollo Loco Holdings, Inc. (the “Company”) agreed with Maria Hollandsworth that she would depart from her role as President and Chief Operating Officer of the Company with a final separation date of December 26, 2025 (the “Separation Date”). In accordance with Ms. Hollandsworth’s employment agreement filed with the Securities and Exchange Commission on November 2, 2023, Ms. Hollandsworth will receive accrued benefits under the Company’s employee benefits plans and subsidized continuation of insurance coverage under COBRA subject to Ms. Hollandsworth’s execution of a release. Additionally, all restricted stock awards and stock options held by Ms. Hollandsworth that would have otherwise vested between the Separation Date and May 31, 2026, will be deemed to be vested as of the Separation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827405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El Pollo Loco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5648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November 20, 2025</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Ira Fils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56489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Ira Fils</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1283335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2025-11-20T15:21:14Z</dcterms:created>
  <dcterms:modified xsi:type="dcterms:W3CDTF">2025-11-20T15:21:14Z</dcterms:modified>
</cp:coreProperties>
</file>