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UNITED STATES</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AND EXCHANGE COMMISSION</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74295</wp:posOffset>
            </wp:positionV>
            <wp:extent cx="163449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4490" cy="11430"/>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45085</wp:posOffset>
            </wp:positionV>
            <wp:extent cx="16344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(Mark one)</w:t>
      </w:r>
    </w:p>
    <w:p>
      <w:pPr>
        <w:spacing w:after="0" w:line="75" w:lineRule="exact"/>
        <w:rPr>
          <w:sz w:val="24"/>
          <w:szCs w:val="24"/>
          <w:color w:val="auto"/>
        </w:rPr>
      </w:pPr>
    </w:p>
    <w:p>
      <w:pPr>
        <w:ind w:left="380" w:hanging="344"/>
        <w:spacing w:after="0"/>
        <w:tabs>
          <w:tab w:leader="none" w:pos="380" w:val="left"/>
        </w:tabs>
        <w:numPr>
          <w:ilvl w:val="0"/>
          <w:numId w:val="1"/>
        </w:numPr>
        <w:rPr>
          <w:rFonts w:ascii="MS PGothic" w:cs="MS PGothic" w:eastAsia="MS PGothic" w:hAnsi="MS PGothic"/>
          <w:sz w:val="11"/>
          <w:szCs w:val="11"/>
          <w:color w:val="auto"/>
        </w:rPr>
      </w:pPr>
      <w:r>
        <w:rPr>
          <w:rFonts w:ascii="Arial" w:cs="Arial" w:eastAsia="Arial" w:hAnsi="Arial"/>
          <w:sz w:val="10"/>
          <w:szCs w:val="10"/>
          <w:b w:val="1"/>
          <w:bCs w:val="1"/>
          <w:color w:val="auto"/>
        </w:rPr>
        <w:t>ANNUAL REPORT PURSUANT TO SECTION 13 OR 15(D) OF THE SECURITIES EXCHANGE ACT OF 1934</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8"/>
          <w:szCs w:val="8"/>
          <w:b w:val="1"/>
          <w:bCs w:val="1"/>
          <w:color w:val="auto"/>
        </w:rPr>
        <w:t>For the fiscal year ended December 30, 2020</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8"/>
          <w:szCs w:val="8"/>
          <w:b w:val="1"/>
          <w:bCs w:val="1"/>
          <w:color w:val="auto"/>
        </w:rPr>
        <w:t>or</w:t>
      </w:r>
    </w:p>
    <w:p>
      <w:pPr>
        <w:sectPr>
          <w:pgSz w:w="11900" w:h="16838" w:orient="portrait"/>
          <w:cols w:equalWidth="0" w:num="1">
            <w:col w:w="10200"/>
          </w:cols>
          <w:pgMar w:left="800" w:top="491" w:right="899" w:bottom="1440" w:gutter="0" w:footer="0" w:header="0"/>
        </w:sectPr>
      </w:pPr>
    </w:p>
    <w:p>
      <w:pPr>
        <w:spacing w:after="0" w:line="38" w:lineRule="exact"/>
        <w:rPr>
          <w:sz w:val="24"/>
          <w:szCs w:val="24"/>
          <w:color w:val="auto"/>
        </w:rPr>
      </w:pPr>
    </w:p>
    <w:p>
      <w:pPr>
        <w:ind w:left="4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101" w:lineRule="exact"/>
        <w:rPr>
          <w:sz w:val="24"/>
          <w:szCs w:val="24"/>
          <w:color w:val="auto"/>
        </w:rPr>
      </w:pPr>
    </w:p>
    <w:p>
      <w:pPr>
        <w:sectPr>
          <w:pgSz w:w="11900" w:h="16838" w:orient="portrait"/>
          <w:cols w:equalWidth="0" w:num="2">
            <w:col w:w="140" w:space="260"/>
            <w:col w:w="9800"/>
          </w:cols>
          <w:pgMar w:left="800" w:top="491" w:right="899" w:bottom="1440" w:gutter="0" w:footer="0" w:header="0"/>
          <w:type w:val="continuous"/>
        </w:sectPr>
      </w:pPr>
    </w:p>
    <w:p>
      <w:pPr>
        <w:ind w:left="4440"/>
        <w:spacing w:after="0"/>
        <w:tabs>
          <w:tab w:leader="none" w:pos="5760" w:val="left"/>
        </w:tabs>
        <w:rPr>
          <w:sz w:val="20"/>
          <w:szCs w:val="20"/>
          <w:color w:val="auto"/>
        </w:rPr>
      </w:pPr>
      <w:r>
        <w:rPr>
          <w:rFonts w:ascii="Arial" w:cs="Arial" w:eastAsia="Arial" w:hAnsi="Arial"/>
          <w:sz w:val="8"/>
          <w:szCs w:val="8"/>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8"/>
          <w:szCs w:val="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74295</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ectPr>
          <w:pgSz w:w="11900" w:h="16838" w:orient="portrait"/>
          <w:cols w:equalWidth="0" w:num="1">
            <w:col w:w="10200"/>
          </w:cols>
          <w:pgMar w:left="800" w:top="491" w:right="899" w:bottom="1440" w:gutter="0" w:footer="0" w:header="0"/>
          <w:type w:val="continuous"/>
        </w:sectPr>
      </w:pP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EL POLLO LOCO HOLDINGS, INC.</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8"/>
          <w:szCs w:val="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68580</wp:posOffset>
            </wp:positionV>
            <wp:extent cx="163449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4490" cy="11430"/>
                    </a:xfrm>
                    <a:prstGeom prst="rect">
                      <a:avLst/>
                    </a:prstGeom>
                    <a:noFill/>
                  </pic:spPr>
                </pic:pic>
              </a:graphicData>
            </a:graphic>
          </wp:anchor>
        </w:drawing>
      </w:r>
    </w:p>
    <w:p>
      <w:pPr>
        <w:spacing w:after="0" w:line="214" w:lineRule="exact"/>
        <w:rPr>
          <w:sz w:val="24"/>
          <w:szCs w:val="24"/>
          <w:color w:val="auto"/>
        </w:rPr>
      </w:pPr>
    </w:p>
    <w:tbl>
      <w:tblPr>
        <w:tblLayout w:type="fixed"/>
        <w:tblInd w:w="1200" w:type="dxa"/>
        <w:tblCellMar>
          <w:top w:w="0" w:type="dxa"/>
          <w:left w:w="0" w:type="dxa"/>
          <w:bottom w:w="0" w:type="dxa"/>
          <w:right w:w="0" w:type="dxa"/>
        </w:tblCellMar>
      </w:tblPr>
      <w:tr>
        <w:trPr>
          <w:trHeight w:val="133"/>
        </w:trPr>
        <w:tc>
          <w:tcPr>
            <w:tcW w:w="640" w:type="dxa"/>
            <w:vAlign w:val="bottom"/>
          </w:tcPr>
          <w:p>
            <w:pPr>
              <w:spacing w:after="0"/>
              <w:rPr>
                <w:sz w:val="11"/>
                <w:szCs w:val="11"/>
                <w:color w:val="auto"/>
              </w:rPr>
            </w:pPr>
          </w:p>
        </w:tc>
        <w:tc>
          <w:tcPr>
            <w:tcW w:w="2020" w:type="dxa"/>
            <w:vAlign w:val="bottom"/>
            <w:gridSpan w:val="2"/>
          </w:tcPr>
          <w:p>
            <w:pPr>
              <w:jc w:val="center"/>
              <w:ind w:right="606"/>
              <w:spacing w:after="0"/>
              <w:rPr>
                <w:sz w:val="20"/>
                <w:szCs w:val="20"/>
                <w:color w:val="auto"/>
              </w:rPr>
            </w:pPr>
            <w:r>
              <w:rPr>
                <w:rFonts w:ascii="Arial" w:cs="Arial" w:eastAsia="Arial" w:hAnsi="Arial"/>
                <w:sz w:val="11"/>
                <w:szCs w:val="11"/>
                <w:b w:val="1"/>
                <w:bCs w:val="1"/>
                <w:color w:val="auto"/>
                <w:w w:val="90"/>
              </w:rPr>
              <w:t>Delaware</w:t>
            </w: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560" w:type="dxa"/>
            <w:vAlign w:val="bottom"/>
          </w:tcPr>
          <w:p>
            <w:pPr>
              <w:jc w:val="right"/>
              <w:ind w:right="933"/>
              <w:spacing w:after="0"/>
              <w:rPr>
                <w:sz w:val="20"/>
                <w:szCs w:val="20"/>
                <w:color w:val="auto"/>
              </w:rPr>
            </w:pPr>
            <w:r>
              <w:rPr>
                <w:rFonts w:ascii="Arial" w:cs="Arial" w:eastAsia="Arial" w:hAnsi="Arial"/>
                <w:sz w:val="11"/>
                <w:szCs w:val="11"/>
                <w:b w:val="1"/>
                <w:bCs w:val="1"/>
                <w:color w:val="auto"/>
                <w:w w:val="95"/>
              </w:rPr>
              <w:t>20-3563182</w:t>
            </w: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2020" w:type="dxa"/>
            <w:vAlign w:val="bottom"/>
            <w:gridSpan w:val="2"/>
          </w:tcPr>
          <w:p>
            <w:pPr>
              <w:jc w:val="center"/>
              <w:ind w:right="626"/>
              <w:spacing w:after="0" w:line="90" w:lineRule="exact"/>
              <w:rPr>
                <w:sz w:val="20"/>
                <w:szCs w:val="20"/>
                <w:color w:val="auto"/>
              </w:rPr>
            </w:pPr>
            <w:r>
              <w:rPr>
                <w:rFonts w:ascii="Arial" w:cs="Arial" w:eastAsia="Arial" w:hAnsi="Arial"/>
                <w:sz w:val="8"/>
                <w:szCs w:val="8"/>
                <w:b w:val="1"/>
                <w:bCs w:val="1"/>
                <w:color w:val="auto"/>
                <w:w w:val="95"/>
              </w:rPr>
              <w:t>State or other jurisdiction of</w:t>
            </w:r>
          </w:p>
        </w:tc>
        <w:tc>
          <w:tcPr>
            <w:tcW w:w="10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jc w:val="center"/>
              <w:ind w:right="853"/>
              <w:spacing w:after="0" w:line="90" w:lineRule="exact"/>
              <w:rPr>
                <w:sz w:val="20"/>
                <w:szCs w:val="20"/>
                <w:color w:val="auto"/>
              </w:rPr>
            </w:pPr>
            <w:r>
              <w:rPr>
                <w:rFonts w:ascii="Arial" w:cs="Arial" w:eastAsia="Arial" w:hAnsi="Arial"/>
                <w:sz w:val="8"/>
                <w:szCs w:val="8"/>
                <w:b w:val="1"/>
                <w:bCs w:val="1"/>
                <w:color w:val="auto"/>
              </w:rPr>
              <w:t>(I.R.S. Employer</w:t>
            </w: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2020" w:type="dxa"/>
            <w:vAlign w:val="bottom"/>
            <w:gridSpan w:val="2"/>
          </w:tcPr>
          <w:p>
            <w:pPr>
              <w:jc w:val="center"/>
              <w:ind w:right="606"/>
              <w:spacing w:after="0"/>
              <w:rPr>
                <w:sz w:val="20"/>
                <w:szCs w:val="20"/>
                <w:color w:val="auto"/>
              </w:rPr>
            </w:pPr>
            <w:r>
              <w:rPr>
                <w:rFonts w:ascii="Arial" w:cs="Arial" w:eastAsia="Arial" w:hAnsi="Arial"/>
                <w:sz w:val="8"/>
                <w:szCs w:val="8"/>
                <w:b w:val="1"/>
                <w:bCs w:val="1"/>
                <w:color w:val="auto"/>
                <w:w w:val="96"/>
              </w:rPr>
              <w:t>incorporation or organization</w:t>
            </w: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60" w:type="dxa"/>
            <w:vAlign w:val="bottom"/>
          </w:tcPr>
          <w:p>
            <w:pPr>
              <w:jc w:val="center"/>
              <w:ind w:right="853"/>
              <w:spacing w:after="0"/>
              <w:rPr>
                <w:sz w:val="20"/>
                <w:szCs w:val="20"/>
                <w:color w:val="auto"/>
              </w:rPr>
            </w:pPr>
            <w:r>
              <w:rPr>
                <w:rFonts w:ascii="Arial" w:cs="Arial" w:eastAsia="Arial" w:hAnsi="Arial"/>
                <w:sz w:val="8"/>
                <w:szCs w:val="8"/>
                <w:b w:val="1"/>
                <w:bCs w:val="1"/>
                <w:color w:val="auto"/>
                <w:w w:val="97"/>
              </w:rPr>
              <w:t>Identification No.)</w:t>
            </w:r>
          </w:p>
        </w:tc>
        <w:tc>
          <w:tcPr>
            <w:tcW w:w="0" w:type="dxa"/>
            <w:vAlign w:val="bottom"/>
          </w:tcPr>
          <w:p>
            <w:pPr>
              <w:spacing w:after="0"/>
              <w:rPr>
                <w:sz w:val="1"/>
                <w:szCs w:val="1"/>
                <w:color w:val="auto"/>
              </w:rPr>
            </w:pPr>
          </w:p>
        </w:tc>
      </w:tr>
      <w:tr>
        <w:trPr>
          <w:trHeight w:val="181"/>
        </w:trPr>
        <w:tc>
          <w:tcPr>
            <w:tcW w:w="2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3535 Harbor Blvd., Suite 100, Costa Mesa, California</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jc w:val="right"/>
              <w:ind w:right="1053"/>
              <w:spacing w:after="0"/>
              <w:rPr>
                <w:sz w:val="20"/>
                <w:szCs w:val="20"/>
                <w:color w:val="auto"/>
              </w:rPr>
            </w:pPr>
            <w:r>
              <w:rPr>
                <w:rFonts w:ascii="Arial" w:cs="Arial" w:eastAsia="Arial" w:hAnsi="Arial"/>
                <w:sz w:val="11"/>
                <w:szCs w:val="11"/>
                <w:b w:val="1"/>
                <w:bCs w:val="1"/>
                <w:color w:val="auto"/>
              </w:rPr>
              <w:t>92626</w:t>
            </w:r>
          </w:p>
        </w:tc>
        <w:tc>
          <w:tcPr>
            <w:tcW w:w="0" w:type="dxa"/>
            <w:vAlign w:val="bottom"/>
          </w:tcPr>
          <w:p>
            <w:pPr>
              <w:spacing w:after="0"/>
              <w:rPr>
                <w:sz w:val="1"/>
                <w:szCs w:val="1"/>
                <w:color w:val="auto"/>
              </w:rPr>
            </w:pPr>
          </w:p>
        </w:tc>
      </w:tr>
      <w:tr>
        <w:trPr>
          <w:trHeight w:val="107"/>
        </w:trPr>
        <w:tc>
          <w:tcPr>
            <w:tcW w:w="2660" w:type="dxa"/>
            <w:vAlign w:val="bottom"/>
            <w:gridSpan w:val="3"/>
          </w:tcPr>
          <w:p>
            <w:pPr>
              <w:jc w:val="center"/>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560" w:type="dxa"/>
            <w:vAlign w:val="bottom"/>
          </w:tcPr>
          <w:p>
            <w:pPr>
              <w:jc w:val="center"/>
              <w:ind w:right="853"/>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00" w:type="dxa"/>
            <w:vAlign w:val="bottom"/>
            <w:gridSpan w:val="2"/>
          </w:tcPr>
          <w:p>
            <w:pPr>
              <w:jc w:val="center"/>
              <w:ind w:left="815"/>
              <w:spacing w:after="0"/>
              <w:rPr>
                <w:sz w:val="20"/>
                <w:szCs w:val="20"/>
                <w:color w:val="auto"/>
              </w:rPr>
            </w:pPr>
            <w:r>
              <w:rPr>
                <w:rFonts w:ascii="Arial" w:cs="Arial" w:eastAsia="Arial" w:hAnsi="Arial"/>
                <w:sz w:val="10"/>
                <w:szCs w:val="10"/>
                <w:b w:val="1"/>
                <w:bCs w:val="1"/>
                <w:color w:val="auto"/>
                <w:w w:val="87"/>
              </w:rPr>
              <w:t>(714) 599-5000</w:t>
            </w:r>
          </w:p>
        </w:tc>
        <w:tc>
          <w:tcPr>
            <w:tcW w:w="1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580" w:type="dxa"/>
            <w:vAlign w:val="bottom"/>
            <w:gridSpan w:val="3"/>
          </w:tcPr>
          <w:p>
            <w:pPr>
              <w:jc w:val="center"/>
              <w:ind w:right="1020"/>
              <w:spacing w:after="0"/>
              <w:rPr>
                <w:sz w:val="20"/>
                <w:szCs w:val="20"/>
                <w:color w:val="auto"/>
              </w:rPr>
            </w:pPr>
            <w:r>
              <w:rPr>
                <w:rFonts w:ascii="Arial" w:cs="Arial" w:eastAsia="Arial" w:hAnsi="Arial"/>
                <w:sz w:val="8"/>
                <w:szCs w:val="8"/>
                <w:b w:val="1"/>
                <w:bCs w:val="1"/>
                <w:color w:val="auto"/>
                <w:w w:val="93"/>
              </w:rPr>
              <w:t>Registrant’s telephone number, including area code</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80" w:type="dxa"/>
            <w:vAlign w:val="bottom"/>
            <w:gridSpan w:val="3"/>
          </w:tcPr>
          <w:p>
            <w:pPr>
              <w:jc w:val="center"/>
              <w:ind w:right="1000"/>
              <w:spacing w:after="0"/>
              <w:rPr>
                <w:sz w:val="20"/>
                <w:szCs w:val="20"/>
                <w:color w:val="auto"/>
              </w:rPr>
            </w:pPr>
            <w:r>
              <w:rPr>
                <w:rFonts w:ascii="Arial" w:cs="Arial" w:eastAsia="Arial" w:hAnsi="Arial"/>
                <w:sz w:val="10"/>
                <w:szCs w:val="10"/>
                <w:b w:val="1"/>
                <w:bCs w:val="1"/>
                <w:color w:val="auto"/>
                <w:w w:val="85"/>
              </w:rPr>
              <w:t>Securities registered pursuant to Section 12(b) of the Act:</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w w:val="89"/>
              </w:rPr>
              <w:t>Title of each class</w:t>
            </w: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540" w:type="dxa"/>
            <w:vAlign w:val="bottom"/>
            <w:gridSpan w:val="2"/>
          </w:tcPr>
          <w:p>
            <w:pPr>
              <w:jc w:val="center"/>
              <w:ind w:right="1880"/>
              <w:spacing w:after="0"/>
              <w:rPr>
                <w:sz w:val="20"/>
                <w:szCs w:val="20"/>
                <w:color w:val="auto"/>
              </w:rPr>
            </w:pPr>
            <w:r>
              <w:rPr>
                <w:rFonts w:ascii="Arial" w:cs="Arial" w:eastAsia="Arial" w:hAnsi="Arial"/>
                <w:sz w:val="8"/>
                <w:szCs w:val="8"/>
                <w:b w:val="1"/>
                <w:bCs w:val="1"/>
                <w:color w:val="auto"/>
                <w:w w:val="93"/>
              </w:rPr>
              <w:t>Trading Symbol(s)</w:t>
            </w:r>
          </w:p>
        </w:tc>
        <w:tc>
          <w:tcPr>
            <w:tcW w:w="1560" w:type="dxa"/>
            <w:vAlign w:val="bottom"/>
          </w:tcPr>
          <w:p>
            <w:pPr>
              <w:jc w:val="center"/>
              <w:spacing w:after="0"/>
              <w:rPr>
                <w:sz w:val="20"/>
                <w:szCs w:val="20"/>
                <w:color w:val="auto"/>
              </w:rPr>
            </w:pPr>
            <w:r>
              <w:rPr>
                <w:rFonts w:ascii="Arial" w:cs="Arial" w:eastAsia="Arial" w:hAnsi="Arial"/>
                <w:sz w:val="8"/>
                <w:szCs w:val="8"/>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vMerge w:val="restart"/>
          </w:tcPr>
          <w:p>
            <w:pPr>
              <w:spacing w:after="0"/>
              <w:rPr>
                <w:sz w:val="20"/>
                <w:szCs w:val="20"/>
                <w:color w:val="auto"/>
              </w:rPr>
            </w:pPr>
            <w:r>
              <w:rPr>
                <w:rFonts w:ascii="Arial" w:cs="Arial" w:eastAsia="Arial" w:hAnsi="Arial"/>
                <w:sz w:val="11"/>
                <w:szCs w:val="11"/>
                <w:b w:val="1"/>
                <w:bCs w:val="1"/>
                <w:color w:val="auto"/>
              </w:rPr>
              <w:t>0.01 per share</w:t>
            </w: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Common Stock, par value $</w:t>
            </w:r>
          </w:p>
        </w:tc>
        <w:tc>
          <w:tcPr>
            <w:tcW w:w="13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540" w:type="dxa"/>
            <w:vAlign w:val="bottom"/>
            <w:gridSpan w:val="2"/>
          </w:tcPr>
          <w:p>
            <w:pPr>
              <w:jc w:val="center"/>
              <w:ind w:right="1900"/>
              <w:spacing w:after="0"/>
              <w:rPr>
                <w:sz w:val="20"/>
                <w:szCs w:val="20"/>
                <w:color w:val="auto"/>
              </w:rPr>
            </w:pPr>
            <w:r>
              <w:rPr>
                <w:rFonts w:ascii="Arial" w:cs="Arial" w:eastAsia="Arial" w:hAnsi="Arial"/>
                <w:sz w:val="11"/>
                <w:szCs w:val="11"/>
                <w:b w:val="1"/>
                <w:bCs w:val="1"/>
                <w:color w:val="auto"/>
              </w:rPr>
              <w:t>LOCO</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2"/>
              </w:rPr>
              <w:t>The Nasdaq Stock Market LLC</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80" w:type="dxa"/>
            <w:vAlign w:val="bottom"/>
            <w:gridSpan w:val="3"/>
          </w:tcPr>
          <w:p>
            <w:pPr>
              <w:jc w:val="center"/>
              <w:ind w:right="1020"/>
              <w:spacing w:after="0"/>
              <w:rPr>
                <w:sz w:val="20"/>
                <w:szCs w:val="20"/>
                <w:color w:val="auto"/>
              </w:rPr>
            </w:pPr>
            <w:r>
              <w:rPr>
                <w:rFonts w:ascii="Arial" w:cs="Arial" w:eastAsia="Arial" w:hAnsi="Arial"/>
                <w:sz w:val="8"/>
                <w:szCs w:val="8"/>
                <w:b w:val="1"/>
                <w:bCs w:val="1"/>
                <w:color w:val="auto"/>
                <w:w w:val="93"/>
              </w:rPr>
              <w:t>Securities registered pursuant to section 12(g) of the Act:</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40" w:type="dxa"/>
            <w:vAlign w:val="bottom"/>
            <w:gridSpan w:val="2"/>
          </w:tcPr>
          <w:p>
            <w:pPr>
              <w:jc w:val="center"/>
              <w:ind w:right="2040"/>
              <w:spacing w:after="0"/>
              <w:rPr>
                <w:sz w:val="20"/>
                <w:szCs w:val="20"/>
                <w:color w:val="auto"/>
              </w:rPr>
            </w:pPr>
            <w:r>
              <w:rPr>
                <w:rFonts w:ascii="Arial" w:cs="Arial" w:eastAsia="Arial" w:hAnsi="Arial"/>
                <w:sz w:val="8"/>
                <w:szCs w:val="8"/>
                <w:b w:val="1"/>
                <w:bCs w:val="1"/>
                <w:color w:val="auto"/>
                <w:w w:val="89"/>
              </w:rPr>
              <w:t>None</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540" w:type="dxa"/>
            <w:vAlign w:val="bottom"/>
            <w:gridSpan w:val="2"/>
          </w:tcPr>
          <w:p>
            <w:pPr>
              <w:jc w:val="center"/>
              <w:ind w:right="2060"/>
              <w:spacing w:after="0"/>
              <w:rPr>
                <w:sz w:val="20"/>
                <w:szCs w:val="20"/>
                <w:color w:val="auto"/>
              </w:rPr>
            </w:pPr>
            <w:r>
              <w:rPr>
                <w:rFonts w:ascii="Arial" w:cs="Arial" w:eastAsia="Arial" w:hAnsi="Arial"/>
                <w:sz w:val="7"/>
                <w:szCs w:val="7"/>
                <w:b w:val="1"/>
                <w:bCs w:val="1"/>
                <w:color w:val="auto"/>
                <w:w w:val="93"/>
              </w:rPr>
              <w:t>(Title of class)</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61595</wp:posOffset>
            </wp:positionV>
            <wp:extent cx="16344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59" w:lineRule="exact"/>
        <w:rPr>
          <w:sz w:val="24"/>
          <w:szCs w:val="24"/>
          <w:color w:val="auto"/>
        </w:rPr>
      </w:pPr>
    </w:p>
    <w:p>
      <w:pPr>
        <w:spacing w:after="0" w:line="92" w:lineRule="exact"/>
        <w:tabs>
          <w:tab w:leader="none" w:pos="4300" w:val="left"/>
        </w:tabs>
        <w:rPr>
          <w:sz w:val="20"/>
          <w:szCs w:val="20"/>
          <w:color w:val="auto"/>
        </w:rPr>
      </w:pPr>
      <w:r>
        <w:rPr>
          <w:rFonts w:ascii="Arial" w:cs="Arial" w:eastAsia="Arial" w:hAnsi="Arial"/>
          <w:sz w:val="8"/>
          <w:szCs w:val="8"/>
          <w:color w:val="auto"/>
        </w:rPr>
        <w:t xml:space="preserve">Indicate by check mark if the registrant is a well-known seasoned issuer, as defined in Rule 405 of the Securities Act.  Yes </w:t>
      </w:r>
      <w:r>
        <w:rPr>
          <w:rFonts w:ascii="MS PGothic" w:cs="MS PGothic" w:eastAsia="MS PGothic" w:hAnsi="MS PGothic"/>
          <w:sz w:val="8"/>
          <w:szCs w:val="8"/>
          <w:color w:val="auto"/>
        </w:rPr>
        <w:t>☐</w:t>
      </w:r>
      <w:r>
        <w:rPr>
          <w:rFonts w:ascii="Arial" w:cs="Arial" w:eastAsia="Arial" w:hAnsi="Arial"/>
          <w:sz w:val="8"/>
          <w:szCs w:val="8"/>
          <w:color w:val="auto"/>
        </w:rPr>
        <w:tab/>
        <w:t xml:space="preserve">No </w:t>
      </w:r>
      <w:r>
        <w:rPr>
          <w:rFonts w:ascii="MS PGothic" w:cs="MS PGothic" w:eastAsia="MS PGothic" w:hAnsi="MS PGothic"/>
          <w:sz w:val="8"/>
          <w:szCs w:val="8"/>
          <w:color w:val="auto"/>
        </w:rPr>
        <w:t>☒</w:t>
      </w:r>
    </w:p>
    <w:p>
      <w:pPr>
        <w:spacing w:after="0" w:line="55" w:lineRule="exact"/>
        <w:rPr>
          <w:sz w:val="24"/>
          <w:szCs w:val="24"/>
          <w:color w:val="auto"/>
        </w:rPr>
      </w:pPr>
    </w:p>
    <w:p>
      <w:pPr>
        <w:spacing w:after="0" w:line="92" w:lineRule="exact"/>
        <w:tabs>
          <w:tab w:leader="none" w:pos="4380" w:val="left"/>
        </w:tabs>
        <w:rPr>
          <w:sz w:val="20"/>
          <w:szCs w:val="20"/>
          <w:color w:val="auto"/>
        </w:rPr>
      </w:pPr>
      <w:r>
        <w:rPr>
          <w:rFonts w:ascii="Arial" w:cs="Arial" w:eastAsia="Arial" w:hAnsi="Arial"/>
          <w:sz w:val="8"/>
          <w:szCs w:val="8"/>
          <w:color w:val="auto"/>
        </w:rPr>
        <w:t xml:space="preserve">Indicate by check mark if the registrant is not required to file reports pursuant to Section 13 or Section 15(d) of the Act.  Yes </w:t>
      </w:r>
      <w:r>
        <w:rPr>
          <w:rFonts w:ascii="MS PGothic" w:cs="MS PGothic" w:eastAsia="MS PGothic" w:hAnsi="MS PGothic"/>
          <w:sz w:val="8"/>
          <w:szCs w:val="8"/>
          <w:color w:val="auto"/>
        </w:rPr>
        <w:t>☐</w:t>
      </w:r>
      <w:r>
        <w:rPr>
          <w:rFonts w:ascii="Arial" w:cs="Arial" w:eastAsia="Arial" w:hAnsi="Arial"/>
          <w:sz w:val="8"/>
          <w:szCs w:val="8"/>
          <w:color w:val="auto"/>
        </w:rPr>
        <w:tab/>
        <w:t xml:space="preserve">No </w:t>
      </w:r>
      <w:r>
        <w:rPr>
          <w:rFonts w:ascii="MS PGothic" w:cs="MS PGothic" w:eastAsia="MS PGothic" w:hAnsi="MS PGothic"/>
          <w:sz w:val="8"/>
          <w:szCs w:val="8"/>
          <w:color w:val="auto"/>
        </w:rPr>
        <w:t>☒</w:t>
      </w:r>
    </w:p>
    <w:p>
      <w:pPr>
        <w:spacing w:after="0" w:line="57" w:lineRule="exact"/>
        <w:rPr>
          <w:sz w:val="24"/>
          <w:szCs w:val="24"/>
          <w:color w:val="auto"/>
        </w:rPr>
      </w:pPr>
    </w:p>
    <w:p>
      <w:pPr>
        <w:ind w:right="60"/>
        <w:spacing w:after="0" w:line="107" w:lineRule="exact"/>
        <w:rPr>
          <w:sz w:val="20"/>
          <w:szCs w:val="20"/>
          <w:color w:val="auto"/>
        </w:rPr>
      </w:pPr>
      <w:r>
        <w:rPr>
          <w:rFonts w:ascii="Arial" w:cs="Arial" w:eastAsia="Arial" w:hAnsi="Arial"/>
          <w:sz w:val="8"/>
          <w:szCs w:val="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1" w:lineRule="exact"/>
        <w:rPr>
          <w:sz w:val="24"/>
          <w:szCs w:val="24"/>
          <w:color w:val="auto"/>
        </w:rPr>
      </w:pPr>
    </w:p>
    <w:p>
      <w:pPr>
        <w:ind w:right="120"/>
        <w:spacing w:after="0" w:line="107" w:lineRule="exact"/>
        <w:rPr>
          <w:sz w:val="20"/>
          <w:szCs w:val="20"/>
          <w:color w:val="auto"/>
        </w:rPr>
      </w:pPr>
      <w:r>
        <w:rPr>
          <w:rFonts w:ascii="Arial" w:cs="Arial" w:eastAsia="Arial" w:hAnsi="Arial"/>
          <w:sz w:val="8"/>
          <w:szCs w:val="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8"/>
          <w:szCs w:val="8"/>
          <w:color w:val="auto"/>
        </w:rPr>
        <w:t>☒</w:t>
      </w:r>
      <w:r>
        <w:rPr>
          <w:rFonts w:ascii="Arial" w:cs="Arial" w:eastAsia="Arial" w:hAnsi="Arial"/>
          <w:sz w:val="8"/>
          <w:szCs w:val="8"/>
          <w:color w:val="auto"/>
        </w:rPr>
        <w:t xml:space="preserve"> No </w:t>
      </w:r>
      <w:r>
        <w:rPr>
          <w:rFonts w:ascii="MS PGothic" w:cs="MS PGothic" w:eastAsia="MS PGothic" w:hAnsi="MS PGothic"/>
          <w:sz w:val="8"/>
          <w:szCs w:val="8"/>
          <w:color w:val="auto"/>
        </w:rPr>
        <w:t>☐</w:t>
      </w:r>
    </w:p>
    <w:p>
      <w:pPr>
        <w:spacing w:after="0" w:line="21" w:lineRule="exact"/>
        <w:rPr>
          <w:sz w:val="24"/>
          <w:szCs w:val="24"/>
          <w:color w:val="auto"/>
        </w:rPr>
      </w:pPr>
    </w:p>
    <w:p>
      <w:pPr>
        <w:ind w:right="160"/>
        <w:spacing w:after="0" w:line="268" w:lineRule="auto"/>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0" w:type="dxa"/>
        <w:tblCellMar>
          <w:top w:w="0" w:type="dxa"/>
          <w:left w:w="0" w:type="dxa"/>
          <w:bottom w:w="0" w:type="dxa"/>
          <w:right w:w="0" w:type="dxa"/>
        </w:tblCellMar>
      </w:tblPr>
      <w:tr>
        <w:trPr>
          <w:trHeight w:val="132"/>
        </w:trPr>
        <w:tc>
          <w:tcPr>
            <w:tcW w:w="1180" w:type="dxa"/>
            <w:vAlign w:val="bottom"/>
          </w:tcPr>
          <w:p>
            <w:pPr>
              <w:spacing w:after="0"/>
              <w:rPr>
                <w:sz w:val="20"/>
                <w:szCs w:val="20"/>
                <w:color w:val="auto"/>
              </w:rPr>
            </w:pPr>
            <w:r>
              <w:rPr>
                <w:rFonts w:ascii="Arial" w:cs="Arial" w:eastAsia="Arial" w:hAnsi="Arial"/>
                <w:sz w:val="8"/>
                <w:szCs w:val="8"/>
                <w:color w:val="auto"/>
              </w:rPr>
              <w:t>Large accelerated filer</w:t>
            </w:r>
          </w:p>
        </w:tc>
        <w:tc>
          <w:tcPr>
            <w:tcW w:w="2560" w:type="dxa"/>
            <w:vAlign w:val="bottom"/>
          </w:tcPr>
          <w:p>
            <w:pPr>
              <w:ind w:left="420"/>
              <w:spacing w:after="0" w:line="81" w:lineRule="exact"/>
              <w:rPr>
                <w:sz w:val="20"/>
                <w:szCs w:val="20"/>
                <w:color w:val="auto"/>
              </w:rPr>
            </w:pPr>
            <w:r>
              <w:rPr>
                <w:rFonts w:ascii="MS PGothic" w:cs="MS PGothic" w:eastAsia="MS PGothic" w:hAnsi="MS PGothic"/>
                <w:sz w:val="8"/>
                <w:szCs w:val="8"/>
                <w:color w:val="auto"/>
              </w:rPr>
              <w:t>☐</w:t>
            </w:r>
          </w:p>
        </w:tc>
        <w:tc>
          <w:tcPr>
            <w:tcW w:w="3620" w:type="dxa"/>
            <w:vAlign w:val="bottom"/>
          </w:tcPr>
          <w:p>
            <w:pPr>
              <w:ind w:left="2080"/>
              <w:spacing w:after="0"/>
              <w:rPr>
                <w:sz w:val="20"/>
                <w:szCs w:val="20"/>
                <w:color w:val="auto"/>
              </w:rPr>
            </w:pPr>
            <w:r>
              <w:rPr>
                <w:rFonts w:ascii="Arial" w:cs="Arial" w:eastAsia="Arial" w:hAnsi="Arial"/>
                <w:sz w:val="8"/>
                <w:szCs w:val="8"/>
                <w:color w:val="auto"/>
              </w:rPr>
              <w:t>Accelerated filer</w:t>
            </w:r>
          </w:p>
        </w:tc>
        <w:tc>
          <w:tcPr>
            <w:tcW w:w="700" w:type="dxa"/>
            <w:vAlign w:val="bottom"/>
          </w:tcPr>
          <w:p>
            <w:pPr>
              <w:ind w:left="620"/>
              <w:spacing w:after="0" w:line="81" w:lineRule="exact"/>
              <w:rPr>
                <w:sz w:val="20"/>
                <w:szCs w:val="20"/>
                <w:color w:val="auto"/>
              </w:rPr>
            </w:pPr>
            <w:r>
              <w:rPr>
                <w:rFonts w:ascii="MS PGothic" w:cs="MS PGothic" w:eastAsia="MS PGothic" w:hAnsi="MS PGothic"/>
                <w:sz w:val="8"/>
                <w:szCs w:val="8"/>
                <w:color w:val="auto"/>
                <w:w w:val="74"/>
              </w:rPr>
              <w:t>☒</w:t>
            </w:r>
          </w:p>
        </w:tc>
      </w:tr>
      <w:tr>
        <w:trPr>
          <w:trHeight w:val="144"/>
        </w:trPr>
        <w:tc>
          <w:tcPr>
            <w:tcW w:w="1180" w:type="dxa"/>
            <w:vAlign w:val="bottom"/>
          </w:tcPr>
          <w:p>
            <w:pPr>
              <w:spacing w:after="0"/>
              <w:rPr>
                <w:sz w:val="20"/>
                <w:szCs w:val="20"/>
                <w:color w:val="auto"/>
              </w:rPr>
            </w:pPr>
            <w:r>
              <w:rPr>
                <w:rFonts w:ascii="Arial" w:cs="Arial" w:eastAsia="Arial" w:hAnsi="Arial"/>
                <w:sz w:val="8"/>
                <w:szCs w:val="8"/>
                <w:color w:val="auto"/>
              </w:rPr>
              <w:t>Non-accelerated filer</w:t>
            </w:r>
          </w:p>
        </w:tc>
        <w:tc>
          <w:tcPr>
            <w:tcW w:w="2560" w:type="dxa"/>
            <w:vAlign w:val="bottom"/>
          </w:tcPr>
          <w:p>
            <w:pPr>
              <w:ind w:left="420"/>
              <w:spacing w:after="0" w:line="81" w:lineRule="exact"/>
              <w:rPr>
                <w:sz w:val="20"/>
                <w:szCs w:val="20"/>
                <w:color w:val="auto"/>
              </w:rPr>
            </w:pPr>
            <w:r>
              <w:rPr>
                <w:rFonts w:ascii="MS PGothic" w:cs="MS PGothic" w:eastAsia="MS PGothic" w:hAnsi="MS PGothic"/>
                <w:sz w:val="8"/>
                <w:szCs w:val="8"/>
                <w:color w:val="auto"/>
              </w:rPr>
              <w:t>☐</w:t>
            </w:r>
          </w:p>
        </w:tc>
        <w:tc>
          <w:tcPr>
            <w:tcW w:w="3620" w:type="dxa"/>
            <w:vAlign w:val="bottom"/>
          </w:tcPr>
          <w:p>
            <w:pPr>
              <w:ind w:left="2080"/>
              <w:spacing w:after="0"/>
              <w:rPr>
                <w:sz w:val="20"/>
                <w:szCs w:val="20"/>
                <w:color w:val="auto"/>
              </w:rPr>
            </w:pPr>
            <w:r>
              <w:rPr>
                <w:rFonts w:ascii="Arial" w:cs="Arial" w:eastAsia="Arial" w:hAnsi="Arial"/>
                <w:sz w:val="8"/>
                <w:szCs w:val="8"/>
                <w:color w:val="auto"/>
              </w:rPr>
              <w:t>Smaller reporting company</w:t>
            </w:r>
          </w:p>
        </w:tc>
        <w:tc>
          <w:tcPr>
            <w:tcW w:w="700" w:type="dxa"/>
            <w:vAlign w:val="bottom"/>
          </w:tcPr>
          <w:p>
            <w:pPr>
              <w:ind w:left="620"/>
              <w:spacing w:after="0" w:line="81" w:lineRule="exact"/>
              <w:rPr>
                <w:sz w:val="20"/>
                <w:szCs w:val="20"/>
                <w:color w:val="auto"/>
              </w:rPr>
            </w:pPr>
            <w:r>
              <w:rPr>
                <w:rFonts w:ascii="MS PGothic" w:cs="MS PGothic" w:eastAsia="MS PGothic" w:hAnsi="MS PGothic"/>
                <w:sz w:val="8"/>
                <w:szCs w:val="8"/>
                <w:color w:val="auto"/>
                <w:w w:val="74"/>
              </w:rPr>
              <w:t>☒</w:t>
            </w:r>
          </w:p>
        </w:tc>
      </w:tr>
      <w:tr>
        <w:trPr>
          <w:trHeight w:val="144"/>
        </w:trPr>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620" w:type="dxa"/>
            <w:vAlign w:val="bottom"/>
          </w:tcPr>
          <w:p>
            <w:pPr>
              <w:ind w:left="2080"/>
              <w:spacing w:after="0"/>
              <w:rPr>
                <w:sz w:val="20"/>
                <w:szCs w:val="20"/>
                <w:color w:val="auto"/>
              </w:rPr>
            </w:pPr>
            <w:r>
              <w:rPr>
                <w:rFonts w:ascii="Arial" w:cs="Arial" w:eastAsia="Arial" w:hAnsi="Arial"/>
                <w:sz w:val="8"/>
                <w:szCs w:val="8"/>
                <w:color w:val="auto"/>
              </w:rPr>
              <w:t>Emerging growth company</w:t>
            </w:r>
          </w:p>
        </w:tc>
        <w:tc>
          <w:tcPr>
            <w:tcW w:w="700" w:type="dxa"/>
            <w:vAlign w:val="bottom"/>
          </w:tcPr>
          <w:p>
            <w:pPr>
              <w:ind w:left="62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2" w:lineRule="exact"/>
        <w:rPr>
          <w:sz w:val="24"/>
          <w:szCs w:val="24"/>
          <w:color w:val="auto"/>
        </w:rPr>
      </w:pPr>
    </w:p>
    <w:p>
      <w:pPr>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pacing w:after="0" w:line="21" w:lineRule="exact"/>
        <w:rPr>
          <w:sz w:val="24"/>
          <w:szCs w:val="24"/>
          <w:color w:val="auto"/>
        </w:rPr>
      </w:pPr>
    </w:p>
    <w:p>
      <w:pPr>
        <w:spacing w:after="0" w:line="98" w:lineRule="exact"/>
        <w:rPr>
          <w:sz w:val="20"/>
          <w:szCs w:val="20"/>
          <w:color w:val="auto"/>
        </w:rPr>
      </w:pPr>
      <w:r>
        <w:rPr>
          <w:rFonts w:ascii="Arial" w:cs="Arial" w:eastAsia="Arial" w:hAnsi="Arial"/>
          <w:sz w:val="8"/>
          <w:szCs w:val="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8"/>
          <w:szCs w:val="8"/>
          <w:color w:val="auto"/>
        </w:rPr>
        <w:t>☒</w:t>
      </w:r>
    </w:p>
    <w:p>
      <w:pPr>
        <w:spacing w:after="0" w:line="92" w:lineRule="exact"/>
        <w:tabs>
          <w:tab w:leader="none" w:pos="3820" w:val="left"/>
        </w:tabs>
        <w:rPr>
          <w:sz w:val="20"/>
          <w:szCs w:val="20"/>
          <w:color w:val="auto"/>
        </w:rPr>
      </w:pPr>
      <w:r>
        <w:rPr>
          <w:rFonts w:ascii="Arial" w:cs="Arial" w:eastAsia="Arial" w:hAnsi="Arial"/>
          <w:sz w:val="8"/>
          <w:szCs w:val="8"/>
          <w:color w:val="auto"/>
        </w:rPr>
        <w:t xml:space="preserve">Indicate by check mark whether the registrant is a shell company (as defined in Rule 12b-2 of the Act).  Yes </w:t>
      </w:r>
      <w:r>
        <w:rPr>
          <w:rFonts w:ascii="MS PGothic" w:cs="MS PGothic" w:eastAsia="MS PGothic" w:hAnsi="MS PGothic"/>
          <w:sz w:val="8"/>
          <w:szCs w:val="8"/>
          <w:color w:val="auto"/>
        </w:rPr>
        <w:t>☐</w:t>
      </w:r>
      <w:r>
        <w:rPr>
          <w:rFonts w:ascii="Arial" w:cs="Arial" w:eastAsia="Arial" w:hAnsi="Arial"/>
          <w:sz w:val="8"/>
          <w:szCs w:val="8"/>
          <w:color w:val="auto"/>
        </w:rPr>
        <w:tab/>
        <w:t xml:space="preserve">No </w:t>
      </w:r>
      <w:r>
        <w:rPr>
          <w:rFonts w:ascii="MS PGothic" w:cs="MS PGothic" w:eastAsia="MS PGothic" w:hAnsi="MS PGothic"/>
          <w:sz w:val="8"/>
          <w:szCs w:val="8"/>
          <w:color w:val="auto"/>
        </w:rPr>
        <w:t>☒</w:t>
      </w:r>
    </w:p>
    <w:p>
      <w:pPr>
        <w:spacing w:after="0" w:line="40" w:lineRule="exact"/>
        <w:rPr>
          <w:sz w:val="24"/>
          <w:szCs w:val="24"/>
          <w:color w:val="auto"/>
        </w:rPr>
      </w:pPr>
    </w:p>
    <w:p>
      <w:pPr>
        <w:ind w:right="140"/>
        <w:spacing w:after="0" w:line="268" w:lineRule="auto"/>
        <w:rPr>
          <w:sz w:val="20"/>
          <w:szCs w:val="20"/>
          <w:color w:val="auto"/>
        </w:rPr>
      </w:pPr>
      <w:r>
        <w:rPr>
          <w:rFonts w:ascii="Arial" w:cs="Arial" w:eastAsia="Arial" w:hAnsi="Arial"/>
          <w:sz w:val="8"/>
          <w:szCs w:val="8"/>
          <w:color w:val="auto"/>
        </w:rPr>
        <w:t>As of June 24, 2020, the last business day of the registrant’s most recently completed second fiscal quarter, the aggregate market value of the registrant’s common equity held by non-affiliates was approximately $269 million, deeming purely for purposes of this calculation all directors and executive officers and Trimaran Pollo Partners, L.L.C. to be affiliates. The determination of affiliate status is not necessarily a conclusive determination for any other purpose.</w:t>
      </w:r>
    </w:p>
    <w:p>
      <w:pPr>
        <w:spacing w:after="0" w:line="20" w:lineRule="exact"/>
        <w:rPr>
          <w:sz w:val="24"/>
          <w:szCs w:val="24"/>
          <w:color w:val="auto"/>
        </w:rPr>
      </w:pPr>
    </w:p>
    <w:p>
      <w:pPr>
        <w:spacing w:after="0"/>
        <w:rPr>
          <w:sz w:val="20"/>
          <w:szCs w:val="20"/>
          <w:color w:val="auto"/>
        </w:rPr>
      </w:pPr>
      <w:r>
        <w:rPr>
          <w:rFonts w:ascii="Arial" w:cs="Arial" w:eastAsia="Arial" w:hAnsi="Arial"/>
          <w:sz w:val="8"/>
          <w:szCs w:val="8"/>
          <w:color w:val="auto"/>
        </w:rPr>
        <w:t>As of March 5, 2021, there were 36,460,083 shares of the registrant’s common stock outstanding.</w:t>
      </w:r>
    </w:p>
    <w:p>
      <w:pPr>
        <w:spacing w:after="0" w:line="41" w:lineRule="exact"/>
        <w:rPr>
          <w:sz w:val="24"/>
          <w:szCs w:val="24"/>
          <w:color w:val="auto"/>
        </w:rPr>
      </w:pPr>
    </w:p>
    <w:p>
      <w:pPr>
        <w:ind w:left="4180"/>
        <w:spacing w:after="0"/>
        <w:rPr>
          <w:sz w:val="20"/>
          <w:szCs w:val="20"/>
          <w:color w:val="auto"/>
        </w:rPr>
      </w:pPr>
      <w:r>
        <w:rPr>
          <w:rFonts w:ascii="Arial" w:cs="Arial" w:eastAsia="Arial" w:hAnsi="Arial"/>
          <w:sz w:val="8"/>
          <w:szCs w:val="8"/>
          <w:b w:val="1"/>
          <w:bCs w:val="1"/>
          <w:color w:val="auto"/>
        </w:rPr>
        <w:t>DOCUMENTS INCORPORATED BY REFERENCE</w:t>
      </w:r>
    </w:p>
    <w:p>
      <w:pPr>
        <w:spacing w:after="0" w:line="45" w:lineRule="exact"/>
        <w:rPr>
          <w:sz w:val="24"/>
          <w:szCs w:val="24"/>
          <w:color w:val="auto"/>
        </w:rPr>
      </w:pPr>
    </w:p>
    <w:p>
      <w:pPr>
        <w:spacing w:after="0"/>
        <w:rPr>
          <w:sz w:val="20"/>
          <w:szCs w:val="20"/>
          <w:color w:val="auto"/>
        </w:rPr>
      </w:pPr>
      <w:r>
        <w:rPr>
          <w:rFonts w:ascii="Arial" w:cs="Arial" w:eastAsia="Arial" w:hAnsi="Arial"/>
          <w:sz w:val="8"/>
          <w:szCs w:val="8"/>
          <w:color w:val="auto"/>
        </w:rPr>
        <w:t>Part III hereof incorporates by reference certain portions of the registrant’s definitive proxy statement for its 2021 annual meeting of stockholders to be filed not later than 120 days after the end of the registrant’s 2020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65379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6537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65379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200"/>
          </w:cols>
          <w:pgMar w:left="800" w:top="491" w:right="89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53"/>
        </w:trPr>
        <w:tc>
          <w:tcPr>
            <w:tcW w:w="7280" w:type="dxa"/>
            <w:vAlign w:val="bottom"/>
          </w:tcPr>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1680" w:type="dxa"/>
            <w:vAlign w:val="bottom"/>
          </w:tcPr>
          <w:p>
            <w:pPr>
              <w:spacing w:after="0"/>
              <w:rPr>
                <w:sz w:val="13"/>
                <w:szCs w:val="13"/>
                <w:color w:val="auto"/>
              </w:rPr>
            </w:pPr>
          </w:p>
        </w:tc>
      </w:tr>
      <w:tr>
        <w:trPr>
          <w:trHeight w:val="855"/>
        </w:trPr>
        <w:tc>
          <w:tcPr>
            <w:tcW w:w="7280" w:type="dxa"/>
            <w:vAlign w:val="bottom"/>
          </w:tcPr>
          <w:p>
            <w:pPr>
              <w:ind w:left="3840"/>
              <w:spacing w:after="0"/>
              <w:rPr>
                <w:sz w:val="20"/>
                <w:szCs w:val="20"/>
                <w:color w:val="auto"/>
              </w:rPr>
            </w:pPr>
            <w:r>
              <w:rPr>
                <w:rFonts w:ascii="Arial" w:cs="Arial" w:eastAsia="Arial" w:hAnsi="Arial"/>
                <w:sz w:val="12"/>
                <w:szCs w:val="12"/>
                <w:b w:val="1"/>
                <w:bCs w:val="1"/>
                <w:color w:val="auto"/>
              </w:rPr>
              <w:t>TABLE OF CONTENTS</w:t>
            </w:r>
          </w:p>
        </w:tc>
        <w:tc>
          <w:tcPr>
            <w:tcW w:w="1680" w:type="dxa"/>
            <w:vAlign w:val="bottom"/>
          </w:tcPr>
          <w:p>
            <w:pPr>
              <w:spacing w:after="0"/>
              <w:rPr>
                <w:sz w:val="24"/>
                <w:szCs w:val="24"/>
                <w:color w:val="auto"/>
              </w:rPr>
            </w:pPr>
          </w:p>
        </w:tc>
      </w:tr>
      <w:tr>
        <w:trPr>
          <w:trHeight w:val="288"/>
        </w:trPr>
        <w:tc>
          <w:tcPr>
            <w:tcW w:w="7280" w:type="dxa"/>
            <w:vAlign w:val="bottom"/>
          </w:tcPr>
          <w:p>
            <w:pPr>
              <w:jc w:val="center"/>
              <w:ind w:left="940"/>
              <w:spacing w:after="0"/>
              <w:rPr>
                <w:rFonts w:ascii="Arial" w:cs="Arial" w:eastAsia="Arial" w:hAnsi="Arial"/>
                <w:sz w:val="12"/>
                <w:szCs w:val="12"/>
                <w:u w:val="single" w:color="auto"/>
                <w:color w:val="0000EE"/>
                <w:w w:val="92"/>
              </w:rPr>
            </w:pPr>
            <w:hyperlink w:anchor="page4">
              <w:r>
                <w:rPr>
                  <w:rFonts w:ascii="Arial" w:cs="Arial" w:eastAsia="Arial" w:hAnsi="Arial"/>
                  <w:sz w:val="12"/>
                  <w:szCs w:val="12"/>
                  <w:u w:val="single" w:color="auto"/>
                  <w:color w:val="0000EE"/>
                  <w:w w:val="92"/>
                </w:rPr>
                <w:t>PART I</w:t>
              </w:r>
            </w:hyperlink>
          </w:p>
        </w:tc>
        <w:tc>
          <w:tcPr>
            <w:tcW w:w="1680" w:type="dxa"/>
            <w:vAlign w:val="bottom"/>
          </w:tcPr>
          <w:p>
            <w:pPr>
              <w:spacing w:after="0"/>
              <w:rPr>
                <w:sz w:val="24"/>
                <w:szCs w:val="24"/>
                <w:color w:val="auto"/>
              </w:rPr>
            </w:pPr>
          </w:p>
        </w:tc>
      </w:tr>
      <w:tr>
        <w:trPr>
          <w:trHeight w:val="189"/>
        </w:trPr>
        <w:tc>
          <w:tcPr>
            <w:tcW w:w="7280" w:type="dxa"/>
            <w:vAlign w:val="bottom"/>
          </w:tcPr>
          <w:p>
            <w:pPr>
              <w:ind w:left="4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Item 1. Business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5">
              <w:r>
                <w:rPr>
                  <w:rFonts w:ascii="Arial" w:cs="Arial" w:eastAsia="Arial" w:hAnsi="Arial"/>
                  <w:sz w:val="12"/>
                  <w:szCs w:val="12"/>
                  <w:u w:val="single" w:color="auto"/>
                  <w:color w:val="0000EE"/>
                </w:rPr>
                <w:t>Item 1A. Risk Factors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29">
              <w:r>
                <w:rPr>
                  <w:rFonts w:ascii="Arial" w:cs="Arial" w:eastAsia="Arial" w:hAnsi="Arial"/>
                  <w:sz w:val="12"/>
                  <w:szCs w:val="12"/>
                  <w:u w:val="single" w:color="auto"/>
                  <w:color w:val="0000EE"/>
                </w:rPr>
                <w:t>Item 1B. Unresolved Staff Comments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30">
              <w:r>
                <w:rPr>
                  <w:rFonts w:ascii="Arial" w:cs="Arial" w:eastAsia="Arial" w:hAnsi="Arial"/>
                  <w:sz w:val="12"/>
                  <w:szCs w:val="12"/>
                  <w:u w:val="single" w:color="auto"/>
                  <w:color w:val="0000EE"/>
                </w:rPr>
                <w:t>Item 2. Properties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30">
              <w:r>
                <w:rPr>
                  <w:rFonts w:ascii="Arial" w:cs="Arial" w:eastAsia="Arial" w:hAnsi="Arial"/>
                  <w:sz w:val="12"/>
                  <w:szCs w:val="12"/>
                  <w:u w:val="single" w:color="auto"/>
                  <w:color w:val="0000EE"/>
                </w:rPr>
                <w:t>Item 3. Legal Proceedings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80"/>
        </w:trPr>
        <w:tc>
          <w:tcPr>
            <w:tcW w:w="7280" w:type="dxa"/>
            <w:vAlign w:val="bottom"/>
          </w:tcPr>
          <w:p>
            <w:pPr>
              <w:ind w:left="40"/>
              <w:spacing w:after="0"/>
              <w:rPr>
                <w:rFonts w:ascii="Arial" w:cs="Arial" w:eastAsia="Arial" w:hAnsi="Arial"/>
                <w:sz w:val="12"/>
                <w:szCs w:val="12"/>
                <w:u w:val="single" w:color="auto"/>
                <w:color w:val="0000EE"/>
              </w:rPr>
            </w:pPr>
            <w:hyperlink w:anchor="page30">
              <w:r>
                <w:rPr>
                  <w:rFonts w:ascii="Arial" w:cs="Arial" w:eastAsia="Arial" w:hAnsi="Arial"/>
                  <w:sz w:val="12"/>
                  <w:szCs w:val="12"/>
                  <w:u w:val="single" w:color="auto"/>
                  <w:color w:val="0000EE"/>
                </w:rPr>
                <w:t>Item 4. Mine Safety Disclosures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315"/>
        </w:trPr>
        <w:tc>
          <w:tcPr>
            <w:tcW w:w="7280" w:type="dxa"/>
            <w:vAlign w:val="bottom"/>
          </w:tcPr>
          <w:p>
            <w:pPr>
              <w:jc w:val="center"/>
              <w:ind w:left="940"/>
              <w:spacing w:after="0"/>
              <w:rPr>
                <w:rFonts w:ascii="Arial" w:cs="Arial" w:eastAsia="Arial" w:hAnsi="Arial"/>
                <w:sz w:val="12"/>
                <w:szCs w:val="12"/>
                <w:u w:val="single" w:color="auto"/>
                <w:color w:val="0000EE"/>
                <w:w w:val="95"/>
              </w:rPr>
            </w:pPr>
            <w:hyperlink w:anchor="page31">
              <w:r>
                <w:rPr>
                  <w:rFonts w:ascii="Arial" w:cs="Arial" w:eastAsia="Arial" w:hAnsi="Arial"/>
                  <w:sz w:val="12"/>
                  <w:szCs w:val="12"/>
                  <w:u w:val="single" w:color="auto"/>
                  <w:color w:val="0000EE"/>
                  <w:w w:val="95"/>
                </w:rPr>
                <w:t>PART II</w:t>
              </w:r>
            </w:hyperlink>
          </w:p>
        </w:tc>
        <w:tc>
          <w:tcPr>
            <w:tcW w:w="1680" w:type="dxa"/>
            <w:vAlign w:val="bottom"/>
          </w:tcPr>
          <w:p>
            <w:pPr>
              <w:spacing w:after="0"/>
              <w:rPr>
                <w:sz w:val="24"/>
                <w:szCs w:val="24"/>
                <w:color w:val="auto"/>
              </w:rPr>
            </w:pP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31">
              <w:r>
                <w:rPr>
                  <w:rFonts w:ascii="Arial" w:cs="Arial" w:eastAsia="Arial" w:hAnsi="Arial"/>
                  <w:sz w:val="12"/>
                  <w:szCs w:val="12"/>
                  <w:u w:val="single" w:color="auto"/>
                  <w:color w:val="0000EE"/>
                </w:rPr>
                <w:t>Item 5. Market for Registrant’s Common Equity, Related Stockholder Matters and Issuer Purchases of Equity Securities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89"/>
        </w:trPr>
        <w:tc>
          <w:tcPr>
            <w:tcW w:w="7280" w:type="dxa"/>
            <w:vAlign w:val="bottom"/>
          </w:tcPr>
          <w:p>
            <w:pPr>
              <w:ind w:left="40"/>
              <w:spacing w:after="0"/>
              <w:rPr>
                <w:rFonts w:ascii="Arial" w:cs="Arial" w:eastAsia="Arial" w:hAnsi="Arial"/>
                <w:sz w:val="12"/>
                <w:szCs w:val="12"/>
                <w:u w:val="single" w:color="auto"/>
                <w:color w:val="0000EE"/>
              </w:rPr>
            </w:pPr>
            <w:hyperlink w:anchor="page32">
              <w:r>
                <w:rPr>
                  <w:rFonts w:ascii="Arial" w:cs="Arial" w:eastAsia="Arial" w:hAnsi="Arial"/>
                  <w:sz w:val="12"/>
                  <w:szCs w:val="12"/>
                  <w:u w:val="single" w:color="auto"/>
                  <w:color w:val="0000EE"/>
                </w:rPr>
                <w:t>Item 6. Selected Financial Data</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32">
              <w:r>
                <w:rPr>
                  <w:rFonts w:ascii="Arial" w:cs="Arial" w:eastAsia="Arial" w:hAnsi="Arial"/>
                  <w:sz w:val="12"/>
                  <w:szCs w:val="12"/>
                  <w:u w:val="single" w:color="auto"/>
                  <w:color w:val="0000EE"/>
                </w:rPr>
                <w:t>Item 7. Management’s Discussion and Analysis of Financial Condition and Results of Operations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Item 7A. Quantitative and Qualitative Disclosures About Market Risk</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Item 8. Financial Statements and Supplementary Data</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Item 9. Changes in and Disagreements with Accountants on Accounting and Financial Disclosure</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Item 9A. Controls and Procedures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80"/>
        </w:trPr>
        <w:tc>
          <w:tcPr>
            <w:tcW w:w="7280" w:type="dxa"/>
            <w:vAlign w:val="bottom"/>
          </w:tcPr>
          <w:p>
            <w:pPr>
              <w:ind w:left="40"/>
              <w:spacing w:after="0"/>
              <w:rPr>
                <w:rFonts w:ascii="Arial" w:cs="Arial" w:eastAsia="Arial" w:hAnsi="Arial"/>
                <w:sz w:val="12"/>
                <w:szCs w:val="12"/>
                <w:u w:val="single" w:color="auto"/>
                <w:color w:val="0000EE"/>
              </w:rPr>
            </w:pPr>
            <w:hyperlink w:anchor="page107">
              <w:r>
                <w:rPr>
                  <w:rFonts w:ascii="Arial" w:cs="Arial" w:eastAsia="Arial" w:hAnsi="Arial"/>
                  <w:sz w:val="12"/>
                  <w:szCs w:val="12"/>
                  <w:u w:val="single" w:color="auto"/>
                  <w:color w:val="0000EE"/>
                </w:rPr>
                <w:t>Item 9B. Other Information</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105</w:t>
            </w:r>
          </w:p>
        </w:tc>
      </w:tr>
      <w:tr>
        <w:trPr>
          <w:trHeight w:val="315"/>
        </w:trPr>
        <w:tc>
          <w:tcPr>
            <w:tcW w:w="7280" w:type="dxa"/>
            <w:vAlign w:val="bottom"/>
          </w:tcPr>
          <w:p>
            <w:pPr>
              <w:jc w:val="center"/>
              <w:ind w:left="940"/>
              <w:spacing w:after="0"/>
              <w:rPr>
                <w:rFonts w:ascii="Arial" w:cs="Arial" w:eastAsia="Arial" w:hAnsi="Arial"/>
                <w:sz w:val="12"/>
                <w:szCs w:val="12"/>
                <w:u w:val="single" w:color="auto"/>
                <w:color w:val="0000EE"/>
                <w:w w:val="96"/>
              </w:rPr>
            </w:pPr>
            <w:hyperlink w:anchor="page108">
              <w:r>
                <w:rPr>
                  <w:rFonts w:ascii="Arial" w:cs="Arial" w:eastAsia="Arial" w:hAnsi="Arial"/>
                  <w:sz w:val="12"/>
                  <w:szCs w:val="12"/>
                  <w:u w:val="single" w:color="auto"/>
                  <w:color w:val="0000EE"/>
                  <w:w w:val="96"/>
                </w:rPr>
                <w:t>PART III</w:t>
              </w:r>
            </w:hyperlink>
          </w:p>
        </w:tc>
        <w:tc>
          <w:tcPr>
            <w:tcW w:w="1680" w:type="dxa"/>
            <w:vAlign w:val="bottom"/>
          </w:tcPr>
          <w:p>
            <w:pPr>
              <w:spacing w:after="0"/>
              <w:rPr>
                <w:sz w:val="24"/>
                <w:szCs w:val="24"/>
                <w:color w:val="auto"/>
              </w:rPr>
            </w:pPr>
          </w:p>
        </w:tc>
      </w:tr>
      <w:tr>
        <w:trPr>
          <w:trHeight w:val="189"/>
        </w:trPr>
        <w:tc>
          <w:tcPr>
            <w:tcW w:w="7280" w:type="dxa"/>
            <w:vAlign w:val="bottom"/>
          </w:tcPr>
          <w:p>
            <w:pPr>
              <w:ind w:left="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Item 10. Directors, Executive Officers and Corporate Governance</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Item 11. Executive Compensation</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Item 12. Security Ownership of Certain Beneficial Owners and Management and Related Stockholder Matters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Item 13. Certain Relationships and Related Transactions, and Director Independence</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180"/>
        </w:trPr>
        <w:tc>
          <w:tcPr>
            <w:tcW w:w="7280" w:type="dxa"/>
            <w:vAlign w:val="bottom"/>
          </w:tcPr>
          <w:p>
            <w:pPr>
              <w:ind w:left="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Item 14. Principal Accounting Fees and Services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315"/>
        </w:trPr>
        <w:tc>
          <w:tcPr>
            <w:tcW w:w="7280" w:type="dxa"/>
            <w:vAlign w:val="bottom"/>
          </w:tcPr>
          <w:p>
            <w:pPr>
              <w:jc w:val="center"/>
              <w:ind w:left="940"/>
              <w:spacing w:after="0"/>
              <w:rPr>
                <w:rFonts w:ascii="Arial" w:cs="Arial" w:eastAsia="Arial" w:hAnsi="Arial"/>
                <w:sz w:val="12"/>
                <w:szCs w:val="12"/>
                <w:u w:val="single" w:color="auto"/>
                <w:color w:val="0000EE"/>
                <w:w w:val="94"/>
              </w:rPr>
            </w:pPr>
            <w:hyperlink w:anchor="page109">
              <w:r>
                <w:rPr>
                  <w:rFonts w:ascii="Arial" w:cs="Arial" w:eastAsia="Arial" w:hAnsi="Arial"/>
                  <w:sz w:val="12"/>
                  <w:szCs w:val="12"/>
                  <w:u w:val="single" w:color="auto"/>
                  <w:color w:val="0000EE"/>
                  <w:w w:val="94"/>
                </w:rPr>
                <w:t>PART IV</w:t>
              </w:r>
            </w:hyperlink>
          </w:p>
        </w:tc>
        <w:tc>
          <w:tcPr>
            <w:tcW w:w="1680" w:type="dxa"/>
            <w:vAlign w:val="bottom"/>
          </w:tcPr>
          <w:p>
            <w:pPr>
              <w:spacing w:after="0"/>
              <w:rPr>
                <w:sz w:val="24"/>
                <w:szCs w:val="24"/>
                <w:color w:val="auto"/>
              </w:rPr>
            </w:pPr>
          </w:p>
        </w:tc>
      </w:tr>
      <w:tr>
        <w:trPr>
          <w:trHeight w:val="189"/>
        </w:trPr>
        <w:tc>
          <w:tcPr>
            <w:tcW w:w="7280" w:type="dxa"/>
            <w:vAlign w:val="bottom"/>
          </w:tcPr>
          <w:p>
            <w:pPr>
              <w:ind w:left="40"/>
              <w:spacing w:after="0"/>
              <w:rPr>
                <w:rFonts w:ascii="Arial" w:cs="Arial" w:eastAsia="Arial" w:hAnsi="Arial"/>
                <w:sz w:val="12"/>
                <w:szCs w:val="12"/>
                <w:u w:val="single" w:color="auto"/>
                <w:color w:val="0000EE"/>
              </w:rPr>
            </w:pPr>
            <w:hyperlink w:anchor="page109">
              <w:r>
                <w:rPr>
                  <w:rFonts w:ascii="Arial" w:cs="Arial" w:eastAsia="Arial" w:hAnsi="Arial"/>
                  <w:sz w:val="12"/>
                  <w:szCs w:val="12"/>
                  <w:u w:val="single" w:color="auto"/>
                  <w:color w:val="0000EE"/>
                </w:rPr>
                <w:t>Item 15. Exhibits, Financial Statement Schedules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71"/>
        </w:trPr>
        <w:tc>
          <w:tcPr>
            <w:tcW w:w="7280" w:type="dxa"/>
            <w:vAlign w:val="bottom"/>
          </w:tcPr>
          <w:p>
            <w:pPr>
              <w:ind w:left="40"/>
              <w:spacing w:after="0"/>
              <w:rPr>
                <w:rFonts w:ascii="Arial" w:cs="Arial" w:eastAsia="Arial" w:hAnsi="Arial"/>
                <w:sz w:val="12"/>
                <w:szCs w:val="12"/>
                <w:u w:val="single" w:color="auto"/>
                <w:color w:val="0000EE"/>
              </w:rPr>
            </w:pPr>
            <w:hyperlink w:anchor="page113">
              <w:r>
                <w:rPr>
                  <w:rFonts w:ascii="Arial" w:cs="Arial" w:eastAsia="Arial" w:hAnsi="Arial"/>
                  <w:sz w:val="12"/>
                  <w:szCs w:val="12"/>
                  <w:u w:val="single" w:color="auto"/>
                  <w:color w:val="0000EE"/>
                </w:rPr>
                <w:t>Item 16. Form 10-K Summary</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80"/>
        </w:trPr>
        <w:tc>
          <w:tcPr>
            <w:tcW w:w="7280" w:type="dxa"/>
            <w:vAlign w:val="bottom"/>
          </w:tcPr>
          <w:p>
            <w:pPr>
              <w:ind w:left="40"/>
              <w:spacing w:after="0"/>
              <w:rPr>
                <w:rFonts w:ascii="Arial" w:cs="Arial" w:eastAsia="Arial" w:hAnsi="Arial"/>
                <w:sz w:val="12"/>
                <w:szCs w:val="12"/>
                <w:u w:val="single" w:color="auto"/>
                <w:color w:val="0000EE"/>
              </w:rPr>
            </w:pPr>
            <w:hyperlink w:anchor="page114">
              <w:r>
                <w:rPr>
                  <w:rFonts w:ascii="Arial" w:cs="Arial" w:eastAsia="Arial" w:hAnsi="Arial"/>
                  <w:sz w:val="12"/>
                  <w:szCs w:val="12"/>
                  <w:u w:val="single" w:color="auto"/>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799"/>
        </w:trPr>
        <w:tc>
          <w:tcPr>
            <w:tcW w:w="7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2" w:name="page3"/>
    <w:bookmarkEnd w:id="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ind w:left="20" w:right="59"/>
        <w:spacing w:after="0" w:line="280" w:lineRule="auto"/>
        <w:rPr>
          <w:sz w:val="20"/>
          <w:szCs w:val="20"/>
          <w:color w:val="auto"/>
        </w:rPr>
      </w:pPr>
      <w:r>
        <w:rPr>
          <w:rFonts w:ascii="Arial" w:cs="Arial" w:eastAsia="Arial" w:hAnsi="Arial"/>
          <w:sz w:val="11"/>
          <w:szCs w:val="11"/>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15"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 those listed under “Item 1A. Risk Factors” of this report, as such risk factors may be amended, supplemented or superseded from time to time by other reports we file with the Securities and Exchange Commission.</w:t>
      </w:r>
    </w:p>
    <w:p>
      <w:pPr>
        <w:spacing w:after="0" w:line="128" w:lineRule="exact"/>
        <w:rPr>
          <w:sz w:val="20"/>
          <w:szCs w:val="20"/>
          <w:color w:val="auto"/>
        </w:rPr>
      </w:pPr>
    </w:p>
    <w:p>
      <w:pPr>
        <w:ind w:left="20" w:right="59"/>
        <w:spacing w:after="0" w:line="285" w:lineRule="auto"/>
        <w:rPr>
          <w:sz w:val="20"/>
          <w:szCs w:val="20"/>
          <w:color w:val="auto"/>
        </w:rPr>
      </w:pPr>
      <w:r>
        <w:rPr>
          <w:rFonts w:ascii="Arial" w:cs="Arial" w:eastAsia="Arial" w:hAnsi="Arial"/>
          <w:sz w:val="11"/>
          <w:szCs w:val="11"/>
          <w:color w:val="auto"/>
        </w:rPr>
        <w:t>We caution you that the important factors included in this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 w:name="page4"/>
    <w:bookmarkEnd w:id="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4"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11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Company</w:t>
      </w:r>
    </w:p>
    <w:p>
      <w:pPr>
        <w:spacing w:after="0" w:line="154" w:lineRule="exact"/>
        <w:rPr>
          <w:sz w:val="20"/>
          <w:szCs w:val="20"/>
          <w:color w:val="auto"/>
        </w:rPr>
      </w:pPr>
    </w:p>
    <w:p>
      <w:pPr>
        <w:jc w:val="both"/>
        <w:ind w:left="20" w:right="239"/>
        <w:spacing w:after="0" w:line="340" w:lineRule="auto"/>
        <w:rPr>
          <w:sz w:val="20"/>
          <w:szCs w:val="20"/>
          <w:color w:val="auto"/>
        </w:rPr>
      </w:pPr>
      <w:r>
        <w:rPr>
          <w:rFonts w:ascii="Arial" w:cs="Arial" w:eastAsia="Arial" w:hAnsi="Arial"/>
          <w:sz w:val="10"/>
          <w:szCs w:val="10"/>
          <w:color w:val="auto"/>
        </w:rPr>
        <w:t>El Pollo Loco is Spanish for “The Crazy Chicken.” We opened our first location on Alvarado Street in Los Angeles, California, in 1980, and have grown our restaurant system to 479 restaurants, comprised of 196 company-operated and 283 franchised restaurants as of December 30, 2020. Our restaurants are located in California, Arizona, Nevada, Texas, Utah and Louisiana. Our typical restaurant is a free-standing building with drive-thru service that ranges in size from 2,200 to 3,000 square feet with seating for approximately 50-70 people.</w:t>
      </w:r>
    </w:p>
    <w:p>
      <w:pPr>
        <w:spacing w:after="0" w:line="87" w:lineRule="exact"/>
        <w:rPr>
          <w:sz w:val="20"/>
          <w:szCs w:val="20"/>
          <w:color w:val="auto"/>
        </w:rPr>
      </w:pPr>
    </w:p>
    <w:p>
      <w:pPr>
        <w:ind w:left="20" w:right="99"/>
        <w:spacing w:after="0" w:line="254" w:lineRule="auto"/>
        <w:rPr>
          <w:sz w:val="20"/>
          <w:szCs w:val="20"/>
          <w:color w:val="auto"/>
        </w:rPr>
      </w:pPr>
      <w:r>
        <w:rPr>
          <w:rFonts w:ascii="Arial" w:cs="Arial" w:eastAsia="Arial" w:hAnsi="Arial"/>
          <w:sz w:val="12"/>
          <w:szCs w:val="12"/>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 citrus-marinated fire-grilled chicken, as well as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healthier alternatives appeals to consumers across a wide variety of socio-economic backgrounds and drives our balanced composition of sales throughout the day (our “day-part mix”), including at lunch and dinner.</w:t>
      </w:r>
    </w:p>
    <w:p>
      <w:pPr>
        <w:spacing w:after="0" w:line="128" w:lineRule="exact"/>
        <w:rPr>
          <w:sz w:val="20"/>
          <w:szCs w:val="20"/>
          <w:color w:val="auto"/>
        </w:rPr>
      </w:pPr>
    </w:p>
    <w:p>
      <w:pPr>
        <w:ind w:left="20" w:right="419"/>
        <w:spacing w:after="0" w:line="259" w:lineRule="auto"/>
        <w:rPr>
          <w:sz w:val="20"/>
          <w:szCs w:val="20"/>
          <w:color w:val="auto"/>
        </w:rPr>
      </w:pPr>
      <w:r>
        <w:rPr>
          <w:rFonts w:ascii="Arial" w:cs="Arial" w:eastAsia="Arial" w:hAnsi="Arial"/>
          <w:sz w:val="12"/>
          <w:szCs w:val="12"/>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2020, 2019 and 2018, and our total assets as of the end of fiscal 2020 and 2019, is included in our “Audited Consolidated Financial Statements” and accompanying “Notes to Consolidated Financial Statements” in this Annual Report. See “Item 8. Financial Statements and Supplementary Data.”</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COVID-19 Impact</w:t>
      </w:r>
    </w:p>
    <w:p>
      <w:pPr>
        <w:spacing w:after="0" w:line="15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w:t>
      </w:r>
    </w:p>
    <w:p>
      <w:pPr>
        <w:spacing w:after="0" w:line="122" w:lineRule="exact"/>
        <w:rPr>
          <w:sz w:val="20"/>
          <w:szCs w:val="20"/>
          <w:color w:val="auto"/>
        </w:rPr>
      </w:pPr>
    </w:p>
    <w:p>
      <w:pPr>
        <w:ind w:left="20" w:right="59"/>
        <w:spacing w:after="0" w:line="278" w:lineRule="auto"/>
        <w:rPr>
          <w:sz w:val="20"/>
          <w:szCs w:val="20"/>
          <w:color w:val="auto"/>
        </w:rPr>
      </w:pPr>
      <w:r>
        <w:rPr>
          <w:rFonts w:ascii="Arial" w:cs="Arial" w:eastAsia="Arial" w:hAnsi="Arial"/>
          <w:sz w:val="11"/>
          <w:szCs w:val="11"/>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our sales are associated with dine-in service. Many state and local governments continue to implement certain restrictions to try and contain the spread of the virus. As of December 30, 2020, the majority of our restaurants in markets outside of California have dining rooms open at a limited capacity, while the majority of our restaurants in California are continuing to operate on a take-away, mobile pick-up and delivery basis, as well as maintaining drive-thru operations where available to comply with the government mandates. Additionally, the Los Angeles market was heavily impacted by a spike in COVID-19 cases near the end of fiscal 2020. Due to our high concentration in this market, we were disproportionately impacted by this spike. Due to the impact of the COVID-19 pandemic, during the year ended December 30, 2020, we temporarily closed 154 restaurants, of which all but seven have reopened as of December 30, 2020. Similarly, during the year ended December 30, 2020, our franchisees temporarily closed 69 restaurants, of which all but three have reopened as of December 30, 2020. These closures typically lasted from one to three days. For both franchise-operated and company-operated restaurants, this represents total closures and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 w:name="page5"/>
    <w:bookmarkEnd w:id="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may include more than one closure for the same restaurant. As of December 30, 2020, we had not permanently closed any restaurants due to the COVID-19 pandemic.</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Below is a summary of other actions we have taken to enhance financial and operating flexibility for the Company and for our franchisees, and to protect our employees and customers:</w:t>
      </w:r>
    </w:p>
    <w:p>
      <w:pPr>
        <w:spacing w:after="0" w:line="162" w:lineRule="exact"/>
        <w:rPr>
          <w:sz w:val="20"/>
          <w:szCs w:val="20"/>
          <w:color w:val="auto"/>
        </w:rPr>
      </w:pPr>
    </w:p>
    <w:p>
      <w:pPr>
        <w:ind w:left="480" w:right="59" w:hanging="224"/>
        <w:spacing w:after="0" w:line="278" w:lineRule="auto"/>
        <w:tabs>
          <w:tab w:leader="none" w:pos="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As a precautionary measure, we initially bolstered our existing cash position by fully drawing down our $150 million 2018 Revolver (as defined below), adding $34.5 million of cash to our balance sheet. However, subsequent to the initial drawdown, we paid down $78.7 million, net of additional borrowings, on our 2018 Revolver. See Note 6 “Long-Term Debt” in the accompanying “Notes to Consolidated Financial Statements” in this Annual Report for further details regarding our current debt balances.</w:t>
      </w:r>
    </w:p>
    <w:p>
      <w:pPr>
        <w:spacing w:after="0" w:line="1" w:lineRule="exact"/>
        <w:rPr>
          <w:rFonts w:ascii="Arial" w:cs="Arial" w:eastAsia="Arial" w:hAnsi="Arial"/>
          <w:sz w:val="11"/>
          <w:szCs w:val="11"/>
          <w:color w:val="auto"/>
        </w:rPr>
      </w:pPr>
    </w:p>
    <w:p>
      <w:pPr>
        <w:ind w:left="480" w:right="259" w:hanging="224"/>
        <w:spacing w:after="0" w:line="25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temporarily suspended all share repurchase activity, significantly reduced capital spending, reevaluated essential support center general and administrative expenses, and fine-tuned our restaurant labor model based on indoor dining room restrictions, limited dining room capacity in restaurants located in geographies where indoor dining is permitted, dining room closures and fluctuating sales volume.</w:t>
      </w:r>
    </w:p>
    <w:p>
      <w:pPr>
        <w:ind w:left="480" w:right="59" w:hanging="224"/>
        <w:spacing w:after="0" w:line="25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For our franchisees, we deferred 50% of their April royalties until July 1, 2020, when such royalties began to be repaid in even monthly installments over the remainder of fiscal 2020. As of December 30, 2020, all deferred royalty balances have been repaid. In addition, we deferred 100% of our franchisees’ 2020 remodel and new restaurant build requirements until the beginning of 2021. We also established a support team to assist franchisees in accessing funds and benefits provided by the Coronavirus Aid, Relief, and Economic Security Act (the “CARES Act”), which was signed into law on March 27, 2020.</w:t>
      </w:r>
    </w:p>
    <w:p>
      <w:pPr>
        <w:spacing w:after="0" w:line="1" w:lineRule="exact"/>
        <w:rPr>
          <w:rFonts w:ascii="Arial" w:cs="Arial" w:eastAsia="Arial" w:hAnsi="Arial"/>
          <w:sz w:val="12"/>
          <w:szCs w:val="12"/>
          <w:color w:val="auto"/>
        </w:rPr>
      </w:pPr>
    </w:p>
    <w:p>
      <w:pPr>
        <w:ind w:left="480" w:right="39" w:hanging="224"/>
        <w:spacing w:after="0" w:line="25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For our employees, we continue to implement actions to help protect them from the coronavirus while working in our restaurants. These include implementing pre-shift health assessments, enhanced cleaning procedures in our restaurants, providing gloves and masks to all system restaurant employees, installing plexiglass shields at company restaurant cashier stations and initiating other social distancing measures. We are providing extended sick leave benefits to employees impacted by COVID-19, and we initially granted two weeks paid leave for employees who are 65 or older.</w:t>
      </w:r>
    </w:p>
    <w:p>
      <w:pPr>
        <w:spacing w:after="0" w:line="1" w:lineRule="exact"/>
        <w:rPr>
          <w:rFonts w:ascii="Arial" w:cs="Arial" w:eastAsia="Arial" w:hAnsi="Arial"/>
          <w:sz w:val="12"/>
          <w:szCs w:val="12"/>
          <w:color w:val="auto"/>
        </w:rPr>
      </w:pPr>
    </w:p>
    <w:p>
      <w:pPr>
        <w:ind w:left="480" w:right="299" w:hanging="224"/>
        <w:spacing w:after="0" w:line="25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have shifted our marketing to highlight our free delivery program; our Family Meals as a better for you and more affordable option; and our meaningful value platform. Additionally, we have added curbside pick-up, enabling customers to pick-up their orders from the safety of their own cars.</w:t>
      </w:r>
    </w:p>
    <w:p>
      <w:pPr>
        <w:ind w:left="480" w:right="299" w:hanging="224"/>
        <w:spacing w:after="0" w:line="25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delayed making April, May and June rent payments on the majority of our leased properties, and we have reached rent abatement and/or deferment agreements with our landlords for those properties.</w:t>
      </w:r>
    </w:p>
    <w:p>
      <w:pPr>
        <w:ind w:left="480" w:right="159" w:hanging="224"/>
        <w:spacing w:after="0" w:line="260" w:lineRule="auto"/>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have taken advantage of provisions available under the CARES Act. Specifically, we have deferred payment of employer Social Security taxes that are otherwise owed for wage payments.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fiscal 2020, we incurred $4.9 million in COVID-19 related expenses, primarily due to leaves of absence and overtime pay.</w:t>
      </w:r>
    </w:p>
    <w:p>
      <w:pPr>
        <w:spacing w:after="0" w:line="150" w:lineRule="exact"/>
        <w:rPr>
          <w:sz w:val="20"/>
          <w:szCs w:val="20"/>
          <w:color w:val="auto"/>
        </w:rPr>
      </w:pPr>
    </w:p>
    <w:p>
      <w:pPr>
        <w:ind w:left="20" w:right="79"/>
        <w:spacing w:after="0" w:line="254" w:lineRule="auto"/>
        <w:rPr>
          <w:sz w:val="20"/>
          <w:szCs w:val="20"/>
          <w:color w:val="auto"/>
        </w:rPr>
      </w:pPr>
      <w:r>
        <w:rPr>
          <w:rFonts w:ascii="Arial" w:cs="Arial" w:eastAsia="Arial" w:hAnsi="Arial"/>
          <w:sz w:val="12"/>
          <w:szCs w:val="12"/>
          <w:color w:val="auto"/>
        </w:rPr>
        <w:t>The full impact of the COVID-19 outbreak continues to evolve as of the date of this report. We are continually evaluating the impact of the global crisis on our financial condition, liquidity, operations, suppliers, industry, and workforce and will take additional actions as necessary. The disruption in operations has led to us considering the impact of the COVID-19 pandemic on our liquidity, debt covenant compliance, and recoverability of long-lived and right-of-use (“ROU”) assets, goodwill and intangible assets, among others. If these disruptions to our operations from the COVID-19 pandemic continue or worsen, they may have a material negative impact on our financial results, future operations and liquidity. The extent of such negative impact will depend, in part, on the longevity and severity of the COVID-19 pandemic, including the severity and transmission rates of COVID-19 variants, resurgences of COVID-19 that may continue to occur, the availability, distribution and efficacy of COVID-19 vaccines and how quickly and to what extent normal economic and operating conditions improve.</w:t>
      </w:r>
    </w:p>
    <w:p>
      <w:pPr>
        <w:spacing w:after="0" w:line="130" w:lineRule="exact"/>
        <w:rPr>
          <w:sz w:val="20"/>
          <w:szCs w:val="20"/>
          <w:color w:val="auto"/>
        </w:rPr>
      </w:pPr>
    </w:p>
    <w:p>
      <w:pPr>
        <w:ind w:left="20" w:right="259"/>
        <w:spacing w:after="0" w:line="263" w:lineRule="auto"/>
        <w:rPr>
          <w:sz w:val="20"/>
          <w:szCs w:val="20"/>
          <w:color w:val="auto"/>
        </w:rPr>
      </w:pPr>
      <w:r>
        <w:rPr>
          <w:rFonts w:ascii="Arial" w:cs="Arial" w:eastAsia="Arial" w:hAnsi="Arial"/>
          <w:sz w:val="12"/>
          <w:szCs w:val="12"/>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 w:name="page6"/>
    <w:bookmarkEnd w:id="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Industry</w:t>
      </w:r>
    </w:p>
    <w:p>
      <w:pPr>
        <w:spacing w:after="0" w:line="154" w:lineRule="exact"/>
        <w:rPr>
          <w:sz w:val="20"/>
          <w:szCs w:val="20"/>
          <w:color w:val="auto"/>
        </w:rPr>
      </w:pPr>
    </w:p>
    <w:p>
      <w:pPr>
        <w:ind w:left="20" w:right="59"/>
        <w:spacing w:after="0" w:line="298" w:lineRule="auto"/>
        <w:rPr>
          <w:sz w:val="20"/>
          <w:szCs w:val="20"/>
          <w:color w:val="auto"/>
        </w:rPr>
      </w:pPr>
      <w:r>
        <w:rPr>
          <w:rFonts w:ascii="Arial" w:cs="Arial" w:eastAsia="Arial" w:hAnsi="Arial"/>
          <w:sz w:val="11"/>
          <w:szCs w:val="11"/>
          <w:color w:val="auto"/>
        </w:rPr>
        <w:t>The restaurant industry is divided into two segments: full service and limited service. We operate within the broader LSR segment, and we strive to offer the food and dining experience of a fast-casual restaurant and the speed, value, and convenience of a quick-service restaurant (“QSR”). We strive to offer menu options that are made with fresh ingredients and provide a better for you alternative to typical fast food, which are also inspired by the culinary and cultural traditions of Mexico and our hometown of Los Angeles.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Competitive Strengths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believe that the following strengths differentiate us from our competitors and serve as the foundation for our continued growth:</w:t>
      </w:r>
    </w:p>
    <w:p>
      <w:pPr>
        <w:spacing w:after="0" w:line="150"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i w:val="1"/>
          <w:iCs w:val="1"/>
          <w:color w:val="auto"/>
        </w:rPr>
        <w:t xml:space="preserve">Differentiated Restaurant Concept with Broad Appeal. </w:t>
      </w:r>
      <w:r>
        <w:rPr>
          <w:rFonts w:ascii="Arial" w:cs="Arial" w:eastAsia="Arial" w:hAnsi="Arial"/>
          <w:sz w:val="11"/>
          <w:szCs w:val="11"/>
          <w:color w:val="auto"/>
        </w:rPr>
        <w:t>We believe that our food, which combines the culinary traditions of Mexico with the healthier lifestyle of Los Angeles, served in</w:t>
      </w:r>
      <w:r>
        <w:rPr>
          <w:rFonts w:ascii="Arial" w:cs="Arial" w:eastAsia="Arial" w:hAnsi="Arial"/>
          <w:sz w:val="11"/>
          <w:szCs w:val="11"/>
          <w:i w:val="1"/>
          <w:iCs w:val="1"/>
          <w:color w:val="auto"/>
        </w:rPr>
        <w:t xml:space="preserve"> </w:t>
      </w:r>
      <w:r>
        <w:rPr>
          <w:rFonts w:ascii="Arial" w:cs="Arial" w:eastAsia="Arial" w:hAnsi="Arial"/>
          <w:sz w:val="11"/>
          <w:szCs w:val="11"/>
          <w:color w:val="auto"/>
        </w:rPr>
        <w:t>contemporary restaurant environments at reasonable prices, 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 as avocados, mangos, organic greens and serrano peppers at price points that appeal to a broad consumer base. We believe that our entree prices are typically lower than the fast-casual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w:t>
      </w:r>
    </w:p>
    <w:p>
      <w:pPr>
        <w:spacing w:after="0" w:line="119" w:lineRule="exact"/>
        <w:rPr>
          <w:sz w:val="20"/>
          <w:szCs w:val="20"/>
          <w:color w:val="auto"/>
        </w:rPr>
      </w:pPr>
    </w:p>
    <w:p>
      <w:pPr>
        <w:ind w:left="20" w:right="79"/>
        <w:spacing w:after="0" w:line="281" w:lineRule="auto"/>
        <w:rPr>
          <w:sz w:val="20"/>
          <w:szCs w:val="20"/>
          <w:color w:val="auto"/>
        </w:rPr>
      </w:pPr>
      <w:r>
        <w:rPr>
          <w:rFonts w:ascii="Arial" w:cs="Arial" w:eastAsia="Arial" w:hAnsi="Arial"/>
          <w:sz w:val="11"/>
          <w:szCs w:val="11"/>
          <w:i w:val="1"/>
          <w:iCs w:val="1"/>
          <w:color w:val="auto"/>
        </w:rPr>
        <w:t xml:space="preserve">Mexican-Inspired, Fresh-Made Fire-Grilled Chicken and Entrees. </w:t>
      </w:r>
      <w:r>
        <w:rPr>
          <w:rFonts w:ascii="Arial" w:cs="Arial" w:eastAsia="Arial" w:hAnsi="Arial"/>
          <w:sz w:val="11"/>
          <w:szCs w:val="11"/>
          <w:color w:val="auto"/>
        </w:rPr>
        <w:t>Our signature product is our chicken, marinated with a proprietary recipe of citrus juice, garlic, and spices, which</w:t>
      </w:r>
      <w:r>
        <w:rPr>
          <w:rFonts w:ascii="Arial" w:cs="Arial" w:eastAsia="Arial" w:hAnsi="Arial"/>
          <w:sz w:val="11"/>
          <w:szCs w:val="11"/>
          <w:i w:val="1"/>
          <w:iCs w:val="1"/>
          <w:color w:val="auto"/>
        </w:rPr>
        <w:t xml:space="preserve"> </w:t>
      </w:r>
      <w:r>
        <w:rPr>
          <w:rFonts w:ascii="Arial" w:cs="Arial" w:eastAsia="Arial" w:hAnsi="Arial"/>
          <w:sz w:val="11"/>
          <w:szCs w:val="11"/>
          <w:color w:val="auto"/>
        </w:rPr>
        <w:t>serves as the foundation of our distinctive menu of flavorful bone-in chicken meals and entrees inspired by Mexico and LA. With menu items such as our signature individual chicken meals, family dinners, Chicken Tostada Salad, Pollo Bowl®, Chicken Avocado Burrito, and Double Chicken Avocado Salad, we believe that we offer our customers a better for you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115" w:lineRule="exact"/>
        <w:rPr>
          <w:sz w:val="20"/>
          <w:szCs w:val="20"/>
          <w:color w:val="auto"/>
        </w:rPr>
      </w:pPr>
    </w:p>
    <w:p>
      <w:pPr>
        <w:ind w:left="20" w:right="59"/>
        <w:spacing w:after="0" w:line="320" w:lineRule="auto"/>
        <w:rPr>
          <w:sz w:val="20"/>
          <w:szCs w:val="20"/>
          <w:color w:val="auto"/>
        </w:rPr>
      </w:pPr>
      <w:r>
        <w:rPr>
          <w:rFonts w:ascii="Arial" w:cs="Arial" w:eastAsia="Arial" w:hAnsi="Arial"/>
          <w:sz w:val="10"/>
          <w:szCs w:val="10"/>
          <w:color w:val="auto"/>
        </w:rPr>
        <w:t>Our bone-in chicken meals and Mexican-inspired entrees accounted for 46% and 47% of our company-operated restaurant sales, respectively, in both 2020 and 2019, and 46% and 54%, respectively, in 2018. Our individual and family-sized chicken meals appeal to customers looking to dine at the restaurant or take out during dinnertime, while our Mexican-inspired entrees draw traffic from customers at lunchtime or for an afternoon snack, enabling us to generate sales split almost equally between lunch and dinner. We believe that our family-sized chicken meals provide a better for you and more convenient alternative for families looking to solve the “dinnertime dilemma” of providing their families with high-quality meals without investing significant time or money. In 2020, approximately 31% of our company-operated sales were generated from family-sized meals, compared to 28% in both 2019 and 2018.</w:t>
      </w:r>
    </w:p>
    <w:p>
      <w:pPr>
        <w:spacing w:after="0" w:line="97"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i w:val="1"/>
          <w:iCs w:val="1"/>
          <w:color w:val="auto"/>
        </w:rPr>
        <w:t xml:space="preserve">Operations Infrastructure that Allows for Real-Time Control, Fast Feedback, and Innovation. </w:t>
      </w:r>
      <w:r>
        <w:rPr>
          <w:rFonts w:ascii="Arial" w:cs="Arial" w:eastAsia="Arial" w:hAnsi="Arial"/>
          <w:sz w:val="12"/>
          <w:szCs w:val="12"/>
          <w:color w:val="auto"/>
        </w:rPr>
        <w:t>We believe that satisfying our customers’ dining needs is the foundation for our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from the customer’s perspective. In addition, all company operated restaurants utilize digital “communication boards”, which communicate sales, cost and consumer data in real time to our restaurant managers.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 w:name="page7"/>
    <w:bookmarkEnd w:id="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89" w:lineRule="auto"/>
        <w:rPr>
          <w:sz w:val="20"/>
          <w:szCs w:val="20"/>
          <w:color w:val="auto"/>
        </w:rPr>
      </w:pPr>
      <w:r>
        <w:rPr>
          <w:rFonts w:ascii="Arial" w:cs="Arial" w:eastAsia="Arial" w:hAnsi="Arial"/>
          <w:sz w:val="11"/>
          <w:szCs w:val="11"/>
          <w:i w:val="1"/>
          <w:iCs w:val="1"/>
          <w:color w:val="auto"/>
        </w:rPr>
        <w:t xml:space="preserve">Developing High Average Unit Volumes (“AUVs”) and Strong Unit Economics One Chicken at a Time. </w:t>
      </w:r>
      <w:r>
        <w:rPr>
          <w:rFonts w:ascii="Arial" w:cs="Arial" w:eastAsia="Arial" w:hAnsi="Arial"/>
          <w:sz w:val="11"/>
          <w:szCs w:val="11"/>
          <w:color w:val="auto"/>
        </w:rPr>
        <w:t>We seek to position ourselves as a differentiated LSR business, which we believe</w:t>
      </w:r>
      <w:r>
        <w:rPr>
          <w:rFonts w:ascii="Arial" w:cs="Arial" w:eastAsia="Arial" w:hAnsi="Arial"/>
          <w:sz w:val="11"/>
          <w:szCs w:val="11"/>
          <w:i w:val="1"/>
          <w:iCs w:val="1"/>
          <w:color w:val="auto"/>
        </w:rPr>
        <w:t xml:space="preserve"> </w:t>
      </w:r>
      <w:r>
        <w:rPr>
          <w:rFonts w:ascii="Arial" w:cs="Arial" w:eastAsia="Arial" w:hAnsi="Arial"/>
          <w:sz w:val="11"/>
          <w:szCs w:val="11"/>
          <w:color w:val="auto"/>
        </w:rPr>
        <w:t>drives restaurant operating results that are competitive with other leading restaurant concepts in both the fast-casual and QSR industry segments. We believe that our restaurant model is designed to generate strong cash flow, consistent restaurant-level financial results, and high returns on invested capital. In 2020, our company-operated restaurants generated average annual sales per restaurant of approximately $1.9 million and restaurant-level contribution margins of 18.8%.</w:t>
      </w:r>
    </w:p>
    <w:p>
      <w:pPr>
        <w:spacing w:after="0" w:line="111" w:lineRule="exact"/>
        <w:rPr>
          <w:sz w:val="20"/>
          <w:szCs w:val="20"/>
          <w:color w:val="auto"/>
        </w:rPr>
      </w:pPr>
    </w:p>
    <w:p>
      <w:pPr>
        <w:ind w:left="20" w:right="239"/>
        <w:spacing w:after="0" w:line="263" w:lineRule="auto"/>
        <w:rPr>
          <w:sz w:val="20"/>
          <w:szCs w:val="20"/>
          <w:color w:val="auto"/>
        </w:rPr>
      </w:pPr>
      <w:r>
        <w:rPr>
          <w:rFonts w:ascii="Arial" w:cs="Arial" w:eastAsia="Arial" w:hAnsi="Arial"/>
          <w:sz w:val="12"/>
          <w:szCs w:val="12"/>
          <w:i w:val="1"/>
          <w:iCs w:val="1"/>
          <w:color w:val="auto"/>
        </w:rPr>
        <w:t xml:space="preserve">Experienced Leadership. </w:t>
      </w:r>
      <w:r>
        <w:rPr>
          <w:rFonts w:ascii="Arial" w:cs="Arial" w:eastAsia="Arial" w:hAnsi="Arial"/>
          <w:sz w:val="12"/>
          <w:szCs w:val="12"/>
          <w:color w:val="auto"/>
        </w:rPr>
        <w:t>Most of our senior management team has extensive operating experience in the restaurant industry. Members of the senior leadership team include Bernard</w:t>
      </w:r>
      <w:r>
        <w:rPr>
          <w:rFonts w:ascii="Arial" w:cs="Arial" w:eastAsia="Arial" w:hAnsi="Arial"/>
          <w:sz w:val="12"/>
          <w:szCs w:val="12"/>
          <w:i w:val="1"/>
          <w:iCs w:val="1"/>
          <w:color w:val="auto"/>
        </w:rPr>
        <w:t xml:space="preserve"> </w:t>
      </w:r>
      <w:r>
        <w:rPr>
          <w:rFonts w:ascii="Arial" w:cs="Arial" w:eastAsia="Arial" w:hAnsi="Arial"/>
          <w:sz w:val="12"/>
          <w:szCs w:val="12"/>
          <w:color w:val="auto"/>
        </w:rPr>
        <w:t>Acoca as our President and Chief Executive Officer (“CEO”), Larry Roberts as our Chief Financial Officer, Miguel Lozano as our Chief Operating Officer, Jennifer Jaffe as our Chief People Officer, and Brian Carmichall as our Chief Development Officer.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Our Growth Strategy</w:t>
      </w:r>
    </w:p>
    <w:p>
      <w:pPr>
        <w:spacing w:after="0" w:line="154" w:lineRule="exact"/>
        <w:rPr>
          <w:sz w:val="20"/>
          <w:szCs w:val="20"/>
          <w:color w:val="auto"/>
        </w:rPr>
      </w:pPr>
    </w:p>
    <w:p>
      <w:pPr>
        <w:ind w:left="20" w:right="79"/>
        <w:spacing w:after="0" w:line="289" w:lineRule="auto"/>
        <w:rPr>
          <w:sz w:val="20"/>
          <w:szCs w:val="20"/>
          <w:color w:val="auto"/>
        </w:rPr>
      </w:pPr>
      <w:r>
        <w:rPr>
          <w:rFonts w:ascii="Arial" w:cs="Arial" w:eastAsia="Arial" w:hAnsi="Arial"/>
          <w:sz w:val="11"/>
          <w:szCs w:val="11"/>
          <w:color w:val="auto"/>
        </w:rPr>
        <w:t>We believe that we are well-positioned for sales growth because of our strong appeal to our core Hispanic family market, appeal to the broader general market, disciplined business model, and strong unit economics. Through 2019, our system experienced annual comparable restaurant sales growth for eight consecutive years. Our system comparable restaurant sales in fiscal 2020 declined 2.4%, which we believe was largely attributable to the COVID-19 pandemic. We plan to continue to expand our business, drive restaurant sales growth and increase company profits by executing our Transformation Agenda, which consists of the following four key strategies:</w:t>
      </w:r>
    </w:p>
    <w:p>
      <w:pPr>
        <w:spacing w:after="0" w:line="111" w:lineRule="exact"/>
        <w:rPr>
          <w:sz w:val="20"/>
          <w:szCs w:val="20"/>
          <w:color w:val="auto"/>
        </w:rPr>
      </w:pPr>
    </w:p>
    <w:p>
      <w:pPr>
        <w:ind w:left="20" w:right="79"/>
        <w:spacing w:after="0" w:line="280" w:lineRule="auto"/>
        <w:rPr>
          <w:sz w:val="20"/>
          <w:szCs w:val="20"/>
          <w:color w:val="auto"/>
        </w:rPr>
      </w:pPr>
      <w:r>
        <w:rPr>
          <w:rFonts w:ascii="Arial" w:cs="Arial" w:eastAsia="Arial" w:hAnsi="Arial"/>
          <w:sz w:val="11"/>
          <w:szCs w:val="11"/>
          <w:i w:val="1"/>
          <w:iCs w:val="1"/>
          <w:u w:val="single" w:color="auto"/>
          <w:color w:val="auto"/>
        </w:rPr>
        <w:t>Develop a People-first Culture – Invest in and Grow our Talent.</w:t>
      </w:r>
      <w:r>
        <w:rPr>
          <w:rFonts w:ascii="Arial" w:cs="Arial" w:eastAsia="Arial" w:hAnsi="Arial"/>
          <w:sz w:val="11"/>
          <w:szCs w:val="11"/>
          <w:i w:val="1"/>
          <w:iCs w:val="1"/>
          <w:color w:val="auto"/>
        </w:rPr>
        <w:t xml:space="preserve"> </w:t>
      </w:r>
      <w:r>
        <w:rPr>
          <w:rFonts w:ascii="Arial" w:cs="Arial" w:eastAsia="Arial" w:hAnsi="Arial"/>
          <w:sz w:val="11"/>
          <w:szCs w:val="11"/>
          <w:color w:val="auto"/>
        </w:rPr>
        <w:t>We believe that success in the restaurant industry is highly correlated with employee engagement, which is dependent</w:t>
      </w:r>
      <w:r>
        <w:rPr>
          <w:rFonts w:ascii="Arial" w:cs="Arial" w:eastAsia="Arial" w:hAnsi="Arial"/>
          <w:sz w:val="11"/>
          <w:szCs w:val="11"/>
          <w:i w:val="1"/>
          <w:iCs w:val="1"/>
          <w:color w:val="auto"/>
        </w:rPr>
        <w:t xml:space="preserve"> </w:t>
      </w:r>
      <w:r>
        <w:rPr>
          <w:rFonts w:ascii="Arial" w:cs="Arial" w:eastAsia="Arial" w:hAnsi="Arial"/>
          <w:sz w:val="11"/>
          <w:szCs w:val="11"/>
          <w:color w:val="auto"/>
        </w:rPr>
        <w:t>upon hiring, retaining, developing and motivating employees. We continue to build a culture centered around our mission, which is to “Feed the Love that Makes Us All Feel Like Family” and “Heart-Centered Leadership,” which is predicated on servant-led leadership, employee recognition and community involvement. We believe that executing on our mission will result in a better and more meaningful work experience for our employees. For example, in 2019 we implemented a food donation program with Food Donation Connection, donated 75,000 tacos as part of our “Buy One, Feed Many” initiative, and celebrated Caesar Chavez Day by recruiting 500 company employees, franchisees and customers to refresh a high school located in south Los Angeles. In 2020, we provided funds to 13 Latina owned businesses that were heavily impacted by the COVID-19 pandemic. We also continue to invest in leadership training to ensure that our managers have the tools they need to be effective leaders and motivating coaches. We believe that our focus on culture and leadership will result in highly engaged and motivated employees, which will lead to a better experience for our customers.</w:t>
      </w:r>
    </w:p>
    <w:p>
      <w:pPr>
        <w:spacing w:after="0" w:line="115" w:lineRule="exact"/>
        <w:rPr>
          <w:sz w:val="20"/>
          <w:szCs w:val="20"/>
          <w:color w:val="auto"/>
        </w:rPr>
      </w:pPr>
    </w:p>
    <w:p>
      <w:pPr>
        <w:ind w:left="20" w:right="59"/>
        <w:spacing w:after="0" w:line="320" w:lineRule="auto"/>
        <w:rPr>
          <w:sz w:val="20"/>
          <w:szCs w:val="20"/>
          <w:color w:val="auto"/>
        </w:rPr>
      </w:pPr>
      <w:r>
        <w:rPr>
          <w:rFonts w:ascii="Arial" w:cs="Arial" w:eastAsia="Arial" w:hAnsi="Arial"/>
          <w:sz w:val="10"/>
          <w:szCs w:val="10"/>
          <w:i w:val="1"/>
          <w:iCs w:val="1"/>
          <w:u w:val="single" w:color="auto"/>
          <w:color w:val="auto"/>
        </w:rPr>
        <w:t>Differentiate the Brand – Accentuate our Strengths and Build Upon Them</w:t>
      </w:r>
      <w:r>
        <w:rPr>
          <w:rFonts w:ascii="Arial" w:cs="Arial" w:eastAsia="Arial" w:hAnsi="Arial"/>
          <w:sz w:val="10"/>
          <w:szCs w:val="10"/>
          <w:color w:val="auto"/>
        </w:rPr>
        <w:t>. We believe that we are uniquely positioned within the LSR restaurant space. We will continue to adapt our</w:t>
      </w:r>
      <w:r>
        <w:rPr>
          <w:rFonts w:ascii="Arial" w:cs="Arial" w:eastAsia="Arial" w:hAnsi="Arial"/>
          <w:sz w:val="10"/>
          <w:szCs w:val="10"/>
          <w:i w:val="1"/>
          <w:iCs w:val="1"/>
          <w:color w:val="auto"/>
        </w:rPr>
        <w:t xml:space="preserve"> </w:t>
      </w:r>
      <w:r>
        <w:rPr>
          <w:rFonts w:ascii="Arial" w:cs="Arial" w:eastAsia="Arial" w:hAnsi="Arial"/>
          <w:sz w:val="10"/>
          <w:szCs w:val="10"/>
          <w:color w:val="auto"/>
        </w:rPr>
        <w:t>menu to create family-sized dinner options and lunch entrees that complement our signature fire-grilled chicken, and are inspired by the culinary and cultural traditions of Mexico and our hometown of Los Angeles. We believe that we have opportunities for menu innovation as we look to increase customer frequency and target the dinner segment.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97"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We engage customers through our seasonal product calendar, which features new, unique limited time offers and variations of menu items like our Chicken Tostada Salads and Stuffed Burritos. Our key points of differentiation are communicated through our advertising campaign, which highlights the brand’s authenticity, better for you menu options and dedication to high-quality ingredients. We tailor our message from television and direct mail, which garners broad exposure, to our Loco Rewards loyalty program and social media platform where we engage in more personalized marketing.</w:t>
      </w:r>
    </w:p>
    <w:p>
      <w:pPr>
        <w:spacing w:after="0" w:line="124" w:lineRule="exact"/>
        <w:rPr>
          <w:sz w:val="20"/>
          <w:szCs w:val="20"/>
          <w:color w:val="auto"/>
        </w:rPr>
      </w:pPr>
    </w:p>
    <w:p>
      <w:pPr>
        <w:ind w:left="20" w:right="119"/>
        <w:spacing w:after="0" w:line="289" w:lineRule="auto"/>
        <w:rPr>
          <w:sz w:val="20"/>
          <w:szCs w:val="20"/>
          <w:color w:val="auto"/>
        </w:rPr>
      </w:pPr>
      <w:r>
        <w:rPr>
          <w:rFonts w:ascii="Arial" w:cs="Arial" w:eastAsia="Arial" w:hAnsi="Arial"/>
          <w:sz w:val="11"/>
          <w:szCs w:val="11"/>
          <w:color w:val="auto"/>
        </w:rPr>
        <w:t>We believe that investing in consumer-facing technology is critical to further differentiating our brand and reaching customers for whom convenience and value are key decision factors. During the second quarter of 2017, we introduced a new Loyalty Reward program in an effort to increase sales and loyalty among our customers, by offering rewards that incentivize customers to visit our restaurants more each month. As of December 30, 2020, there were 2.1 million members in the Loco Rewards loyalty program, whom we target with segmented, dynamic campaigns with special offers tailored to each customer segment with the goals of increasing visit frequency and growing overall spend.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 w:name="page8"/>
    <w:bookmarkEnd w:id="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In June 2018, we implemented delivery through DoorDash, a third-party delivery provider. In September 2019, we added Postmates and Uber Eats, and in February 2020 we added GrubHub, as additional marketplace delivery providers. For meals ordered through these market place platforms, restaurants incur a fee based on a percentage of the ticket. As of December 30, 2020, Postmates maintained exclusivity for delivery orders placed directly with our restaurants. For those ordered directly from the restaurant, no fee is charged to the restaurant as the full delivery cost is borne by the customer. In total, during fiscal 2020, delivery orders constituted 6% of our total sales mix. As of December 30, 2020, all Corporate and franchise restaurants offered integrated delivery through a third-party service.</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plan to continue investing in our loyalty and delivery programs as well as other technology platforms to continue making it easier for customers to access our food.</w:t>
      </w:r>
    </w:p>
    <w:p>
      <w:pPr>
        <w:spacing w:after="0" w:line="150" w:lineRule="exact"/>
        <w:rPr>
          <w:sz w:val="20"/>
          <w:szCs w:val="20"/>
          <w:color w:val="auto"/>
        </w:rPr>
      </w:pPr>
    </w:p>
    <w:p>
      <w:pPr>
        <w:ind w:left="20" w:right="219"/>
        <w:spacing w:after="0" w:line="256" w:lineRule="auto"/>
        <w:rPr>
          <w:sz w:val="20"/>
          <w:szCs w:val="20"/>
          <w:color w:val="auto"/>
        </w:rPr>
      </w:pPr>
      <w:r>
        <w:rPr>
          <w:rFonts w:ascii="Arial" w:cs="Arial" w:eastAsia="Arial" w:hAnsi="Arial"/>
          <w:sz w:val="12"/>
          <w:szCs w:val="12"/>
          <w:i w:val="1"/>
          <w:iCs w:val="1"/>
          <w:u w:val="single" w:color="auto"/>
          <w:color w:val="auto"/>
        </w:rPr>
        <w:t>Simplify Operations – Make It Easier for Employees and Franchisees to Run Our Restaurants.</w:t>
      </w:r>
      <w:r>
        <w:rPr>
          <w:rFonts w:ascii="Arial" w:cs="Arial" w:eastAsia="Arial" w:hAnsi="Arial"/>
          <w:sz w:val="12"/>
          <w:szCs w:val="12"/>
          <w:i w:val="1"/>
          <w:iCs w:val="1"/>
          <w:color w:val="auto"/>
        </w:rPr>
        <w:t xml:space="preserve"> </w:t>
      </w:r>
      <w:r>
        <w:rPr>
          <w:rFonts w:ascii="Arial" w:cs="Arial" w:eastAsia="Arial" w:hAnsi="Arial"/>
          <w:sz w:val="12"/>
          <w:szCs w:val="12"/>
          <w:color w:val="auto"/>
        </w:rPr>
        <w:t>We believe that simplifying our restaurant operations will further enhance our ability to</w:t>
      </w:r>
      <w:r>
        <w:rPr>
          <w:rFonts w:ascii="Arial" w:cs="Arial" w:eastAsia="Arial" w:hAnsi="Arial"/>
          <w:sz w:val="12"/>
          <w:szCs w:val="12"/>
          <w:i w:val="1"/>
          <w:iCs w:val="1"/>
          <w:color w:val="auto"/>
        </w:rPr>
        <w:t xml:space="preserve"> </w:t>
      </w:r>
      <w:r>
        <w:rPr>
          <w:rFonts w:ascii="Arial" w:cs="Arial" w:eastAsia="Arial" w:hAnsi="Arial"/>
          <w:sz w:val="12"/>
          <w:szCs w:val="12"/>
          <w:color w:val="auto"/>
        </w:rPr>
        <w:t>attract and retain the best employees and further improve customer service. In 2020, we implemented several initiatives to make it easier for our employees to operate our restaurants. These included a systemized restaurant cleaning process, revised drive thru operating procedures and a state-of-the-art human resource management system. These initiatives have allowed our restaurant employees to increase their focus on customers and speed of service. We believe that this focus, combined with renewed emphasis on providing an exceptional customer experience, will lead to higher sales over the longer term.</w:t>
      </w:r>
    </w:p>
    <w:p>
      <w:pPr>
        <w:spacing w:after="0" w:line="128" w:lineRule="exact"/>
        <w:rPr>
          <w:sz w:val="20"/>
          <w:szCs w:val="20"/>
          <w:color w:val="auto"/>
        </w:rPr>
      </w:pPr>
    </w:p>
    <w:p>
      <w:pPr>
        <w:ind w:left="20" w:right="79"/>
        <w:spacing w:after="0" w:line="253" w:lineRule="auto"/>
        <w:rPr>
          <w:sz w:val="20"/>
          <w:szCs w:val="20"/>
          <w:color w:val="auto"/>
        </w:rPr>
      </w:pPr>
      <w:r>
        <w:rPr>
          <w:rFonts w:ascii="Arial" w:cs="Arial" w:eastAsia="Arial" w:hAnsi="Arial"/>
          <w:sz w:val="12"/>
          <w:szCs w:val="12"/>
          <w:i w:val="1"/>
          <w:iCs w:val="1"/>
          <w:u w:val="single" w:color="auto"/>
          <w:color w:val="auto"/>
        </w:rPr>
        <w:t>Grow the Business – Responsibly and Profitably for the Long Term.</w:t>
      </w:r>
      <w:r>
        <w:rPr>
          <w:rFonts w:ascii="Arial" w:cs="Arial" w:eastAsia="Arial" w:hAnsi="Arial"/>
          <w:sz w:val="12"/>
          <w:szCs w:val="12"/>
          <w:i w:val="1"/>
          <w:iCs w:val="1"/>
          <w:color w:val="auto"/>
        </w:rPr>
        <w:t xml:space="preserve"> </w:t>
      </w:r>
      <w:r>
        <w:rPr>
          <w:rFonts w:ascii="Arial" w:cs="Arial" w:eastAsia="Arial" w:hAnsi="Arial"/>
          <w:sz w:val="12"/>
          <w:szCs w:val="12"/>
          <w:color w:val="auto"/>
        </w:rPr>
        <w:t>We believe that execution of our first three strategies will enable us to grow our restaurant base. Our restaurant model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is designed to generate strong cash flow, attractive restaurant-level financial results and high returns on invested capital. We have finalized a new restaurant design that we believe will clearly differentiate and communicate our brand, both on the exterior and interior. In addition, we are redesigning the back-of-house to make it easier for employees to operate the restaurant. We believe that this new design will deliver strong new unit volumes and cash on cash returns in both existing and new markets. We also believe that our remodels using this new design will result in higher restaurant revenue and a strengthened brand. As of the end of fiscal 2020, we have completed two remodels using the new asset design. If these are successful, beginning in 2021, this new design will replace our “Vision” design, which was implemented in 2016. However, given the uncertainty surrounding the </w:t>
      </w:r>
      <w:r>
        <w:rPr>
          <w:rFonts w:ascii="Arial" w:cs="Arial" w:eastAsia="Arial" w:hAnsi="Arial"/>
          <w:sz w:val="12"/>
          <w:szCs w:val="12"/>
          <w:color w:val="212529"/>
        </w:rPr>
        <w:t>severity and longevity</w:t>
      </w:r>
      <w:r>
        <w:rPr>
          <w:rFonts w:ascii="Arial" w:cs="Arial" w:eastAsia="Arial" w:hAnsi="Arial"/>
          <w:sz w:val="12"/>
          <w:szCs w:val="12"/>
          <w:color w:val="auto"/>
        </w:rPr>
        <w:t xml:space="preserve"> </w:t>
      </w:r>
      <w:r>
        <w:rPr>
          <w:rFonts w:ascii="Arial" w:cs="Arial" w:eastAsia="Arial" w:hAnsi="Arial"/>
          <w:sz w:val="12"/>
          <w:szCs w:val="12"/>
          <w:color w:val="212529"/>
        </w:rPr>
        <w:t>of the COVID-19 pandemic, as a precautionary measure we significantly reduced capital spending, including limiting our remodels in 2020. Our franchisees did not complete any remodels in 2020 as we have deferred their remodel requirements until 2021. In 2021, we plan to resume our standard practices for remodels, including 15 company-operated and 40 franchised restaurants.</w:t>
      </w:r>
    </w:p>
    <w:p>
      <w:pPr>
        <w:spacing w:after="0" w:line="131"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We expect future new unit development to be led by franchisees, with company development being focused on existing markets. In order to expand into new markets, we believe that we need to source new franchisees and, therefore, we expect to invest more resources in sourcing and onboarding them in the future.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Site Selection and Expansion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Restaurant Development</w:t>
      </w:r>
    </w:p>
    <w:p>
      <w:pPr>
        <w:spacing w:after="0" w:line="150" w:lineRule="exact"/>
        <w:rPr>
          <w:sz w:val="20"/>
          <w:szCs w:val="20"/>
          <w:color w:val="auto"/>
        </w:rPr>
      </w:pPr>
    </w:p>
    <w:p>
      <w:pPr>
        <w:ind w:left="20" w:right="159"/>
        <w:spacing w:after="0" w:line="256" w:lineRule="auto"/>
        <w:rPr>
          <w:sz w:val="20"/>
          <w:szCs w:val="20"/>
          <w:color w:val="auto"/>
        </w:rPr>
      </w:pPr>
      <w:r>
        <w:rPr>
          <w:rFonts w:ascii="Arial" w:cs="Arial" w:eastAsia="Arial" w:hAnsi="Arial"/>
          <w:sz w:val="12"/>
          <w:szCs w:val="12"/>
          <w:color w:val="auto"/>
        </w:rPr>
        <w:t>We believe that our restaurant model is designed to generate strong cash flow, attractive restaurant-level financial results, and high returns on invested capital, which we believe provide us with a strong foundation for unit growth over the long-term. In 2020, one new company-operated restaurant was opened in Nevada, which was in process prior to the COVID-19 pandemic, and three franchised restaurants were opened, two in California and one in Arizona. As a result of the COVID-19 crisis, we suspended company-operated new unit development until the timing of the economic recovery and our business improvement become clearer. In addition, we allowed franchisees to defer their 2020 new unit development obligations until 2021.</w:t>
      </w:r>
    </w:p>
    <w:p>
      <w:pPr>
        <w:spacing w:after="0" w:line="128" w:lineRule="exact"/>
        <w:rPr>
          <w:sz w:val="20"/>
          <w:szCs w:val="20"/>
          <w:color w:val="auto"/>
        </w:rPr>
      </w:pPr>
    </w:p>
    <w:p>
      <w:pPr>
        <w:ind w:left="20" w:right="99"/>
        <w:spacing w:after="0" w:line="298" w:lineRule="auto"/>
        <w:rPr>
          <w:sz w:val="20"/>
          <w:szCs w:val="20"/>
          <w:color w:val="auto"/>
        </w:rPr>
      </w:pPr>
      <w:r>
        <w:rPr>
          <w:rFonts w:ascii="Arial" w:cs="Arial" w:eastAsia="Arial" w:hAnsi="Arial"/>
          <w:sz w:val="11"/>
          <w:szCs w:val="11"/>
          <w:color w:val="auto"/>
        </w:rPr>
        <w:t>In fiscal 2021, we intend to open three to five new company-operated and four to six new franchised restaurants. There is no guarantee that we will be able to open new company-operated or franchised restaurants, or to increase the overall number of our restaurants. We may be unsuccessful in expanding within existing or into new markets for a variety of reasons as described below in “Item 1A. Risk Factors,” including competition for customers, sites, franchisees, employees, licenses, and financing.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 w:name="page9"/>
    <w:bookmarkEnd w:id="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Site Selection Process</w:t>
      </w:r>
    </w:p>
    <w:p>
      <w:pPr>
        <w:spacing w:after="0" w:line="150"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The Habit, Carl’s Jr., Baskin Robbins, Wendy’s, Denny’s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13" w:lineRule="exact"/>
        <w:rPr>
          <w:sz w:val="20"/>
          <w:szCs w:val="20"/>
          <w:color w:val="auto"/>
        </w:rPr>
      </w:pPr>
    </w:p>
    <w:p>
      <w:pPr>
        <w:ind w:left="20" w:right="339"/>
        <w:spacing w:after="0" w:line="276" w:lineRule="auto"/>
        <w:rPr>
          <w:sz w:val="20"/>
          <w:szCs w:val="20"/>
          <w:color w:val="auto"/>
        </w:rPr>
      </w:pPr>
      <w:r>
        <w:rPr>
          <w:rFonts w:ascii="Arial" w:cs="Arial" w:eastAsia="Arial" w:hAnsi="Arial"/>
          <w:sz w:val="12"/>
          <w:szCs w:val="12"/>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15"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Restaurant Construction</w:t>
      </w:r>
    </w:p>
    <w:p>
      <w:pPr>
        <w:spacing w:after="0" w:line="150" w:lineRule="exact"/>
        <w:rPr>
          <w:sz w:val="20"/>
          <w:szCs w:val="20"/>
          <w:color w:val="auto"/>
        </w:rPr>
      </w:pPr>
    </w:p>
    <w:p>
      <w:pPr>
        <w:ind w:left="20" w:right="119"/>
        <w:spacing w:after="0" w:line="340" w:lineRule="auto"/>
        <w:rPr>
          <w:sz w:val="20"/>
          <w:szCs w:val="20"/>
          <w:color w:val="auto"/>
        </w:rPr>
      </w:pPr>
      <w:r>
        <w:rPr>
          <w:rFonts w:ascii="Arial" w:cs="Arial" w:eastAsia="Arial" w:hAnsi="Arial"/>
          <w:sz w:val="10"/>
          <w:szCs w:val="10"/>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Restaurant Management and Operations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Service</w:t>
      </w:r>
    </w:p>
    <w:p>
      <w:pPr>
        <w:spacing w:after="0" w:line="150"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fresh salsa bar and beverage station are clean and supplied with products.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Operations</w:t>
      </w:r>
    </w:p>
    <w:p>
      <w:pPr>
        <w:spacing w:after="0" w:line="150" w:lineRule="exact"/>
        <w:rPr>
          <w:sz w:val="20"/>
          <w:szCs w:val="20"/>
          <w:color w:val="auto"/>
        </w:rPr>
      </w:pPr>
    </w:p>
    <w:p>
      <w:pPr>
        <w:ind w:left="20" w:right="119"/>
        <w:spacing w:after="0" w:line="289" w:lineRule="auto"/>
        <w:rPr>
          <w:sz w:val="20"/>
          <w:szCs w:val="20"/>
          <w:color w:val="auto"/>
        </w:rPr>
      </w:pPr>
      <w:r>
        <w:rPr>
          <w:rFonts w:ascii="Arial" w:cs="Arial" w:eastAsia="Arial" w:hAnsi="Arial"/>
          <w:sz w:val="11"/>
          <w:szCs w:val="11"/>
          <w:color w:val="auto"/>
        </w:rPr>
        <w:t>We utilize systems that are aimed at measuring our ability to deliver a “best in class” experience for our customers. These systems include customer surveys, social media ratings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develop specific plans for continuous performance improvement. In addition, all company operated restaurants utilize digital “communication boards”, which communicate sales, costs and consumer data in real time to our restaurant managers.</w:t>
      </w:r>
    </w:p>
    <w:p>
      <w:pPr>
        <w:spacing w:after="0" w:line="111" w:lineRule="exact"/>
        <w:rPr>
          <w:sz w:val="20"/>
          <w:szCs w:val="20"/>
          <w:color w:val="auto"/>
        </w:rPr>
      </w:pPr>
    </w:p>
    <w:p>
      <w:pPr>
        <w:ind w:left="20" w:right="99"/>
        <w:spacing w:after="0" w:line="323" w:lineRule="auto"/>
        <w:rPr>
          <w:sz w:val="20"/>
          <w:szCs w:val="20"/>
          <w:color w:val="auto"/>
        </w:rPr>
      </w:pPr>
      <w:r>
        <w:rPr>
          <w:rFonts w:ascii="Arial" w:cs="Arial" w:eastAsia="Arial" w:hAnsi="Arial"/>
          <w:sz w:val="11"/>
          <w:szCs w:val="11"/>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Managers and Team Members</w:t>
      </w:r>
    </w:p>
    <w:p>
      <w:pPr>
        <w:spacing w:after="0" w:line="150"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Each of our restaurants typically has a general manager, an assistant manager and two to three shift leaders. There are between 20 and 35 team members per restaurant, who prepare our food fresh daily and provide customer service. To lead our restaurant management teams, we have area leaders, each of whom is responsible for 8 to 12 restaurants. Overseeing the area leaders are two Regional Directors of Operations and a Vice President of Operations, who reports up to our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 w:name="page10"/>
    <w:bookmarkEnd w:id="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9"/>
        <w:spacing w:after="0" w:line="276" w:lineRule="auto"/>
        <w:rPr>
          <w:sz w:val="20"/>
          <w:szCs w:val="20"/>
          <w:color w:val="auto"/>
        </w:rPr>
      </w:pPr>
      <w:r>
        <w:rPr>
          <w:rFonts w:ascii="Arial" w:cs="Arial" w:eastAsia="Arial" w:hAnsi="Arial"/>
          <w:sz w:val="12"/>
          <w:szCs w:val="12"/>
          <w:color w:val="auto"/>
        </w:rPr>
        <w:t>Chief Operating Officer. Franchise operations are supported by three directors of franchise who report to the Senior Vice President, Chief Development Officer. The restaurant development team is supported by four directors who also currently report to the Senior Vice President, Chief Development Officer.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Training</w:t>
      </w:r>
    </w:p>
    <w:p>
      <w:pPr>
        <w:spacing w:after="0" w:line="150"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Our people are the center of the El Pollo Loco customer experience. Creating a culture of constant learning has been essential in equipping our people with the skills to deliver our high standards and commitments to our customers and team members. We strive to find ways to simplify our methodology and invest in elevating our people. In a rapidly evolving landscape, effective training depends not only on the quality of content but also on delivery methods. To engage our growing base of millennial employees, we employ a Learning Management System called Pollo Zone, our tablet-based learning tool. This platform is a central hub for all training efforts and features individual learner profiles to support engagement and accountability on our path toward investing in our people and their growth.</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Franchise Program</w:t>
      </w:r>
    </w:p>
    <w:p>
      <w:pPr>
        <w:spacing w:after="0" w:line="154" w:lineRule="exact"/>
        <w:rPr>
          <w:sz w:val="20"/>
          <w:szCs w:val="20"/>
          <w:color w:val="auto"/>
        </w:rPr>
      </w:pPr>
    </w:p>
    <w:p>
      <w:pPr>
        <w:ind w:left="20" w:right="99"/>
        <w:spacing w:after="0" w:line="289" w:lineRule="auto"/>
        <w:rPr>
          <w:sz w:val="20"/>
          <w:szCs w:val="20"/>
          <w:color w:val="auto"/>
        </w:rPr>
      </w:pPr>
      <w:r>
        <w:rPr>
          <w:rFonts w:ascii="Arial" w:cs="Arial" w:eastAsia="Arial" w:hAnsi="Arial"/>
          <w:sz w:val="11"/>
          <w:szCs w:val="11"/>
          <w:color w:val="auto"/>
        </w:rPr>
        <w:t>We use a franchising strategy to increase new restaurant growth in certain markets, leveraging the ownership of entrepreneurs with specific local market expertise and requiring a relatively minimal capital commitment by us. As of December 30, 2020, there were a total of 283 franchised restaurants. Franchisees range in size from single-restaurant operators to the largest franchisee, which owned 68 restaurants as of December 30, 2020. Our existing franchise base consists of many successful, longstanding, multi-unit restaurant operators. As of December 30, 2020, approximately 85% of franchised restaurants were owned and operated by franchisees that had been with us for over 20 years.</w:t>
      </w:r>
    </w:p>
    <w:p>
      <w:pPr>
        <w:spacing w:after="0" w:line="111"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122" w:lineRule="exact"/>
        <w:rPr>
          <w:sz w:val="20"/>
          <w:szCs w:val="20"/>
          <w:color w:val="auto"/>
        </w:rPr>
      </w:pPr>
    </w:p>
    <w:p>
      <w:pPr>
        <w:ind w:left="20" w:right="479"/>
        <w:spacing w:after="0" w:line="276" w:lineRule="auto"/>
        <w:rPr>
          <w:sz w:val="20"/>
          <w:szCs w:val="20"/>
          <w:color w:val="auto"/>
        </w:rPr>
      </w:pPr>
      <w:r>
        <w:rPr>
          <w:rFonts w:ascii="Arial" w:cs="Arial" w:eastAsia="Arial" w:hAnsi="Arial"/>
          <w:sz w:val="12"/>
          <w:szCs w:val="12"/>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15" w:lineRule="exact"/>
        <w:rPr>
          <w:sz w:val="20"/>
          <w:szCs w:val="20"/>
          <w:color w:val="auto"/>
        </w:rPr>
      </w:pPr>
    </w:p>
    <w:p>
      <w:pPr>
        <w:jc w:val="both"/>
        <w:ind w:left="20" w:right="299"/>
        <w:spacing w:after="0" w:line="340" w:lineRule="auto"/>
        <w:rPr>
          <w:sz w:val="20"/>
          <w:szCs w:val="20"/>
          <w:color w:val="auto"/>
        </w:rPr>
      </w:pPr>
      <w:r>
        <w:rPr>
          <w:rFonts w:ascii="Arial" w:cs="Arial" w:eastAsia="Arial" w:hAnsi="Arial"/>
          <w:sz w:val="10"/>
          <w:szCs w:val="10"/>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87" w:lineRule="exact"/>
        <w:rPr>
          <w:sz w:val="20"/>
          <w:szCs w:val="20"/>
          <w:color w:val="auto"/>
        </w:rPr>
      </w:pPr>
    </w:p>
    <w:p>
      <w:pPr>
        <w:ind w:left="20" w:right="319"/>
        <w:spacing w:after="0" w:line="263" w:lineRule="auto"/>
        <w:rPr>
          <w:sz w:val="20"/>
          <w:szCs w:val="20"/>
          <w:color w:val="auto"/>
        </w:rPr>
      </w:pPr>
      <w:r>
        <w:rPr>
          <w:rFonts w:ascii="Arial" w:cs="Arial" w:eastAsia="Arial" w:hAnsi="Arial"/>
          <w:sz w:val="12"/>
          <w:szCs w:val="12"/>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Marketing and Advertising</w:t>
      </w:r>
    </w:p>
    <w:p>
      <w:pPr>
        <w:spacing w:after="0" w:line="154"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We strive to distinguish the El Pollo Loco brand by building a brand equity that we believe not only accentuates our strengths but also deepens the strong emotional connections we have with our customers. In October 2018, we completed codifying our brand architecture in a comprehensive brand book, which shapes our strategic brand decisions and influences how we communicate the El Pollo Loco brand to consumers. We promote our restaurants and products by emphasizing our points of differentiation, which include our Mexican and LA heritages, our fresh ingredients and made-from-scratch preparation, and the cooking of our citrus-marinated chicken on open fire grills in our kitchens, as well as the convenience and quality we offer for families.</w:t>
      </w:r>
    </w:p>
    <w:p>
      <w:pPr>
        <w:spacing w:after="0" w:line="128" w:lineRule="exact"/>
        <w:rPr>
          <w:sz w:val="20"/>
          <w:szCs w:val="20"/>
          <w:color w:val="auto"/>
        </w:rPr>
      </w:pPr>
    </w:p>
    <w:p>
      <w:pPr>
        <w:ind w:left="20" w:right="439"/>
        <w:spacing w:after="0" w:line="276" w:lineRule="auto"/>
        <w:rPr>
          <w:sz w:val="20"/>
          <w:szCs w:val="20"/>
          <w:color w:val="auto"/>
        </w:rPr>
      </w:pPr>
      <w:r>
        <w:rPr>
          <w:rFonts w:ascii="Arial" w:cs="Arial" w:eastAsia="Arial" w:hAnsi="Arial"/>
          <w:sz w:val="12"/>
          <w:szCs w:val="12"/>
          <w:color w:val="auto"/>
        </w:rPr>
        <w:t>We use multiple marketing channels, including television, radio, digital, and print, to broadly drive brand awareness and purchases of our featured products. We advertise on local broadcast and cable television.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 w:name="page11"/>
    <w:bookmarkEnd w:id="1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Through our public relations efforts, we engage notable food editors, influencers and bloggers on a range of topics to help promote our products. In addition, we engage in one-on-one conversations using a portfolio of social media platforms, including Facebook, Instagram and Twitter. We also use social media as a research and customer service tool, and apply insights gained to future marketing efforts.</w:t>
      </w:r>
    </w:p>
    <w:p>
      <w:pPr>
        <w:spacing w:after="0" w:line="122" w:lineRule="exact"/>
        <w:rPr>
          <w:sz w:val="20"/>
          <w:szCs w:val="20"/>
          <w:color w:val="auto"/>
        </w:rPr>
      </w:pPr>
    </w:p>
    <w:p>
      <w:pPr>
        <w:ind w:left="20" w:right="239"/>
        <w:spacing w:after="0" w:line="289" w:lineRule="auto"/>
        <w:rPr>
          <w:sz w:val="20"/>
          <w:szCs w:val="20"/>
          <w:color w:val="auto"/>
        </w:rPr>
      </w:pPr>
      <w:r>
        <w:rPr>
          <w:rFonts w:ascii="Arial" w:cs="Arial" w:eastAsia="Arial" w:hAnsi="Arial"/>
          <w:sz w:val="11"/>
          <w:szCs w:val="11"/>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11"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Our online ordering program makes it easy for customers to skip the line and order ahead. Available for every location and accessible from elpolloloco.com or the El Pollo Loco mobile app, any order can be placed and paid for before arriving at the restaurant. El Pollo Loco has partnered with DoorDash, UberEats, Postmates, and Grubhub as an additional method for ordering.</w:t>
      </w:r>
    </w:p>
    <w:p>
      <w:pPr>
        <w:spacing w:after="0" w:line="122" w:lineRule="exact"/>
        <w:rPr>
          <w:sz w:val="20"/>
          <w:szCs w:val="20"/>
          <w:color w:val="auto"/>
        </w:rPr>
      </w:pPr>
    </w:p>
    <w:p>
      <w:pPr>
        <w:ind w:left="20" w:right="139"/>
        <w:spacing w:after="0" w:line="283" w:lineRule="auto"/>
        <w:rPr>
          <w:sz w:val="20"/>
          <w:szCs w:val="20"/>
          <w:color w:val="auto"/>
        </w:rPr>
      </w:pPr>
      <w:r>
        <w:rPr>
          <w:rFonts w:ascii="Arial" w:cs="Arial" w:eastAsia="Arial" w:hAnsi="Arial"/>
          <w:sz w:val="11"/>
          <w:szCs w:val="11"/>
          <w:color w:val="auto"/>
        </w:rPr>
        <w:t>In 2004, we created El Pollo Loco Charities, a non-profit charity, to support the communities surrounding our restaurants. El Pollo Loco Charities has provided over 15,000 meals per year to underprivileged families, through organizations like Food on Foot, Habitat for Humanity, Children’s Institute, and Court Appointed Special Advocates. In addition, during 2019 we enhanced our community outreach through several initiatives, including: 1) the implementation of a food donation program in which restaurants donate food that would otherwise be discarded; 2) committing to donate 75,000 tacos to charity as part of our “Buy One, Feed Many” National Taco Day promotion; 3) recruiting 500 company, franchise and customer volunteers to refresh a high school located in south Los Angeles; and 4) entering into a relationship with an Orange County-based organization to provide job opportunities for the homeless. In 2020, we provided funds to 13 Latina owned businesses that were heavily impacted by the COVID-19 pandemic.</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Purchasing and Distribution</w:t>
      </w:r>
    </w:p>
    <w:p>
      <w:pPr>
        <w:spacing w:after="0" w:line="154"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40% of our total food and paper costs for 2020.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 poultry from six suppliers, with two accounting for approximately 62% of our purchases for fiscal 2020. We have fixed prices for 100% of our poultry supply through the end of 2021.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20" w:right="119"/>
        <w:spacing w:after="0" w:line="285" w:lineRule="auto"/>
        <w:rPr>
          <w:sz w:val="20"/>
          <w:szCs w:val="20"/>
          <w:color w:val="auto"/>
        </w:rPr>
      </w:pPr>
      <w:r>
        <w:rPr>
          <w:rFonts w:ascii="Arial" w:cs="Arial" w:eastAsia="Arial" w:hAnsi="Arial"/>
          <w:sz w:val="11"/>
          <w:szCs w:val="11"/>
          <w:color w:val="auto"/>
        </w:rPr>
        <w:t>We have registered El Pollo Loco ® , Pollo Bowl ® , The Crazy Chicken ® , and certain other names used by our restaurants as trademarks or service marks with the U.S. Patent and Trademark Office (the “PTO”), and El Pollo Loco ® in approximately 42 foreign countries.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1" w:name="page12"/>
    <w:bookmarkEnd w:id="1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w:t>
      </w:r>
    </w:p>
    <w:p>
      <w:pPr>
        <w:spacing w:after="0" w:line="115"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Environmental Matters</w:t>
      </w:r>
    </w:p>
    <w:p>
      <w:pPr>
        <w:spacing w:after="0" w:line="154"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24"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119"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Regulation and Compliance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and our franchisees are subject to various federal, state and local laws and regulations that govern our business operations, including those governing:</w:t>
      </w:r>
    </w:p>
    <w:p>
      <w:pPr>
        <w:spacing w:after="0" w:line="150" w:lineRule="exact"/>
        <w:rPr>
          <w:sz w:val="20"/>
          <w:szCs w:val="20"/>
          <w:color w:val="auto"/>
        </w:rPr>
      </w:pPr>
    </w:p>
    <w:p>
      <w:pPr>
        <w:jc w:val="both"/>
        <w:ind w:left="480" w:right="279" w:hanging="224"/>
        <w:spacing w:after="0" w:line="255" w:lineRule="auto"/>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employment and wage and hour practices, including, but not limited to, minimum wage rates, overtime, meal and rest periods, prevention of discrimination, harassment, and retaliation, employment of minors, paid and family leave, unemployment tax rates, workers’ compensation rates, suitable seating, and citizen requirements, and other working conditions;</w:t>
      </w:r>
    </w:p>
    <w:p>
      <w:pPr>
        <w:spacing w:after="0" w:line="1" w:lineRule="exact"/>
        <w:rPr>
          <w:rFonts w:ascii="Arial" w:cs="Arial" w:eastAsia="Arial" w:hAnsi="Arial"/>
          <w:sz w:val="12"/>
          <w:szCs w:val="12"/>
          <w:color w:val="auto"/>
        </w:rPr>
      </w:pPr>
    </w:p>
    <w:p>
      <w:pPr>
        <w:ind w:left="480" w:hanging="224"/>
        <w:spacing w:after="0"/>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privacy and data security, including the collection, maintenance and use of information regarding employees and guests;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2" w:name="page13"/>
    <w:bookmarkEnd w:id="1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hanging="224"/>
        <w:spacing w:after="0"/>
        <w:tabs>
          <w:tab w:leader="none" w:pos="48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compliance with the Americans with Disabilities Act and similar laws affording various protections and accommodations to employees and guests with disabilities;</w:t>
      </w:r>
    </w:p>
    <w:p>
      <w:pPr>
        <w:spacing w:after="0" w:line="26" w:lineRule="exact"/>
        <w:rPr>
          <w:rFonts w:ascii="Arial" w:cs="Arial" w:eastAsia="Arial" w:hAnsi="Arial"/>
          <w:sz w:val="11"/>
          <w:szCs w:val="11"/>
          <w:color w:val="auto"/>
        </w:rPr>
      </w:pPr>
    </w:p>
    <w:p>
      <w:pPr>
        <w:jc w:val="both"/>
        <w:ind w:left="480" w:right="259" w:hanging="224"/>
        <w:spacing w:after="0" w:line="250" w:lineRule="auto"/>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environmental practices, including the discharge, storage, handling, release and disposal of hazardous or toxic substances; regulation of discharges into the air, water and soils, storage and disposal of liquid and solid waste, and clean-up of contaminated soil and groundwater, and regulations restricting the use of straws, utensils and the certain packaging materials;</w:t>
      </w:r>
    </w:p>
    <w:p>
      <w:pPr>
        <w:ind w:left="480" w:right="279" w:hanging="224"/>
        <w:spacing w:after="0" w:line="250" w:lineRule="auto"/>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compliance with Federal Trade Commission and laws that govern the franchisor-franchisee relationship, including the offer and sale of franchises and certain disclosures to franchisees;</w:t>
      </w:r>
    </w:p>
    <w:p>
      <w:pPr>
        <w:ind w:left="480" w:right="279" w:hanging="224"/>
        <w:spacing w:after="0" w:line="250" w:lineRule="auto"/>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preparation, sale and labeling of food, including regulations of the Food and Drug Administration, which oversees the safety of the entire food system, including inspections and mandatory food recalls, menu labeling and nutritional content;</w:t>
      </w:r>
    </w:p>
    <w:p>
      <w:pPr>
        <w:ind w:left="480" w:hanging="224"/>
        <w:spacing w:after="0"/>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building and zoning requirements, including state and local licensing and regulation governing the design and operation of facilities and land use;</w:t>
      </w:r>
    </w:p>
    <w:p>
      <w:pPr>
        <w:spacing w:after="0" w:line="6" w:lineRule="exact"/>
        <w:rPr>
          <w:rFonts w:ascii="Arial" w:cs="Arial" w:eastAsia="Arial" w:hAnsi="Arial"/>
          <w:sz w:val="12"/>
          <w:szCs w:val="12"/>
          <w:color w:val="auto"/>
        </w:rPr>
      </w:pPr>
    </w:p>
    <w:p>
      <w:pPr>
        <w:ind w:left="480" w:hanging="224"/>
        <w:spacing w:after="0"/>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health and sanitation and public safety; and</w:t>
      </w:r>
    </w:p>
    <w:p>
      <w:pPr>
        <w:spacing w:after="0" w:line="6" w:lineRule="exact"/>
        <w:rPr>
          <w:rFonts w:ascii="Arial" w:cs="Arial" w:eastAsia="Arial" w:hAnsi="Arial"/>
          <w:sz w:val="12"/>
          <w:szCs w:val="12"/>
          <w:color w:val="auto"/>
        </w:rPr>
      </w:pPr>
    </w:p>
    <w:p>
      <w:pPr>
        <w:ind w:left="480" w:hanging="224"/>
        <w:spacing w:after="0"/>
        <w:tabs>
          <w:tab w:leader="none" w:pos="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restaurant operations related to COVID-19.</w:t>
      </w:r>
    </w:p>
    <w:p>
      <w:pPr>
        <w:spacing w:after="0" w:line="141"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We require each of our franchise partners to comply with all federal, state and local laws and regulations. We have processes in place to monitor our own compliance with the numerous, complex, applicable laws and regulations governing our operations.</w:t>
      </w:r>
    </w:p>
    <w:p>
      <w:pPr>
        <w:spacing w:after="0" w:line="115" w:lineRule="exact"/>
        <w:rPr>
          <w:sz w:val="20"/>
          <w:szCs w:val="20"/>
          <w:color w:val="auto"/>
        </w:rPr>
      </w:pPr>
    </w:p>
    <w:p>
      <w:pPr>
        <w:jc w:val="both"/>
        <w:ind w:left="20" w:right="259"/>
        <w:spacing w:after="0" w:line="289" w:lineRule="auto"/>
        <w:rPr>
          <w:sz w:val="20"/>
          <w:szCs w:val="20"/>
          <w:color w:val="auto"/>
        </w:rPr>
      </w:pPr>
      <w:r>
        <w:rPr>
          <w:rFonts w:ascii="Arial" w:cs="Arial" w:eastAsia="Arial" w:hAnsi="Arial"/>
          <w:sz w:val="11"/>
          <w:szCs w:val="11"/>
          <w:color w:val="auto"/>
        </w:rPr>
        <w:t>We are subject to new, varied and ever-changing rules and regulations regarding the current COVID-19 pandemic, which have materially impacted our earnings and resulted in significant capital expenditures. New federal, state and local government regulations regarding COVID-19 are issued and existing regulations are frequently revised, which materially affected, and continues to affect, our operations. Such regulations govern, for example, employee leave, opening and closing of restaurants and dining rooms, business hours, sanitation practices, guest spacing within dining rooms and other social distancing practices and personal protective equipment.</w:t>
      </w:r>
    </w:p>
    <w:p>
      <w:pPr>
        <w:spacing w:after="0" w:line="111" w:lineRule="exact"/>
        <w:rPr>
          <w:sz w:val="20"/>
          <w:szCs w:val="20"/>
          <w:color w:val="auto"/>
        </w:rPr>
      </w:pPr>
    </w:p>
    <w:p>
      <w:pPr>
        <w:jc w:val="both"/>
        <w:ind w:left="20" w:right="239"/>
        <w:spacing w:after="0" w:line="278" w:lineRule="auto"/>
        <w:rPr>
          <w:sz w:val="20"/>
          <w:szCs w:val="20"/>
          <w:color w:val="auto"/>
        </w:rPr>
      </w:pPr>
      <w:r>
        <w:rPr>
          <w:rFonts w:ascii="Arial" w:cs="Arial" w:eastAsia="Arial" w:hAnsi="Arial"/>
          <w:sz w:val="11"/>
          <w:szCs w:val="11"/>
          <w:color w:val="auto"/>
        </w:rPr>
        <w:t>Other than as described above, the Company’s compliance with federal, state or local laws and regulations, including environmental laws,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Further, more stringent and varied requirements of local government bodies with respect to zoning, land use and environmental factors could delay construction and increase development costs for new restaurants. Moreover,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a significant portion of our hourly staff is paid at minimum wage rates consistent with the applicable federal, state, or local laws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Item 1A “Risk Factors” and “Environmental Matters” above of this Form 10-K for a discussion of risks relating to federal, state, local and regulation of our business.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 Information Systems</w:t>
      </w:r>
    </w:p>
    <w:p>
      <w:pPr>
        <w:spacing w:after="0" w:line="154" w:lineRule="exact"/>
        <w:rPr>
          <w:sz w:val="20"/>
          <w:szCs w:val="20"/>
          <w:color w:val="auto"/>
        </w:rPr>
      </w:pPr>
    </w:p>
    <w:p>
      <w:pPr>
        <w:ind w:left="20" w:right="79"/>
        <w:spacing w:after="0" w:line="298" w:lineRule="auto"/>
        <w:rPr>
          <w:sz w:val="20"/>
          <w:szCs w:val="20"/>
          <w:color w:val="auto"/>
        </w:rPr>
      </w:pPr>
      <w:r>
        <w:rPr>
          <w:rFonts w:ascii="Arial" w:cs="Arial" w:eastAsia="Arial" w:hAnsi="Arial"/>
          <w:sz w:val="11"/>
          <w:szCs w:val="11"/>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 Our point-of-sale system is used to collect daily transaction data, which provides daily sales and product mix information that we actively analyze.</w:t>
      </w:r>
    </w:p>
    <w:p>
      <w:pPr>
        <w:spacing w:after="0" w:line="105" w:lineRule="exact"/>
        <w:rPr>
          <w:sz w:val="20"/>
          <w:szCs w:val="20"/>
          <w:color w:val="auto"/>
        </w:rPr>
      </w:pPr>
    </w:p>
    <w:p>
      <w:pPr>
        <w:ind w:left="20" w:right="99"/>
        <w:spacing w:after="0" w:line="323" w:lineRule="auto"/>
        <w:rPr>
          <w:sz w:val="20"/>
          <w:szCs w:val="20"/>
          <w:color w:val="auto"/>
        </w:rPr>
      </w:pPr>
      <w:r>
        <w:rPr>
          <w:rFonts w:ascii="Arial" w:cs="Arial" w:eastAsia="Arial" w:hAnsi="Arial"/>
          <w:sz w:val="11"/>
          <w:szCs w:val="11"/>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3" w:name="page14"/>
    <w:bookmarkEnd w:id="1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spacing w:after="0" w:line="263" w:lineRule="auto"/>
        <w:rPr>
          <w:sz w:val="20"/>
          <w:szCs w:val="20"/>
          <w:color w:val="auto"/>
        </w:rPr>
      </w:pPr>
      <w:r>
        <w:rPr>
          <w:rFonts w:ascii="Arial" w:cs="Arial" w:eastAsia="Arial" w:hAnsi="Arial"/>
          <w:sz w:val="12"/>
          <w:szCs w:val="12"/>
          <w:color w:val="auto"/>
        </w:rPr>
        <w:t>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Human Capital</w:t>
      </w:r>
    </w:p>
    <w:p>
      <w:pPr>
        <w:spacing w:after="0" w:line="154" w:lineRule="exact"/>
        <w:rPr>
          <w:sz w:val="20"/>
          <w:szCs w:val="20"/>
          <w:color w:val="auto"/>
        </w:rPr>
      </w:pPr>
    </w:p>
    <w:p>
      <w:pPr>
        <w:ind w:left="20" w:right="199"/>
        <w:spacing w:after="0" w:line="259" w:lineRule="auto"/>
        <w:rPr>
          <w:sz w:val="20"/>
          <w:szCs w:val="20"/>
          <w:color w:val="auto"/>
        </w:rPr>
      </w:pPr>
      <w:r>
        <w:rPr>
          <w:rFonts w:ascii="Arial" w:cs="Arial" w:eastAsia="Arial" w:hAnsi="Arial"/>
          <w:sz w:val="12"/>
          <w:szCs w:val="12"/>
          <w:color w:val="auto"/>
        </w:rPr>
        <w:t>As of December 30, 2020, we had approximately 4,711 employees, of whom approximately 4,561 were hourly restaurant employees comprised of 3,732 crewmembers, 216 general managers/acting general managers, 148 assistant managers, 410 shift leaders, and 55 employees in limited-time roles as acting managers or as managers in training. The remaining 150 employees were corporate and office personnel. None of our employees are part of a collective bargaining agreement, and we believe that our relationships with our employees are satisfactory.</w:t>
      </w:r>
    </w:p>
    <w:p>
      <w:pPr>
        <w:spacing w:after="0" w:line="124"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We believe our efforts to maintain solid relationships with our employees are effective and are grounded in our company values. Our primary human capital objective is employee engagement, which is dependent upon hiring, retaining, developing and motivating employees. We strive to build a culture centered around our mission, which is to “Feed the Love that Makes Us All Feel Like Family” and “Heart-Centered Leadership.” We believe this mission is predicated on servant-led leadership, employee recognition and community involvement. We offer our employees both online and on-the-job training. Restaurant management trainees participate in comprehensive, multi-week training programs touching on all aspects of the operations, including restaurant leadership. We provide key restaurant leadership roles with a quarterly cash-based performance bonus awards. Our corporate employees are provided an annual performance bonus award. We also have an equity incentive compensation plan to provide certain management-level or other key employees with stock-based awards. We monitor our progress with metrics such as employee performance measures, turnover rates and restaurant customer surveys.</w:t>
      </w:r>
    </w:p>
    <w:p>
      <w:pPr>
        <w:spacing w:after="0" w:line="115"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The health and well-being of our employees and guests have always been and continues to be our top priority. To help protect the health and well-being of all of our employees during the COVID-19 pandemic, during 2020 we invested in creating a safe work environment for our employees by taking additional measures. We require our office employees to work remotely unless business needs require them to work in the corporate office. For our restaurant employees, we continue to implement actions to help protect them from COVID-19 while working in our restaurants. These actions include implementing pre-shift health assessments, enhanced cleaning procedures in our restaurants, providing gloves and masks to all system restaurant employees, installing plexiglass shields at company restaurant cashier stations and initiating other social distancing measures. We are also providing extended sick leave benefits to employees impacted by COVID-19. Refer to “COVID-19 Impact” above for further information on the Company’s COVID-19 response.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Seasonality</w:t>
      </w:r>
    </w:p>
    <w:p>
      <w:pPr>
        <w:spacing w:after="0" w:line="154" w:lineRule="exact"/>
        <w:rPr>
          <w:sz w:val="20"/>
          <w:szCs w:val="20"/>
          <w:color w:val="auto"/>
        </w:rPr>
      </w:pPr>
    </w:p>
    <w:p>
      <w:pPr>
        <w:jc w:val="both"/>
        <w:ind w:left="20" w:right="139"/>
        <w:spacing w:after="0" w:line="263" w:lineRule="auto"/>
        <w:rPr>
          <w:sz w:val="20"/>
          <w:szCs w:val="20"/>
          <w:color w:val="auto"/>
        </w:rPr>
      </w:pPr>
      <w:r>
        <w:rPr>
          <w:rFonts w:ascii="Arial" w:cs="Arial" w:eastAsia="Arial" w:hAnsi="Arial"/>
          <w:sz w:val="12"/>
          <w:szCs w:val="12"/>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ind w:left="20" w:right="79"/>
        <w:spacing w:after="0" w:line="289" w:lineRule="auto"/>
        <w:rPr>
          <w:sz w:val="20"/>
          <w:szCs w:val="20"/>
          <w:color w:val="auto"/>
        </w:rPr>
      </w:pPr>
      <w:r>
        <w:rPr>
          <w:rFonts w:ascii="Arial" w:cs="Arial" w:eastAsia="Arial" w:hAnsi="Arial"/>
          <w:sz w:val="11"/>
          <w:szCs w:val="11"/>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11"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The SEC also maintains an Internet site that contains reports, proxy and information statements, and other information regarding issuers, including us, that file electronically with the SEC, at http://www.sec.gov.</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4" w:name="page15"/>
    <w:bookmarkEnd w:id="1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You should carefully consider the following risk factors, as well as other information contained in this report, including our financial statements and the notes related to those statements.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occurrence of any of the following risks could materially and adversely affect our business, prospects, financial condition, results of operations, and cash flow.</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Our Operations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212529"/>
        </w:rPr>
        <w:t>The COVID-19 pandemic and measures intended to prevent its spread may have a significant negative impact on our business, sales, results of operations and financial condition.</w:t>
      </w:r>
    </w:p>
    <w:p>
      <w:pPr>
        <w:spacing w:after="0" w:line="137"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212529"/>
        </w:rPr>
        <w:t>The global pandemic resulting from the outbreak of COVID-19 has disrupted El Pollo Loco’s restaurant operations beginning in March 2020. In response to federal, state and local mandates (subject to exceptions for certain state and local mandates) aimed at limiting the spread of COVID-19, we and our franchisees have experienced temporary closures of some restaurants, closures of dining rooms, limited capacity restrictions and/or decreased operating hours for some restaurants. Furthermore, the decrease in discretionary consumer spending as a result of the COVID-19 outbreak has decreased demand for our products. This decrease in demand, as well as the actions described above, have resulted in declines in revenue and also led to us delaying certain rent payments on the majority of our leased properties, resulting in rent abatement and/or deferment with our landlords for those properties.</w:t>
      </w:r>
    </w:p>
    <w:p>
      <w:pPr>
        <w:spacing w:after="0" w:line="68"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212529"/>
        </w:rPr>
        <w:t xml:space="preserve">If additional outbreaks of COVID-19 at a significant number of our locations require us to temporarily close those locations for disinfection or result in a large number of our employees becoming ill with COVID-19 and being unable to work, our business and results of operations could be further adversely affected, which may also impact our financial condition. Further, any shutdowns, closures or disruptions in the operations of our suppliers caused by COVID-19 outbreaks or federal, state or local mandates to limit the spread of COVID-19 could adversely impact the ability of suppliers to supply us and our franchisees with the products needed to operate our business and negatively impact our business. COVID-19 may also adversely affect our ability to implement our growth plans, including delays in the opening or construction of new restaurants. As this situation is ongoing and the duration and severity of the COVID-19 pandemic, including the severity and transmission rates of COVID-19 variants, resurgences of COVID-19 that may continue to occur, and the availability, distribution and efficacy of COVID-19 vaccine, continues to be uncertain at this time, it is difficult to forecast any long-term impacts on our future operating results or predict when our operations will return to full service. However, if the COVID-19 pandemic continues for a sustained period of time or if conditions worsen, our sales and operating costs may be materially adversely affected, which could </w:t>
      </w:r>
      <w:r>
        <w:rPr>
          <w:rFonts w:ascii="Arial" w:cs="Arial" w:eastAsia="Arial" w:hAnsi="Arial"/>
          <w:sz w:val="11"/>
          <w:szCs w:val="11"/>
          <w:color w:val="424242"/>
        </w:rPr>
        <w:t>impact our asset values, including goodwill, derivative instruments and long-lived assets, as well as our ability to meet certain covenant provisions in our debt</w:t>
      </w:r>
      <w:r>
        <w:rPr>
          <w:rFonts w:ascii="Arial" w:cs="Arial" w:eastAsia="Arial" w:hAnsi="Arial"/>
          <w:sz w:val="11"/>
          <w:szCs w:val="11"/>
          <w:color w:val="212529"/>
        </w:rPr>
        <w:t xml:space="preserve"> </w:t>
      </w:r>
      <w:r>
        <w:rPr>
          <w:rFonts w:ascii="Arial" w:cs="Arial" w:eastAsia="Arial" w:hAnsi="Arial"/>
          <w:sz w:val="11"/>
          <w:szCs w:val="11"/>
          <w:color w:val="424242"/>
        </w:rPr>
        <w:t xml:space="preserve">arrangements in future periods, </w:t>
      </w:r>
      <w:r>
        <w:rPr>
          <w:rFonts w:ascii="Arial" w:cs="Arial" w:eastAsia="Arial" w:hAnsi="Arial"/>
          <w:sz w:val="11"/>
          <w:szCs w:val="11"/>
          <w:color w:val="212529"/>
        </w:rPr>
        <w:t>and have a material adverse effect on our financial results, future operations and liquidity.</w:t>
      </w:r>
    </w:p>
    <w:p>
      <w:pPr>
        <w:spacing w:after="0" w:line="65" w:lineRule="exact"/>
        <w:rPr>
          <w:sz w:val="20"/>
          <w:szCs w:val="20"/>
          <w:color w:val="auto"/>
        </w:rPr>
      </w:pPr>
    </w:p>
    <w:p>
      <w:pPr>
        <w:ind w:left="20" w:right="139"/>
        <w:spacing w:after="0" w:line="281" w:lineRule="auto"/>
        <w:rPr>
          <w:sz w:val="20"/>
          <w:szCs w:val="20"/>
          <w:color w:val="auto"/>
        </w:rPr>
      </w:pPr>
      <w:r>
        <w:rPr>
          <w:rFonts w:ascii="Arial" w:cs="Arial" w:eastAsia="Arial" w:hAnsi="Arial"/>
          <w:sz w:val="11"/>
          <w:szCs w:val="11"/>
          <w:color w:val="212529"/>
        </w:rPr>
        <w:t>Even after the COVID-19 pandemic has subsided, we may continue to experience negative impacts to our financial results due to COVID-19’s global economic impact, including the availability of credit generally, adverse impacts on our liquidity, and/or decreases in consumer discretionary spending that depress demand for our products. The global effects of the pandemic may also contribute to a prolonged economic slowdown or recession. Risks related to the impact of an economic downturn are described in our risk factor titled, “</w:t>
      </w:r>
      <w:r>
        <w:rPr>
          <w:rFonts w:ascii="Arial" w:cs="Arial" w:eastAsia="Arial" w:hAnsi="Arial"/>
          <w:sz w:val="11"/>
          <w:szCs w:val="11"/>
          <w:b w:val="1"/>
          <w:bCs w:val="1"/>
          <w:i w:val="1"/>
          <w:iCs w:val="1"/>
          <w:color w:val="212529"/>
        </w:rPr>
        <w:t>We are</w:t>
      </w:r>
      <w:r>
        <w:rPr>
          <w:rFonts w:ascii="Arial" w:cs="Arial" w:eastAsia="Arial" w:hAnsi="Arial"/>
          <w:sz w:val="11"/>
          <w:szCs w:val="11"/>
          <w:color w:val="212529"/>
        </w:rPr>
        <w:t xml:space="preserve"> </w:t>
      </w:r>
      <w:r>
        <w:rPr>
          <w:rFonts w:ascii="Arial" w:cs="Arial" w:eastAsia="Arial" w:hAnsi="Arial"/>
          <w:sz w:val="11"/>
          <w:szCs w:val="11"/>
          <w:b w:val="1"/>
          <w:bCs w:val="1"/>
          <w:i w:val="1"/>
          <w:iCs w:val="1"/>
          <w:color w:val="212529"/>
        </w:rPr>
        <w:t>vulnerable to changes in economic conditions and consumer preferences</w:t>
      </w:r>
      <w:r>
        <w:rPr>
          <w:rFonts w:ascii="Arial" w:cs="Arial" w:eastAsia="Arial" w:hAnsi="Arial"/>
          <w:sz w:val="11"/>
          <w:szCs w:val="11"/>
          <w:b w:val="1"/>
          <w:bCs w:val="1"/>
          <w:color w:val="212529"/>
        </w:rPr>
        <w:t>”</w:t>
      </w:r>
      <w:r>
        <w:rPr>
          <w:rFonts w:ascii="Arial" w:cs="Arial" w:eastAsia="Arial" w:hAnsi="Arial"/>
          <w:sz w:val="11"/>
          <w:szCs w:val="11"/>
          <w:b w:val="1"/>
          <w:bCs w:val="1"/>
          <w:i w:val="1"/>
          <w:iCs w:val="1"/>
          <w:color w:val="212529"/>
        </w:rPr>
        <w:t xml:space="preserve"> </w:t>
      </w:r>
      <w:r>
        <w:rPr>
          <w:rFonts w:ascii="Arial" w:cs="Arial" w:eastAsia="Arial" w:hAnsi="Arial"/>
          <w:sz w:val="11"/>
          <w:szCs w:val="11"/>
          <w:color w:val="212529"/>
        </w:rPr>
        <w:t>below.</w:t>
      </w:r>
      <w:r>
        <w:rPr>
          <w:rFonts w:ascii="Arial" w:cs="Arial" w:eastAsia="Arial" w:hAnsi="Arial"/>
          <w:sz w:val="11"/>
          <w:szCs w:val="11"/>
          <w:b w:val="1"/>
          <w:bCs w:val="1"/>
          <w:i w:val="1"/>
          <w:iCs w:val="1"/>
          <w:color w:val="212529"/>
        </w:rPr>
        <w:t xml:space="preserve"> </w:t>
      </w:r>
      <w:r>
        <w:rPr>
          <w:rFonts w:ascii="Arial" w:cs="Arial" w:eastAsia="Arial" w:hAnsi="Arial"/>
          <w:sz w:val="11"/>
          <w:szCs w:val="11"/>
          <w:color w:val="000000"/>
        </w:rPr>
        <w:t>In addition, even after the COVID-19 pandemic has subsided, the perceived risk of infection or</w:t>
      </w:r>
      <w:r>
        <w:rPr>
          <w:rFonts w:ascii="Arial" w:cs="Arial" w:eastAsia="Arial" w:hAnsi="Arial"/>
          <w:sz w:val="11"/>
          <w:szCs w:val="11"/>
          <w:b w:val="1"/>
          <w:bCs w:val="1"/>
          <w:i w:val="1"/>
          <w:iCs w:val="1"/>
          <w:color w:val="212529"/>
        </w:rPr>
        <w:t xml:space="preserve"> </w:t>
      </w:r>
      <w:r>
        <w:rPr>
          <w:rFonts w:ascii="Arial" w:cs="Arial" w:eastAsia="Arial" w:hAnsi="Arial"/>
          <w:sz w:val="11"/>
          <w:szCs w:val="11"/>
          <w:color w:val="000000"/>
        </w:rPr>
        <w:t>concern of a resurgence of the COVID-19 outbreak may continue to adversely affect traffic to our restaurants and, in turn, may have a material adverse effect on our business, liquidity, financial condition and results of operations, particularly if there is a recurrence of the COVID-19 virus. We are also subject to all of the foregoing risks in connection with the outbreak of other diseases, epidemics or pandemics, or similar public threats or fear of such events.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We may be unsuccessful in opening new company-operated or franchised restaurants or in establishing new markets, which could adversely affect our growth.</w:t>
      </w:r>
    </w:p>
    <w:p>
      <w:pPr>
        <w:spacing w:after="0" w:line="162"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One of the key means to achieving our growth strategy is and will be through opening new restaurants and operating those restaurants on a profitable basis. We opened one new company-operated restaurant in fiscal 2020 and plan to open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5" w:name="page16"/>
    <w:bookmarkEnd w:id="1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three to five in fiscal 2021. Our franchisees opened three new restaurants in fiscal 2020 and plan to open four to six in fiscal 2021.</w:t>
      </w:r>
    </w:p>
    <w:p>
      <w:pPr>
        <w:spacing w:after="0" w:line="150" w:lineRule="exact"/>
        <w:rPr>
          <w:sz w:val="20"/>
          <w:szCs w:val="20"/>
          <w:color w:val="auto"/>
        </w:rPr>
      </w:pPr>
    </w:p>
    <w:p>
      <w:pPr>
        <w:ind w:left="20" w:right="139"/>
        <w:spacing w:after="0" w:line="283" w:lineRule="auto"/>
        <w:rPr>
          <w:sz w:val="20"/>
          <w:szCs w:val="20"/>
          <w:color w:val="auto"/>
        </w:rPr>
      </w:pPr>
      <w:r>
        <w:rPr>
          <w:rFonts w:ascii="Arial" w:cs="Arial" w:eastAsia="Arial" w:hAnsi="Arial"/>
          <w:sz w:val="11"/>
          <w:szCs w:val="11"/>
          <w:color w:val="auto"/>
        </w:rPr>
        <w:t>The ability to open new restaurants is dependent upon a number of factors, many of which are beyond our control, including our and our franchisees’ abilities to: identify available and suitable restaurant sites; compete for restaurant sites; reach acceptable agreements regarding the lease or purchase of locations; obtain or have available the financing required to acquire and operate a restaurant, including construction and opening costs; respond to unforeseen engineering or environmental problems with leased premises; avoid the impact of inclement weather and natural and man-made disasters; hire, train, and retain the skilled management and other employees necessary to meet staffing needs; obtain, in a timely manner and for an acceptable cost, required licenses, permits, and regulatory approvals; respond effectively to any changes in local, state, and federal law and regulations that adversely affect our and our franchisees’ costs or abilities to open new restaurants; and control construction and equipment cost increases for new restaurants.</w:t>
      </w:r>
    </w:p>
    <w:p>
      <w:pPr>
        <w:spacing w:after="0" w:line="113"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color w:val="auto"/>
        </w:rPr>
        <w:t>If we are unable to successfully manage these risks and open new restaurants or sign new franchisees as anticipated, or if restaurant openings are significantly delayed, we could face increased costs and lower than anticipated sales and earnings in future periods.</w:t>
      </w:r>
    </w:p>
    <w:p>
      <w:pPr>
        <w:spacing w:after="0" w:line="115" w:lineRule="exact"/>
        <w:rPr>
          <w:sz w:val="20"/>
          <w:szCs w:val="20"/>
          <w:color w:val="auto"/>
        </w:rPr>
      </w:pPr>
    </w:p>
    <w:p>
      <w:pPr>
        <w:ind w:left="20" w:right="99"/>
        <w:spacing w:after="0" w:line="283" w:lineRule="auto"/>
        <w:rPr>
          <w:sz w:val="20"/>
          <w:szCs w:val="20"/>
          <w:color w:val="auto"/>
        </w:rPr>
      </w:pPr>
      <w:r>
        <w:rPr>
          <w:rFonts w:ascii="Arial" w:cs="Arial" w:eastAsia="Arial" w:hAnsi="Arial"/>
          <w:sz w:val="11"/>
          <w:szCs w:val="11"/>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and training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13" w:lineRule="exact"/>
        <w:rPr>
          <w:sz w:val="20"/>
          <w:szCs w:val="20"/>
          <w:color w:val="auto"/>
        </w:rPr>
      </w:pPr>
    </w:p>
    <w:p>
      <w:pPr>
        <w:ind w:left="20" w:right="79"/>
        <w:spacing w:after="0" w:line="323" w:lineRule="auto"/>
        <w:rPr>
          <w:sz w:val="20"/>
          <w:szCs w:val="20"/>
          <w:color w:val="auto"/>
        </w:rPr>
      </w:pPr>
      <w:r>
        <w:rPr>
          <w:rFonts w:ascii="Arial" w:cs="Arial" w:eastAsia="Arial" w:hAnsi="Arial"/>
          <w:sz w:val="11"/>
          <w:szCs w:val="11"/>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may not be able to compete successfully, including with other quick-service and fast casual restaurants.</w:t>
      </w:r>
    </w:p>
    <w:p>
      <w:pPr>
        <w:spacing w:after="0" w:line="150" w:lineRule="exact"/>
        <w:rPr>
          <w:sz w:val="20"/>
          <w:szCs w:val="20"/>
          <w:color w:val="auto"/>
        </w:rPr>
      </w:pPr>
    </w:p>
    <w:p>
      <w:pPr>
        <w:ind w:left="20" w:right="79"/>
        <w:spacing w:after="0" w:line="278" w:lineRule="auto"/>
        <w:rPr>
          <w:sz w:val="20"/>
          <w:szCs w:val="20"/>
          <w:color w:val="auto"/>
        </w:rPr>
      </w:pPr>
      <w:r>
        <w:rPr>
          <w:rFonts w:ascii="Arial" w:cs="Arial" w:eastAsia="Arial" w:hAnsi="Arial"/>
          <w:sz w:val="11"/>
          <w:szCs w:val="11"/>
          <w:color w:val="auto"/>
        </w:rPr>
        <w:t>The food service industry, and particularly its QSR and fast casual segments, is intensely competitive. Competition in our industry is primarily based on price, convenience, quality of service, brand recognition, restaurant location, and type and quality of food, and our market position is based on balancing price and quality. These competitive factors are particularly applicable in markets in which we have expanded relatively rapidly and relatively recently, such as Texas. In addition,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If our company-operated and franchised restaurants cannot compete successfully, especially with other QSR and fast casual restaurants, in new and existing markets, we could lose customers and our revenue could decline, which may materially and adversely affect our business, financial condition, and results of operations.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are vulnerable to changes in economic conditions and consumer preferences.</w:t>
      </w:r>
    </w:p>
    <w:p>
      <w:pPr>
        <w:spacing w:after="0" w:line="150" w:lineRule="exact"/>
        <w:rPr>
          <w:sz w:val="20"/>
          <w:szCs w:val="20"/>
          <w:color w:val="auto"/>
        </w:rPr>
      </w:pPr>
    </w:p>
    <w:p>
      <w:pPr>
        <w:ind w:left="20" w:right="459"/>
        <w:spacing w:after="0" w:line="379" w:lineRule="auto"/>
        <w:rPr>
          <w:sz w:val="20"/>
          <w:szCs w:val="20"/>
          <w:color w:val="auto"/>
        </w:rPr>
      </w:pPr>
      <w:r>
        <w:rPr>
          <w:rFonts w:ascii="Arial" w:cs="Arial" w:eastAsia="Arial" w:hAnsi="Arial"/>
          <w:sz w:val="10"/>
          <w:szCs w:val="10"/>
          <w:color w:val="auto"/>
        </w:rPr>
        <w:t>The restaurant industry is dependent upon consumer discretionary spending, which may be affected by a prolonged economic downturn or an economic recession. If the economy experiences another significant decline, our business, results of operations, our ability to access the capital markets and our ability to comply with the terms of our secured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6" w:name="page17"/>
    <w:bookmarkEnd w:id="1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revolving credit facility could be materially and adversely affected, and we and our franchisees might decelerate the number and timing of new restaurant openings.</w:t>
      </w:r>
    </w:p>
    <w:p>
      <w:pPr>
        <w:spacing w:after="0" w:line="150"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Adverse changes affecting consumer preferences, local demographics, an outbreak of disease, epidemic or pandemic, or similar public threat or fear of such an event, regional or local economic conditions affecting consumer spending or increasing food or energy costs could also reduce consumer transactions or impose practical limits on pricing that could harm our business, financial condition, results of operations, and cash flow. Further,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Political and social factors, including regarding trade, immigration or customer preferences, could negatively impact our business.</w:t>
      </w:r>
    </w:p>
    <w:p>
      <w:pPr>
        <w:spacing w:after="0" w:line="150"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Our success is dependent upon continued customer acceptance of our Mexican-inspired food. Increases in tariffs, restrictions on trade, or other deterioration in American political or economic relations with Mexico, or a decrease in American consumers’ interest in Mexican-inspired food, could harm our brand and profitability. Additionally, changes in trade, labor, or immigration policy could raise our input prices, or reduce the supply of immigrants who are in many cases our customers or employees, diminishing our sales and increasing our labor costs.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business could be negatively affected by regional geographic concentrations.</w:t>
      </w:r>
    </w:p>
    <w:p>
      <w:pPr>
        <w:spacing w:after="0" w:line="150" w:lineRule="exact"/>
        <w:rPr>
          <w:sz w:val="20"/>
          <w:szCs w:val="20"/>
          <w:color w:val="auto"/>
        </w:rPr>
      </w:pPr>
    </w:p>
    <w:p>
      <w:pPr>
        <w:ind w:left="20" w:right="319"/>
        <w:spacing w:after="0" w:line="298" w:lineRule="auto"/>
        <w:rPr>
          <w:sz w:val="20"/>
          <w:szCs w:val="20"/>
          <w:color w:val="auto"/>
        </w:rPr>
      </w:pPr>
      <w:r>
        <w:rPr>
          <w:rFonts w:ascii="Arial" w:cs="Arial" w:eastAsia="Arial" w:hAnsi="Arial"/>
          <w:sz w:val="11"/>
          <w:szCs w:val="11"/>
          <w:color w:val="auto"/>
        </w:rPr>
        <w:t>Our company-operated and franchised restaurants in the greater Los Angeles area generated, in the aggregate, approximately 71.3% of our revenue in fiscal 2020 and approximately 70.5% in fiscal 2019. Adverse changes in demographic, unemployment, economic, or regulatory conditions in the greater Los Angeles area or in the State of California, including, enforcement policies for and changes in immigration law, have had and may continue to have material adverse effects on our business.</w:t>
      </w:r>
    </w:p>
    <w:p>
      <w:pPr>
        <w:spacing w:after="0" w:line="105" w:lineRule="exact"/>
        <w:rPr>
          <w:sz w:val="20"/>
          <w:szCs w:val="20"/>
          <w:color w:val="auto"/>
        </w:rPr>
      </w:pPr>
    </w:p>
    <w:p>
      <w:pPr>
        <w:ind w:left="20" w:right="39"/>
        <w:spacing w:after="0" w:line="281" w:lineRule="auto"/>
        <w:rPr>
          <w:sz w:val="20"/>
          <w:szCs w:val="20"/>
          <w:color w:val="auto"/>
        </w:rPr>
      </w:pPr>
      <w:r>
        <w:rPr>
          <w:rFonts w:ascii="Arial" w:cs="Arial" w:eastAsia="Arial" w:hAnsi="Arial"/>
          <w:sz w:val="11"/>
          <w:szCs w:val="11"/>
          <w:color w:val="auto"/>
        </w:rPr>
        <w:t>We also may be negatively affected by weather conditions specific to the Los Angeles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Any other events disrupting businesses, consumer discretionary spending or our employee population in the greater Los Angeles area could also have an outsized negative impact on our business or results of operations. For example, near the end of fiscal 2020, the Los Angeles market was heavily impacted by a spike in COVID-19 cases, which disproportionately impacted our business due to our high concentration in this market. If the Los Angeles market experiences another severe COVID-19 outbreak, we may experience further disruptions to our business that could be material.</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long-term success depends in part on our ability to effectively identify and secure appropriate sites for new restaurants.</w:t>
      </w:r>
    </w:p>
    <w:p>
      <w:pPr>
        <w:spacing w:after="0" w:line="150" w:lineRule="exact"/>
        <w:rPr>
          <w:sz w:val="20"/>
          <w:szCs w:val="20"/>
          <w:color w:val="auto"/>
        </w:rPr>
      </w:pPr>
    </w:p>
    <w:p>
      <w:pPr>
        <w:ind w:left="20" w:right="39"/>
        <w:spacing w:after="0" w:line="254" w:lineRule="auto"/>
        <w:rPr>
          <w:sz w:val="20"/>
          <w:szCs w:val="20"/>
          <w:color w:val="auto"/>
        </w:rPr>
      </w:pPr>
      <w:r>
        <w:rPr>
          <w:rFonts w:ascii="Arial" w:cs="Arial" w:eastAsia="Arial" w:hAnsi="Arial"/>
          <w:sz w:val="12"/>
          <w:szCs w:val="12"/>
          <w:color w:val="auto"/>
        </w:rPr>
        <w:t>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 evaluating size of the site, traffic patterns, local retail, residential and business attractions and infrastructure that will drive high levels of customer traffic and sales; competition in new markets, including competition for restaurant sites; 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 developers and potential landlords obtaining licenses or permits for development projects on a timely basis; proximity of potential restaurant sites to existing restaurants; anticipated commercial,</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7" w:name="page18"/>
    <w:bookmarkEnd w:id="1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residential and infrastructure development near the potential restaurant site; and availability of acceptable lease terms and arrangements, including construction costs.</w:t>
      </w:r>
    </w:p>
    <w:p>
      <w:pPr>
        <w:spacing w:after="0" w:line="150"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which could have a material adverse effect on our business, financial condition and results of operations.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have incurred, and may continue to incur, significant impairment of certain of our assets, in particular in our new markets.</w:t>
      </w:r>
    </w:p>
    <w:p>
      <w:pPr>
        <w:spacing w:after="0" w:line="150" w:lineRule="exact"/>
        <w:rPr>
          <w:sz w:val="20"/>
          <w:szCs w:val="20"/>
          <w:color w:val="auto"/>
        </w:rPr>
      </w:pPr>
    </w:p>
    <w:p>
      <w:pPr>
        <w:ind w:left="20" w:right="139"/>
        <w:spacing w:after="0" w:line="281" w:lineRule="auto"/>
        <w:rPr>
          <w:sz w:val="20"/>
          <w:szCs w:val="20"/>
          <w:color w:val="auto"/>
        </w:rPr>
      </w:pPr>
      <w:r>
        <w:rPr>
          <w:rFonts w:ascii="Arial" w:cs="Arial" w:eastAsia="Arial" w:hAnsi="Arial"/>
          <w:sz w:val="11"/>
          <w:szCs w:val="11"/>
          <w:color w:val="auto"/>
        </w:rPr>
        <w:t>The recognition of impairment charges may adversely affect our future operations and results. In assessing the recoverability of our long-lived assets, we consider changes in economic conditions and make assumptions regarding estimated future cash flows and other factors.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 Given the difficulty in projecting results for newer restaurants in newer markets, as well as the impact of the COVID-19 pandemic, we monitor the recoverability of the carrying value of the assets of several restaurants on an ongoing basis.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Changes in food and supply costs, especially for chicken, could adversely affect our business, financial condition, and results of operations.</w:t>
      </w:r>
    </w:p>
    <w:p>
      <w:pPr>
        <w:spacing w:after="0" w:line="150" w:lineRule="exact"/>
        <w:rPr>
          <w:sz w:val="20"/>
          <w:szCs w:val="20"/>
          <w:color w:val="auto"/>
        </w:rPr>
      </w:pPr>
    </w:p>
    <w:p>
      <w:pPr>
        <w:ind w:left="20" w:right="79"/>
        <w:spacing w:after="0" w:line="278" w:lineRule="auto"/>
        <w:rPr>
          <w:sz w:val="20"/>
          <w:szCs w:val="20"/>
          <w:color w:val="auto"/>
        </w:rPr>
      </w:pPr>
      <w:r>
        <w:rPr>
          <w:rFonts w:ascii="Arial" w:cs="Arial" w:eastAsia="Arial" w:hAnsi="Arial"/>
          <w:sz w:val="11"/>
          <w:szCs w:val="11"/>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shortages, food safety concerns, infectious diseases, fluctuations in the U.S. dollar, product recalls, and government regulations, including tariffs and other import restrictions on foreign produce and other goods. Environmental and weather-related issues, such as freezes, drought and climate change, may also lead to increases, temporary or permanent, or spikes in the prices of some ingredients, such as produce and meat. Any increase in the prices of the ingredients most critical to our menu, in particular chicken, as well as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Additionally, as a substantial volume of produce and other items are procured from Mexico, and occasionally other countries including Chile and Peru, any new or increased import duties, tariffs or taxes, or other changes in U.S. trade or tax policy could result in higher food and supply costs that would adversely impact our financial results. Any such changes to our menu prices or available menu could negatively impact our restaurant transactions, business, and comparable restaurant sales during the shortage and thereafter.</w:t>
      </w:r>
    </w:p>
    <w:p>
      <w:pPr>
        <w:spacing w:after="0" w:line="119" w:lineRule="exact"/>
        <w:rPr>
          <w:sz w:val="20"/>
          <w:szCs w:val="20"/>
          <w:color w:val="auto"/>
        </w:rPr>
      </w:pPr>
    </w:p>
    <w:p>
      <w:pPr>
        <w:ind w:left="20" w:right="39"/>
        <w:spacing w:after="0" w:line="280" w:lineRule="auto"/>
        <w:rPr>
          <w:sz w:val="20"/>
          <w:szCs w:val="20"/>
          <w:color w:val="auto"/>
        </w:rPr>
      </w:pPr>
      <w:r>
        <w:rPr>
          <w:rFonts w:ascii="Arial" w:cs="Arial" w:eastAsia="Arial" w:hAnsi="Arial"/>
          <w:sz w:val="11"/>
          <w:szCs w:val="11"/>
          <w:color w:val="auto"/>
        </w:rPr>
        <w:t>Our principal food product is chicken. In fiscal 2020, 2019, and 2018, the cost of chicken included in our product cost was approximately 10.5%, 10.9%, and 11.0%,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8" w:name="page19"/>
    <w:bookmarkEnd w:id="1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Social media and negative publicity could have a material adverse impact on our business.</w:t>
      </w:r>
    </w:p>
    <w:p>
      <w:pPr>
        <w:spacing w:after="0" w:line="150"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Negative publicity at one or more of our restaurants relating to food safety, sanitation, employee relationships or other matters 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due to policy changes we may implement as a result.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113"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Adverse information concerning our restaurants or brand, whether accurate or inaccurate, may also be posted on social media platforms at any time and can quickly reach a wide audience. The resulting harm to our reputation may be immediate, without affording us an opportunity to correct or otherwise respond to the information, and it is challenging to monitor and anticipate developments on social media in order to respond in an effective and timely manner. As a result, social media may exacerbate the risks we face related to negative publicity.</w:t>
      </w:r>
    </w:p>
    <w:p>
      <w:pPr>
        <w:spacing w:after="0" w:line="124"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In addition, many of our competitors are expanding their use of social media and the social media landscape is rapidly evolving, potentially making more traditional social media platforms obsolete. As a result, we need to continuously innovate and develop our social media strategies in order to maintain broad appeal with guests and brand relevance, and we may not do so effectively. 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ability to continue to expand our digital business, delivery orders and catering is uncertain, and these new business lines are subject to risks.</w:t>
      </w:r>
    </w:p>
    <w:p>
      <w:pPr>
        <w:spacing w:after="0" w:line="150"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We rely on third-party providers to fulfill delivery orders, and the ordering and payment platforms used by these third parties, or our mobile app or online ordering system, could be damaged or interrupted by technological failures, user errors, cyber-attacks or other factors, which may adversely impact our sales through these channels and could negatively impact our brand. Additionally, our delivery partners are responsible for order fulfillment and may make errors or fail to make timely deliveries, leading to customer disappointment that may negatively impact our brand. We also incur additional costs associated with using third-party service providers to fulfil these digital orders. Moreover,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 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pacing w:after="0" w:line="119" w:lineRule="exact"/>
        <w:rPr>
          <w:sz w:val="20"/>
          <w:szCs w:val="20"/>
          <w:color w:val="auto"/>
        </w:rPr>
      </w:pPr>
    </w:p>
    <w:p>
      <w:pPr>
        <w:ind w:left="20" w:right="119"/>
        <w:spacing w:after="0" w:line="259" w:lineRule="auto"/>
        <w:rPr>
          <w:sz w:val="20"/>
          <w:szCs w:val="20"/>
          <w:color w:val="auto"/>
        </w:rPr>
      </w:pPr>
      <w:r>
        <w:rPr>
          <w:rFonts w:ascii="Arial" w:cs="Arial" w:eastAsia="Arial" w:hAnsi="Arial"/>
          <w:sz w:val="12"/>
          <w:szCs w:val="12"/>
          <w:color w:val="auto"/>
        </w:rPr>
        <w:t>Because all of these offerings are relatively new, it is difficult for us to anticipate the level of sales they may generate. That may result in operational challenges, both in fulfilling orders made through these channels and in operating our restaurants as we balance fulfillment of these orders with service of our traditional in-restaurant guests as well.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Food-borne illness and other food safety and quality concerns may negatively impact our business and profitability.</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Incidents or reports of food- or water-borne illness or other food safety issues, food contamination or tampering, employee hygiene or cleanliness failures, or improper employee conduct at our restaurants could lead to product liability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9" w:name="page20"/>
    <w:bookmarkEnd w:id="1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or other claims. Such incidents or reports could negatively affect our brand and reputation as well as our business, revenues, and profits.</w:t>
      </w:r>
    </w:p>
    <w:p>
      <w:pPr>
        <w:spacing w:after="0" w:line="150"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w:t>
      </w:r>
    </w:p>
    <w:p>
      <w:pPr>
        <w:spacing w:after="0" w:line="128"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Additionally, even if food or water-borne illnesses or other food safety issues or incidents were not identified at El Pollo Loco restaurants, our restaurant sales could be adversely affected, both financially and otherwise, if instances of similar incidents or reports at other QSRs or restaurant chains were highly publicized. In addition, our restaurant sales could be adversely affected by publicity regarding other high-profile illnesses such as avian flu that customers may associate with our food products.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Failure to receive timely deliveries of food or other supplies could result in a loss of revenue and materially and adversely impact our operations.</w:t>
      </w:r>
    </w:p>
    <w:p>
      <w:pPr>
        <w:spacing w:after="0" w:line="150" w:lineRule="exact"/>
        <w:rPr>
          <w:sz w:val="20"/>
          <w:szCs w:val="20"/>
          <w:color w:val="auto"/>
        </w:rPr>
      </w:pPr>
    </w:p>
    <w:p>
      <w:pPr>
        <w:ind w:left="20" w:right="79"/>
        <w:spacing w:after="0" w:line="278" w:lineRule="auto"/>
        <w:rPr>
          <w:sz w:val="20"/>
          <w:szCs w:val="20"/>
          <w:color w:val="auto"/>
        </w:rPr>
      </w:pPr>
      <w:r>
        <w:rPr>
          <w:rFonts w:ascii="Arial" w:cs="Arial" w:eastAsia="Arial" w:hAnsi="Arial"/>
          <w:sz w:val="11"/>
          <w:szCs w:val="11"/>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including as a result of the COVID-19 pandemic and restrictions implemented to counter its spread,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Our level of indebtedness, and restrictions under our credit facility, could materially and adversely affect our business, financial condition, and results of operations.</w:t>
      </w:r>
    </w:p>
    <w:p>
      <w:pPr>
        <w:spacing w:after="0" w:line="162" w:lineRule="exact"/>
        <w:rPr>
          <w:sz w:val="20"/>
          <w:szCs w:val="20"/>
          <w:color w:val="auto"/>
        </w:rPr>
      </w:pPr>
    </w:p>
    <w:p>
      <w:pPr>
        <w:ind w:left="20" w:right="119"/>
        <w:spacing w:after="0" w:line="283" w:lineRule="auto"/>
        <w:rPr>
          <w:sz w:val="20"/>
          <w:szCs w:val="20"/>
          <w:color w:val="auto"/>
        </w:rPr>
      </w:pPr>
      <w:r>
        <w:rPr>
          <w:rFonts w:ascii="Arial" w:cs="Arial" w:eastAsia="Arial" w:hAnsi="Arial"/>
          <w:sz w:val="11"/>
          <w:szCs w:val="11"/>
          <w:color w:val="auto"/>
        </w:rPr>
        <w:t>Our level of indebtedness could have significant effects on our business, such as: limiting our ability to borrow additional amounts to fund working capital, capital expenditures, acquisitions, debt service requirements, execution of our growth strategy, and other purposes; requiring us to dedicate a portion of our cash flow from operations to pay interest on our debt, which could reduce availability of our cash flow to fund working capital, capital expenditures, acquisitions, execution of our growth strategy, and other general corporate purposes; making us more vulnerable to adverse changes in general economic, industry, government regulatory, and competitive conditions in our business by limiting our ability to plan for and react to changing conditions; placing us at a competitive disadvantage compared with our competitors with less debt; and exposing us to risks inherent in interest rate fluctuations, because our borrowings are at variable rates of interest, which could result in higher interest expense in the event of increases in interest rates.</w:t>
      </w:r>
    </w:p>
    <w:p>
      <w:pPr>
        <w:spacing w:after="0" w:line="113"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0" w:name="page21"/>
    <w:bookmarkEnd w:id="2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Our secured revolving credit facility contains a number of covenants that, among other things, restrict, subject to certain exceptions, our ability to (i) incur additional indebtedness,</w:t>
      </w:r>
    </w:p>
    <w:p>
      <w:pPr>
        <w:spacing w:after="0" w:line="26" w:lineRule="exact"/>
        <w:rPr>
          <w:sz w:val="20"/>
          <w:szCs w:val="20"/>
          <w:color w:val="auto"/>
        </w:rPr>
      </w:pPr>
    </w:p>
    <w:p>
      <w:pPr>
        <w:ind w:left="200" w:hanging="178"/>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issue preferred stock, (iii) create liens on assets, (iv) engage in mergers or consolidations, (v) sell assets, (vi) make investments, loans, or advances, (vii) make certain acquisitions,</w:t>
      </w:r>
    </w:p>
    <w:p>
      <w:pPr>
        <w:spacing w:after="0" w:line="17" w:lineRule="exact"/>
        <w:rPr>
          <w:rFonts w:ascii="Arial" w:cs="Arial" w:eastAsia="Arial" w:hAnsi="Arial"/>
          <w:sz w:val="11"/>
          <w:szCs w:val="11"/>
          <w:color w:val="auto"/>
        </w:rPr>
      </w:pPr>
    </w:p>
    <w:p>
      <w:pPr>
        <w:ind w:left="20" w:right="79" w:firstLine="2"/>
        <w:spacing w:after="0" w:line="320" w:lineRule="auto"/>
        <w:tabs>
          <w:tab w:leader="none" w:pos="290" w:val="left"/>
        </w:tabs>
        <w:numPr>
          <w:ilvl w:val="0"/>
          <w:numId w:val="6"/>
        </w:numPr>
        <w:rPr>
          <w:rFonts w:ascii="Arial" w:cs="Arial" w:eastAsia="Arial" w:hAnsi="Arial"/>
          <w:sz w:val="10"/>
          <w:szCs w:val="10"/>
          <w:color w:val="auto"/>
        </w:rPr>
      </w:pPr>
      <w:r>
        <w:rPr>
          <w:rFonts w:ascii="Arial" w:cs="Arial" w:eastAsia="Arial" w:hAnsi="Arial"/>
          <w:sz w:val="10"/>
          <w:szCs w:val="10"/>
          <w:color w:val="auto"/>
        </w:rPr>
        <w:t>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98" w:lineRule="exact"/>
        <w:rPr>
          <w:sz w:val="20"/>
          <w:szCs w:val="20"/>
          <w:color w:val="auto"/>
        </w:rPr>
      </w:pPr>
    </w:p>
    <w:p>
      <w:pPr>
        <w:ind w:left="20" w:right="159"/>
        <w:spacing w:after="0" w:line="255" w:lineRule="auto"/>
        <w:rPr>
          <w:sz w:val="20"/>
          <w:szCs w:val="20"/>
          <w:color w:val="auto"/>
        </w:rPr>
      </w:pPr>
      <w:r>
        <w:rPr>
          <w:rFonts w:ascii="Arial" w:cs="Arial" w:eastAsia="Arial" w:hAnsi="Arial"/>
          <w:sz w:val="12"/>
          <w:szCs w:val="12"/>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0"/>
          <w:szCs w:val="10"/>
          <w:b w:val="1"/>
          <w:bCs w:val="1"/>
          <w:i w:val="1"/>
          <w:iCs w:val="1"/>
          <w:color w:val="auto"/>
        </w:rPr>
        <w:t>Our marketing programs may not be successful, and our new menu items, advertising campaigns, and restaurant designs and remodels may not generate increased sales or profits.</w:t>
      </w:r>
    </w:p>
    <w:p>
      <w:pPr>
        <w:spacing w:after="0" w:line="173" w:lineRule="exact"/>
        <w:rPr>
          <w:sz w:val="20"/>
          <w:szCs w:val="20"/>
          <w:color w:val="auto"/>
        </w:rPr>
      </w:pPr>
    </w:p>
    <w:p>
      <w:pPr>
        <w:ind w:left="20" w:right="319"/>
        <w:spacing w:after="0" w:line="306" w:lineRule="auto"/>
        <w:rPr>
          <w:sz w:val="20"/>
          <w:szCs w:val="20"/>
          <w:color w:val="auto"/>
        </w:rPr>
      </w:pPr>
      <w:r>
        <w:rPr>
          <w:rFonts w:ascii="Arial" w:cs="Arial" w:eastAsia="Arial" w:hAnsi="Arial"/>
          <w:sz w:val="10"/>
          <w:szCs w:val="10"/>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w:t>
      </w:r>
    </w:p>
    <w:p>
      <w:pPr>
        <w:spacing w:after="0" w:line="1" w:lineRule="exact"/>
        <w:rPr>
          <w:sz w:val="20"/>
          <w:szCs w:val="20"/>
          <w:color w:val="auto"/>
        </w:rPr>
      </w:pPr>
    </w:p>
    <w:p>
      <w:pPr>
        <w:ind w:left="20" w:right="79"/>
        <w:spacing w:after="0" w:line="253" w:lineRule="auto"/>
        <w:rPr>
          <w:sz w:val="20"/>
          <w:szCs w:val="20"/>
          <w:color w:val="auto"/>
        </w:rPr>
      </w:pPr>
      <w:r>
        <w:rPr>
          <w:rFonts w:ascii="Arial" w:cs="Arial" w:eastAsia="Arial" w:hAnsi="Arial"/>
          <w:sz w:val="12"/>
          <w:szCs w:val="12"/>
          <w:color w:val="auto"/>
        </w:rPr>
        <w:t>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The challenging economic environment may affect our franchisees, with adverse consequences to us.</w:t>
      </w:r>
    </w:p>
    <w:p>
      <w:pPr>
        <w:spacing w:after="0" w:line="150" w:lineRule="exact"/>
        <w:rPr>
          <w:sz w:val="20"/>
          <w:szCs w:val="20"/>
          <w:color w:val="auto"/>
        </w:rPr>
      </w:pPr>
    </w:p>
    <w:p>
      <w:pPr>
        <w:ind w:left="20" w:right="139"/>
        <w:spacing w:after="0" w:line="281" w:lineRule="auto"/>
        <w:rPr>
          <w:sz w:val="20"/>
          <w:szCs w:val="20"/>
          <w:color w:val="auto"/>
        </w:rPr>
      </w:pPr>
      <w:r>
        <w:rPr>
          <w:rFonts w:ascii="Arial" w:cs="Arial" w:eastAsia="Arial" w:hAnsi="Arial"/>
          <w:sz w:val="11"/>
          <w:szCs w:val="11"/>
          <w:color w:val="auto"/>
        </w:rPr>
        <w:t>Due to the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 (iii) contributions to our advertising funds, and</w:t>
      </w:r>
    </w:p>
    <w:p>
      <w:pPr>
        <w:spacing w:after="0" w:line="1" w:lineRule="exact"/>
        <w:rPr>
          <w:sz w:val="20"/>
          <w:szCs w:val="20"/>
          <w:color w:val="auto"/>
        </w:rPr>
      </w:pPr>
    </w:p>
    <w:p>
      <w:pPr>
        <w:ind w:left="20" w:right="59" w:firstLine="2"/>
        <w:spacing w:after="0" w:line="306" w:lineRule="auto"/>
        <w:tabs>
          <w:tab w:leader="none" w:pos="223" w:val="left"/>
        </w:tabs>
        <w:numPr>
          <w:ilvl w:val="0"/>
          <w:numId w:val="7"/>
        </w:numPr>
        <w:rPr>
          <w:rFonts w:ascii="Arial" w:cs="Arial" w:eastAsia="Arial" w:hAnsi="Arial"/>
          <w:sz w:val="11"/>
          <w:szCs w:val="11"/>
          <w:color w:val="auto"/>
        </w:rPr>
      </w:pPr>
      <w:r>
        <w:rPr>
          <w:rFonts w:ascii="Arial" w:cs="Arial" w:eastAsia="Arial" w:hAnsi="Arial"/>
          <w:sz w:val="11"/>
          <w:szCs w:val="11"/>
          <w:color w:val="auto"/>
        </w:rPr>
        <w:t>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01" w:lineRule="exact"/>
        <w:rPr>
          <w:sz w:val="20"/>
          <w:szCs w:val="20"/>
          <w:color w:val="auto"/>
        </w:rPr>
      </w:pPr>
    </w:p>
    <w:p>
      <w:pPr>
        <w:ind w:left="20" w:right="39"/>
        <w:spacing w:after="0" w:line="313" w:lineRule="auto"/>
        <w:rPr>
          <w:sz w:val="20"/>
          <w:szCs w:val="20"/>
          <w:color w:val="auto"/>
        </w:rPr>
      </w:pPr>
      <w:r>
        <w:rPr>
          <w:rFonts w:ascii="Arial" w:cs="Arial" w:eastAsia="Arial" w:hAnsi="Arial"/>
          <w:sz w:val="10"/>
          <w:szCs w:val="10"/>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especially where state franchise laws may limit our ability to terminate or modify these franchise arrangements, we will be financially obligated under a master lease and could be materially and adversely</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1" w:name="page22"/>
    <w:bookmarkEnd w:id="2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59"/>
        <w:spacing w:after="0" w:line="276" w:lineRule="auto"/>
        <w:rPr>
          <w:sz w:val="20"/>
          <w:szCs w:val="20"/>
          <w:color w:val="auto"/>
        </w:rPr>
      </w:pPr>
      <w:r>
        <w:rPr>
          <w:rFonts w:ascii="Arial" w:cs="Arial" w:eastAsia="Arial" w:hAnsi="Arial"/>
          <w:sz w:val="12"/>
          <w:szCs w:val="12"/>
          <w:color w:val="auto"/>
        </w:rPr>
        <w:t>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have limited control with respect to the operations of our franchisees, which could have a negative impact on our business.</w:t>
      </w:r>
    </w:p>
    <w:p>
      <w:pPr>
        <w:spacing w:after="0" w:line="150"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our relations with existing or potential franchisees deteriorate, restaurant performance and our development pipeline could suffer.</w:t>
      </w:r>
    </w:p>
    <w:p>
      <w:pPr>
        <w:spacing w:after="0" w:line="150" w:lineRule="exact"/>
        <w:rPr>
          <w:sz w:val="20"/>
          <w:szCs w:val="20"/>
          <w:color w:val="auto"/>
        </w:rPr>
      </w:pPr>
    </w:p>
    <w:p>
      <w:pPr>
        <w:ind w:left="20" w:right="139"/>
        <w:spacing w:after="0" w:line="279" w:lineRule="auto"/>
        <w:rPr>
          <w:sz w:val="20"/>
          <w:szCs w:val="20"/>
          <w:color w:val="auto"/>
        </w:rPr>
      </w:pPr>
      <w:r>
        <w:rPr>
          <w:rFonts w:ascii="Arial" w:cs="Arial" w:eastAsia="Arial" w:hAnsi="Arial"/>
          <w:sz w:val="11"/>
          <w:szCs w:val="11"/>
          <w:color w:val="auto"/>
        </w:rPr>
        <w:t>Our growth depends on maintaining amicable relations with our franchisees, including their participation in and adherence to our restaurant operating guidelines. Because our ability to control our franchisees is limited, disagreement may lead to inaction by our franchisees with respect to our initiatives, or even disputes with our franchisees, in court, arbitration or otherwise, including disputes related to an actual or alleged violation of contractual, statutory or common law obligations. Such disputes occur from time to time as we continue to offer franchises due to our size and the general nature of the franchisor-franchisee relationship. Unfavorable judgments, awards or settlements relating to franchisee disputes could result in monetary or injunctive relief against us, including the voiding of non-compete, territorial exclusivity, or other development-related provisions upon which we rely to protect our brand, that could have a material adverse effect on our business and results of operations. Disputes with franchisees also divert the attention, time, and financial resources of our management and our franchisees from our restaurants, which could have a material adverse effect on our (and our franchisees’) business, financial condition, results of operations, and cash flows, as well 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self-insurance programs may expose us to significant and unexpected costs and losses.</w:t>
      </w:r>
    </w:p>
    <w:p>
      <w:pPr>
        <w:spacing w:after="0" w:line="150"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We currently maintain employee health insurance coverage on a self-insured basis. We do maintain stop loss coverage which sets a limit on our liability for both individual and aggregate claim costs.</w:t>
      </w:r>
    </w:p>
    <w:p>
      <w:pPr>
        <w:spacing w:after="0" w:line="115" w:lineRule="exact"/>
        <w:rPr>
          <w:sz w:val="20"/>
          <w:szCs w:val="20"/>
          <w:color w:val="auto"/>
        </w:rPr>
      </w:pPr>
    </w:p>
    <w:p>
      <w:pPr>
        <w:ind w:left="20" w:right="39"/>
        <w:spacing w:after="0" w:line="316" w:lineRule="auto"/>
        <w:rPr>
          <w:sz w:val="20"/>
          <w:szCs w:val="20"/>
          <w:color w:val="auto"/>
        </w:rPr>
      </w:pPr>
      <w:r>
        <w:rPr>
          <w:rFonts w:ascii="Arial" w:cs="Arial" w:eastAsia="Arial" w:hAnsi="Arial"/>
          <w:sz w:val="10"/>
          <w:szCs w:val="10"/>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are locked into long-term and non-cancelable leases, and may be unable to renew leases at the ends of their terms.</w:t>
      </w:r>
    </w:p>
    <w:p>
      <w:pPr>
        <w:spacing w:after="0" w:line="150"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Many of our restaurant leases are non-cancelable and typically have initial terms of up to 20 years and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2" w:name="page23"/>
    <w:bookmarkEnd w:id="2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59"/>
        <w:spacing w:after="0" w:line="276" w:lineRule="auto"/>
        <w:rPr>
          <w:sz w:val="20"/>
          <w:szCs w:val="20"/>
          <w:color w:val="auto"/>
        </w:rPr>
      </w:pPr>
      <w:r>
        <w:rPr>
          <w:rFonts w:ascii="Arial" w:cs="Arial" w:eastAsia="Arial" w:hAnsi="Arial"/>
          <w:sz w:val="12"/>
          <w:szCs w:val="12"/>
          <w:color w:val="auto"/>
        </w:rPr>
        <w:t>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Information Technology and Data Security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Information technology system failures or breaches of our network security could interrupt our operations and adversely affect our business.</w:t>
      </w:r>
    </w:p>
    <w:p>
      <w:pPr>
        <w:spacing w:after="0" w:line="150" w:lineRule="exact"/>
        <w:rPr>
          <w:sz w:val="20"/>
          <w:szCs w:val="20"/>
          <w:color w:val="auto"/>
        </w:rPr>
      </w:pPr>
    </w:p>
    <w:p>
      <w:pPr>
        <w:ind w:left="20" w:right="59"/>
        <w:spacing w:after="0" w:line="277" w:lineRule="auto"/>
        <w:rPr>
          <w:sz w:val="20"/>
          <w:szCs w:val="20"/>
          <w:color w:val="auto"/>
        </w:rPr>
      </w:pPr>
      <w:r>
        <w:rPr>
          <w:rFonts w:ascii="Arial" w:cs="Arial" w:eastAsia="Arial" w:hAnsi="Arial"/>
          <w:sz w:val="11"/>
          <w:szCs w:val="11"/>
          <w:color w:val="auto"/>
        </w:rPr>
        <w:t>From time to time, we experience security breaches of our networks and systems. These security breaches may include those caused by physical or electronic break-ins, computer viruses, malware, worms, attacks by hackers or foreign governments, disruptions from unauthorized access and tampering, including through social engineering such as phishing attacks, coordinated denial-of-service attacks and similar breaches, could result in, among other things, system disruptions, shutdowns, unauthorized access to or disclosure of confidential information, misappropriation of our or our customers’ proprietary or confidential information, breach of our legal, regulatory or contractual obligations, inability to access or rely upon critical business records or systems or other delays in our operations. In some cases, it may be difficult to anticipate or immediately detect such incidents and the damage they cause. We may be required to expend significant financial resources to protect against or to remediate such security breaches. In addition, our operations depend upon our ability to protect our computer equipment and systems against damage from physical theft, fire, power loss, telecommunications failure, and other catastrophic events and disruptive problems. Any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If we are unable to protect our customers’ payment method data or personal information, we could be exposed to data loss, litigation, liability, and reputational damage.</w:t>
      </w:r>
    </w:p>
    <w:p>
      <w:pPr>
        <w:spacing w:after="0" w:line="162"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We collect and retain internal and customer data, including personally identifiable information of our employees and customers. It is possible that measures we have taken to prevent the occurrence of security breaches may not be adequate and we may in the future become subject to claims or proceedings for purportedly fraudulent transactions arising out of the actual or alleged theft of credit/debit card information. Any such claims or proceedings could distract our management team members from running our business, adversely affect our reputation, and cause us to incur significant unplanned losses and expenses.</w:t>
      </w:r>
    </w:p>
    <w:p>
      <w:pPr>
        <w:spacing w:after="0" w:line="124" w:lineRule="exact"/>
        <w:rPr>
          <w:sz w:val="20"/>
          <w:szCs w:val="20"/>
          <w:color w:val="auto"/>
        </w:rPr>
      </w:pPr>
    </w:p>
    <w:p>
      <w:pPr>
        <w:ind w:left="20" w:right="79"/>
        <w:spacing w:after="0" w:line="254" w:lineRule="auto"/>
        <w:rPr>
          <w:sz w:val="20"/>
          <w:szCs w:val="20"/>
          <w:color w:val="auto"/>
        </w:rPr>
      </w:pPr>
      <w:r>
        <w:rPr>
          <w:rFonts w:ascii="Arial" w:cs="Arial" w:eastAsia="Arial" w:hAnsi="Arial"/>
          <w:sz w:val="12"/>
          <w:szCs w:val="12"/>
          <w:color w:val="auto"/>
        </w:rPr>
        <w:t>We are also subject to federal and state laws regulating the collection and use of personal information of our employees and customers, including the California Consumer Privacy Act (“CCPA”), which took effect January 1, 2020. In addition, our ability to accept credit/debit cards as payment in our restaurants and online depends on us maintaining our compliance status with standards set by the PCI Security Standards Council, which require certain levels of system security and procedures to protect our customers’ credit/debit card information as well as other personal information. Compliance with these standards and regulations may impose significant costs on us. Further, while we have implemented policies and procedures to ensure compliance with the CCPA, the California Attorney General has not yet finalized his regulations for the CCPA and the manner in which the California Attorney General may interpret and enforce the CCPA is uncertain. Noncompliance with the CCPA and other privacy laws could result in injunctions, fines and/or proceedings against us by governmental agencies or others. There could also be uncertainty surrounding compliance with privacy laws in other jurisdictions such as state-specific laws which may conflict with existing legislation or future laws and regulations.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3" w:name="page24"/>
    <w:bookmarkEnd w:id="2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115"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The success of our business strategy depends on our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In addition, the laws of some foreign countries do not protect intellectual property rights to the same extent as do the laws of the United States. Any litigation to enforce our intellectual property rights will likely be costly and may not be successful.</w:t>
      </w:r>
    </w:p>
    <w:p>
      <w:pPr>
        <w:spacing w:after="0" w:line="128"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13" w:lineRule="exact"/>
        <w:rPr>
          <w:sz w:val="20"/>
          <w:szCs w:val="20"/>
          <w:color w:val="auto"/>
        </w:rPr>
      </w:pPr>
    </w:p>
    <w:p>
      <w:pPr>
        <w:ind w:left="20" w:right="139"/>
        <w:spacing w:after="0" w:line="298" w:lineRule="auto"/>
        <w:rPr>
          <w:sz w:val="20"/>
          <w:szCs w:val="20"/>
          <w:color w:val="auto"/>
        </w:rPr>
      </w:pPr>
      <w:r>
        <w:rPr>
          <w:rFonts w:ascii="Arial" w:cs="Arial" w:eastAsia="Arial" w:hAnsi="Arial"/>
          <w:sz w:val="11"/>
          <w:szCs w:val="11"/>
          <w:color w:val="auto"/>
        </w:rPr>
        <w:t>In addition,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Government Regulation and Litigation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Matters relating to employment and labor law may adversely affect our business.</w:t>
      </w:r>
    </w:p>
    <w:p>
      <w:pPr>
        <w:spacing w:after="0" w:line="150" w:lineRule="exact"/>
        <w:rPr>
          <w:sz w:val="20"/>
          <w:szCs w:val="20"/>
          <w:color w:val="auto"/>
        </w:rPr>
      </w:pPr>
    </w:p>
    <w:p>
      <w:pPr>
        <w:ind w:left="20" w:right="99"/>
        <w:spacing w:after="0" w:line="256" w:lineRule="auto"/>
        <w:rPr>
          <w:sz w:val="20"/>
          <w:szCs w:val="20"/>
          <w:color w:val="auto"/>
        </w:rPr>
      </w:pPr>
      <w:r>
        <w:rPr>
          <w:rFonts w:ascii="Arial" w:cs="Arial" w:eastAsia="Arial" w:hAnsi="Arial"/>
          <w:sz w:val="12"/>
          <w:szCs w:val="12"/>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28" w:lineRule="exact"/>
        <w:rPr>
          <w:sz w:val="20"/>
          <w:szCs w:val="20"/>
          <w:color w:val="auto"/>
        </w:rPr>
      </w:pPr>
    </w:p>
    <w:p>
      <w:pPr>
        <w:ind w:left="20" w:right="39"/>
        <w:spacing w:after="0" w:line="256" w:lineRule="auto"/>
        <w:rPr>
          <w:sz w:val="20"/>
          <w:szCs w:val="20"/>
          <w:color w:val="auto"/>
        </w:rPr>
      </w:pPr>
      <w:r>
        <w:rPr>
          <w:rFonts w:ascii="Arial" w:cs="Arial" w:eastAsia="Arial" w:hAnsi="Arial"/>
          <w:sz w:val="12"/>
          <w:szCs w:val="12"/>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We are from time to time the target of class action lawsuits and other claims proceedings, which could adversely affect our business and results of operations.</w:t>
      </w:r>
    </w:p>
    <w:p>
      <w:pPr>
        <w:spacing w:after="0" w:line="162" w:lineRule="exact"/>
        <w:rPr>
          <w:sz w:val="20"/>
          <w:szCs w:val="20"/>
          <w:color w:val="auto"/>
        </w:rPr>
      </w:pPr>
    </w:p>
    <w:p>
      <w:pPr>
        <w:jc w:val="both"/>
        <w:ind w:left="20" w:right="99"/>
        <w:spacing w:after="0" w:line="320" w:lineRule="auto"/>
        <w:rPr>
          <w:sz w:val="20"/>
          <w:szCs w:val="20"/>
          <w:color w:val="auto"/>
        </w:rPr>
      </w:pPr>
      <w:r>
        <w:rPr>
          <w:rFonts w:ascii="Arial" w:cs="Arial" w:eastAsia="Arial" w:hAnsi="Arial"/>
          <w:sz w:val="10"/>
          <w:szCs w:val="10"/>
          <w:color w:val="auto"/>
        </w:rPr>
        <w:t>Our business is subject to the risk of litigation by employees, customers, suppliers, stockholders, and others through private actions, class actions, administrative proceedings, regulatory actions, and other litigation, including actions regarding workplace and employment conditions, discrimination, and similar matters, and we are currently a party to wage and hour class action lawsuits. See additional information presented in Note 13 “Commitments and Contingencies—Legal Matters” in the accompanying “Notes to Consolidated Financial Statements” in this Annual Report. 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4" w:name="page25"/>
    <w:bookmarkEnd w:id="2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99"/>
        <w:spacing w:after="0" w:line="298" w:lineRule="auto"/>
        <w:rPr>
          <w:sz w:val="20"/>
          <w:szCs w:val="20"/>
          <w:color w:val="auto"/>
        </w:rPr>
      </w:pPr>
      <w:r>
        <w:rPr>
          <w:rFonts w:ascii="Arial" w:cs="Arial" w:eastAsia="Arial" w:hAnsi="Arial"/>
          <w:sz w:val="11"/>
          <w:szCs w:val="11"/>
          <w:color w:val="auto"/>
        </w:rPr>
        <w:t>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05" w:lineRule="exact"/>
        <w:rPr>
          <w:sz w:val="20"/>
          <w:szCs w:val="20"/>
          <w:color w:val="auto"/>
        </w:rPr>
      </w:pPr>
    </w:p>
    <w:p>
      <w:pPr>
        <w:jc w:val="both"/>
        <w:ind w:left="20" w:right="39"/>
        <w:spacing w:after="0" w:line="259" w:lineRule="auto"/>
        <w:rPr>
          <w:sz w:val="20"/>
          <w:szCs w:val="20"/>
          <w:color w:val="auto"/>
        </w:rPr>
      </w:pPr>
      <w:r>
        <w:rPr>
          <w:rFonts w:ascii="Arial" w:cs="Arial" w:eastAsia="Arial" w:hAnsi="Arial"/>
          <w:sz w:val="12"/>
          <w:szCs w:val="12"/>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If we or our franchisees face labor shortages or increased labor costs, our results of operations and growth could be adversely affected.</w:t>
      </w:r>
    </w:p>
    <w:p>
      <w:pPr>
        <w:spacing w:after="0" w:line="150" w:lineRule="exact"/>
        <w:rPr>
          <w:sz w:val="20"/>
          <w:szCs w:val="20"/>
          <w:color w:val="auto"/>
        </w:rPr>
      </w:pPr>
    </w:p>
    <w:p>
      <w:pPr>
        <w:ind w:left="20" w:right="99"/>
        <w:spacing w:after="0" w:line="283" w:lineRule="auto"/>
        <w:rPr>
          <w:sz w:val="20"/>
          <w:szCs w:val="20"/>
          <w:color w:val="auto"/>
        </w:rPr>
      </w:pPr>
      <w:r>
        <w:rPr>
          <w:rFonts w:ascii="Arial" w:cs="Arial" w:eastAsia="Arial" w:hAnsi="Arial"/>
          <w:sz w:val="11"/>
          <w:szCs w:val="11"/>
          <w:color w:val="auto"/>
        </w:rPr>
        <w:t>Labor is a primary component in the cost of operating our company-operated and franchised restaurants. If we or our franchisees face labor shortages or increased labor costs, because of increased competition for employees, a decrease in the labor supply due to changes in immigration policy including barriers to immigrants entering, working in, or remaining in the United States, higher employee-turnover rates, unionization of restaurant workers, or increases in federal, state, or local minimum wages or in other employee benefits costs (including costs associated with health insurance coverage or workers’ compensation insurance) or for other reasons, our and our franchisees’ operating expenses could increase, and our growth could be adversely affected. See also our risk factor titled “</w:t>
      </w:r>
      <w:r>
        <w:rPr>
          <w:rFonts w:ascii="Arial" w:cs="Arial" w:eastAsia="Arial" w:hAnsi="Arial"/>
          <w:sz w:val="11"/>
          <w:szCs w:val="11"/>
          <w:color w:val="212529"/>
        </w:rPr>
        <w:t>The recent outbreak of COVID-19 and measures intended to prevent its spread may have a significant negative impact on our</w:t>
      </w:r>
      <w:r>
        <w:rPr>
          <w:rFonts w:ascii="Arial" w:cs="Arial" w:eastAsia="Arial" w:hAnsi="Arial"/>
          <w:sz w:val="11"/>
          <w:szCs w:val="11"/>
          <w:color w:val="auto"/>
        </w:rPr>
        <w:t xml:space="preserve"> </w:t>
      </w:r>
      <w:r>
        <w:rPr>
          <w:rFonts w:ascii="Arial" w:cs="Arial" w:eastAsia="Arial" w:hAnsi="Arial"/>
          <w:sz w:val="11"/>
          <w:szCs w:val="11"/>
          <w:color w:val="212529"/>
        </w:rPr>
        <w:t>business, sales, results of operations and financial condition” for labor shortage risks we may face in connection with the COVID-19 pandemic.</w:t>
      </w:r>
    </w:p>
    <w:p>
      <w:pPr>
        <w:spacing w:after="0" w:line="113" w:lineRule="exact"/>
        <w:rPr>
          <w:sz w:val="20"/>
          <w:szCs w:val="20"/>
          <w:color w:val="auto"/>
        </w:rPr>
      </w:pPr>
    </w:p>
    <w:p>
      <w:pPr>
        <w:jc w:val="both"/>
        <w:ind w:left="20" w:right="79"/>
        <w:spacing w:after="0" w:line="289" w:lineRule="auto"/>
        <w:rPr>
          <w:sz w:val="20"/>
          <w:szCs w:val="20"/>
          <w:color w:val="auto"/>
        </w:rPr>
      </w:pPr>
      <w:r>
        <w:rPr>
          <w:rFonts w:ascii="Arial" w:cs="Arial" w:eastAsia="Arial" w:hAnsi="Arial"/>
          <w:sz w:val="11"/>
          <w:szCs w:val="11"/>
          <w:color w:val="auto"/>
        </w:rPr>
        <w:t>Federally-mandated, state-mandated, or locally-mandated minimum wages have recently increased in several jurisdictions, including the State of California and Los Angeles County, and may be further raised in the future. We may be unable to sufficiently increase our menu prices in order to pass future increased labor costs on to our customers, in which case our margins would be negatively affected. Also, reduced margins of franchisees could make it more difficult to sell franchises. In addition, increases in menu prices by us and our franchisees to cover increased labor costs could have the effect of lowering sales, which would thereby reduce our margins and the royalties that we receive from franchisees.</w:t>
      </w:r>
    </w:p>
    <w:p>
      <w:pPr>
        <w:spacing w:after="0" w:line="111" w:lineRule="exact"/>
        <w:rPr>
          <w:sz w:val="20"/>
          <w:szCs w:val="20"/>
          <w:color w:val="auto"/>
        </w:rPr>
      </w:pPr>
    </w:p>
    <w:p>
      <w:pPr>
        <w:ind w:left="20" w:right="259"/>
        <w:spacing w:after="0" w:line="255" w:lineRule="auto"/>
        <w:rPr>
          <w:sz w:val="20"/>
          <w:szCs w:val="20"/>
          <w:color w:val="auto"/>
        </w:rPr>
      </w:pPr>
      <w:r>
        <w:rPr>
          <w:rFonts w:ascii="Arial" w:cs="Arial" w:eastAsia="Arial" w:hAnsi="Arial"/>
          <w:sz w:val="12"/>
          <w:szCs w:val="12"/>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Competition for qualified employees could also require us or our franchisees to pay higher wages, which could also result in higher labor costs.</w:t>
      </w:r>
    </w:p>
    <w:p>
      <w:pPr>
        <w:spacing w:after="0" w:line="128"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b w:val="1"/>
          <w:bCs w:val="1"/>
          <w:i w:val="1"/>
          <w:iCs w:val="1"/>
          <w:color w:val="auto"/>
        </w:rPr>
        <w:t>We are subject to extensive laws, government regulation, and other legal requirements and our failure to comply with existing or new laws and regulations could adversely affect our operational efficiencies, ability to attract and retain talent and results of operations.</w:t>
      </w:r>
    </w:p>
    <w:p>
      <w:pPr>
        <w:spacing w:after="0" w:line="97"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Our business is subject to extensive federal, state and local laws and regulations, including those relating to: preparation, sale and labeling of food, including regulations of the Food and Drug Administration, which oversees the safety of the entire food system, including inspections and mandatory food recalls, menu labeling and nutritional content; employment practices and working conditions, including minimum wage rates, wage and hour practices, labor relations, paid and family leave, workplace safety, immigration, overtime, discrimination and harassment, among others; health, sanitation, safety and fire standards; building and zoning requirements, including state and local licensing and regulation governing the design and operation of facilities and land use; public accommodations and safety conditions, including the Americans with Disabilities Act and similar state laws that give civil rights protections to individuals with disabilities in the context of employment, public accommodations, and other areas; environmental matters, such as animal health</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5" w:name="page26"/>
    <w:bookmarkEnd w:id="2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239"/>
        <w:spacing w:after="0" w:line="289" w:lineRule="auto"/>
        <w:rPr>
          <w:sz w:val="20"/>
          <w:szCs w:val="20"/>
          <w:color w:val="auto"/>
        </w:rPr>
      </w:pPr>
      <w:r>
        <w:rPr>
          <w:rFonts w:ascii="Arial" w:cs="Arial" w:eastAsia="Arial" w:hAnsi="Arial"/>
          <w:sz w:val="11"/>
          <w:szCs w:val="11"/>
          <w:color w:val="auto"/>
        </w:rPr>
        <w:t>and welfare, climate change, the reduction of greenhouse gases, water consumption, the discharge, storage, handling, release, and disposal of hazardous or toxic substances, and local ordinances restricting the types of packaging we can use in our restaurants; public company compliance, disclosure and governance matters, including accounting and tax regulations, SEC and The Nasdaq Stock Market LLC (“Nasdaq”) disclosure requirements; and data privacy laws and standards for the protection of personal information, including social security numbers, financial information (including credit card numbers), and health information, and payment card industry standards and requirements.</w:t>
      </w:r>
    </w:p>
    <w:p>
      <w:pPr>
        <w:spacing w:after="0" w:line="93" w:lineRule="exact"/>
        <w:rPr>
          <w:sz w:val="20"/>
          <w:szCs w:val="20"/>
          <w:color w:val="auto"/>
        </w:rPr>
      </w:pPr>
    </w:p>
    <w:p>
      <w:pPr>
        <w:jc w:val="both"/>
        <w:ind w:left="20" w:right="299"/>
        <w:spacing w:after="0" w:line="263" w:lineRule="auto"/>
        <w:rPr>
          <w:sz w:val="20"/>
          <w:szCs w:val="20"/>
          <w:color w:val="auto"/>
        </w:rPr>
      </w:pPr>
      <w:r>
        <w:rPr>
          <w:rFonts w:ascii="Arial" w:cs="Arial" w:eastAsia="Arial" w:hAnsi="Arial"/>
          <w:sz w:val="12"/>
          <w:szCs w:val="12"/>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licenses, administrative enforcement actions, fines and civil and criminal liability.</w:t>
      </w:r>
    </w:p>
    <w:p>
      <w:pPr>
        <w:spacing w:after="0" w:line="122" w:lineRule="exact"/>
        <w:rPr>
          <w:sz w:val="20"/>
          <w:szCs w:val="20"/>
          <w:color w:val="auto"/>
        </w:rPr>
      </w:pPr>
    </w:p>
    <w:p>
      <w:pPr>
        <w:ind w:left="20" w:right="99"/>
        <w:spacing w:after="0" w:line="289" w:lineRule="auto"/>
        <w:rPr>
          <w:sz w:val="20"/>
          <w:szCs w:val="20"/>
          <w:color w:val="auto"/>
        </w:rPr>
      </w:pPr>
      <w:r>
        <w:rPr>
          <w:rFonts w:ascii="Arial" w:cs="Arial" w:eastAsia="Arial" w:hAnsi="Arial"/>
          <w:sz w:val="11"/>
          <w:szCs w:val="11"/>
          <w:color w:val="auto"/>
        </w:rPr>
        <w:t>Changes in health, safety, construction, labor, environmental, or other laws or regulations, including changes to or repeal of the Patient Protection and Affordable Care Act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11" w:lineRule="exact"/>
        <w:rPr>
          <w:sz w:val="20"/>
          <w:szCs w:val="20"/>
          <w:color w:val="auto"/>
        </w:rPr>
      </w:pPr>
    </w:p>
    <w:p>
      <w:pPr>
        <w:ind w:left="20" w:right="539"/>
        <w:spacing w:after="0" w:line="276" w:lineRule="auto"/>
        <w:rPr>
          <w:sz w:val="20"/>
          <w:szCs w:val="20"/>
          <w:color w:val="auto"/>
        </w:rPr>
      </w:pPr>
      <w:r>
        <w:rPr>
          <w:rFonts w:ascii="Arial" w:cs="Arial" w:eastAsia="Arial" w:hAnsi="Arial"/>
          <w:sz w:val="12"/>
          <w:szCs w:val="12"/>
          <w:b w:val="1"/>
          <w:bCs w:val="1"/>
          <w:i w:val="1"/>
          <w:iCs w:val="1"/>
          <w:color w:val="auto"/>
        </w:rPr>
        <w:t>Legislation and regulations regarding certain of our menu offerings, new information or attitudes regarding diet and health, or adverse opinions about the health effects of consuming our menu offerings, could affect consumer preferences and negatively impact our results of operations.</w:t>
      </w:r>
    </w:p>
    <w:p>
      <w:pPr>
        <w:spacing w:after="0" w:line="115" w:lineRule="exact"/>
        <w:rPr>
          <w:sz w:val="20"/>
          <w:szCs w:val="20"/>
          <w:color w:val="auto"/>
        </w:rPr>
      </w:pPr>
    </w:p>
    <w:p>
      <w:pPr>
        <w:ind w:left="20" w:right="279"/>
        <w:spacing w:after="0" w:line="285" w:lineRule="auto"/>
        <w:rPr>
          <w:sz w:val="20"/>
          <w:szCs w:val="20"/>
          <w:color w:val="auto"/>
        </w:rPr>
      </w:pPr>
      <w:r>
        <w:rPr>
          <w:rFonts w:ascii="Arial" w:cs="Arial" w:eastAsia="Arial" w:hAnsi="Arial"/>
          <w:sz w:val="11"/>
          <w:szCs w:val="11"/>
          <w:color w:val="auto"/>
        </w:rPr>
        <w:t>Certain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proposed increasing taxes on certain products, such as sodas, which may affect sales volumes of those products.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113" w:lineRule="exact"/>
        <w:rPr>
          <w:sz w:val="20"/>
          <w:szCs w:val="20"/>
          <w:color w:val="auto"/>
        </w:rPr>
      </w:pPr>
    </w:p>
    <w:p>
      <w:pPr>
        <w:ind w:left="20" w:right="319"/>
        <w:spacing w:after="0" w:line="263" w:lineRule="auto"/>
        <w:rPr>
          <w:sz w:val="20"/>
          <w:szCs w:val="20"/>
          <w:color w:val="auto"/>
        </w:rPr>
      </w:pPr>
      <w:r>
        <w:rPr>
          <w:rFonts w:ascii="Arial" w:cs="Arial" w:eastAsia="Arial" w:hAnsi="Arial"/>
          <w:sz w:val="12"/>
          <w:szCs w:val="12"/>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122"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are subject to federal, state, and local laws, regulations, and ordinances that:</w:t>
      </w:r>
    </w:p>
    <w:p>
      <w:pPr>
        <w:spacing w:after="0" w:line="150" w:lineRule="exact"/>
        <w:rPr>
          <w:sz w:val="20"/>
          <w:szCs w:val="20"/>
          <w:color w:val="auto"/>
        </w:rPr>
      </w:pPr>
    </w:p>
    <w:p>
      <w:pPr>
        <w:ind w:left="480" w:right="119" w:hanging="224"/>
        <w:spacing w:after="0" w:line="276" w:lineRule="auto"/>
        <w:tabs>
          <w:tab w:leader="none" w:pos="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govern activities or operations that may have adverse environmental effects, such as discharges into the air, water and soils, as well as waste handling and disposal practices for solid and hazardous wastes and waste water; and</w:t>
      </w:r>
    </w:p>
    <w:p>
      <w:pPr>
        <w:spacing w:after="0" w:line="114" w:lineRule="exact"/>
        <w:rPr>
          <w:rFonts w:ascii="Arial" w:cs="Arial" w:eastAsia="Arial" w:hAnsi="Arial"/>
          <w:sz w:val="12"/>
          <w:szCs w:val="12"/>
          <w:color w:val="auto"/>
        </w:rPr>
      </w:pPr>
    </w:p>
    <w:p>
      <w:pPr>
        <w:ind w:left="480" w:hanging="224"/>
        <w:spacing w:after="0"/>
        <w:tabs>
          <w:tab w:leader="none" w:pos="480" w:val="left"/>
        </w:tabs>
        <w:numPr>
          <w:ilvl w:val="0"/>
          <w:numId w:val="8"/>
        </w:numPr>
        <w:rPr>
          <w:rFonts w:ascii="Arial" w:cs="Arial" w:eastAsia="Arial" w:hAnsi="Arial"/>
          <w:sz w:val="11"/>
          <w:szCs w:val="11"/>
          <w:color w:val="auto"/>
        </w:rPr>
      </w:pPr>
      <w:r>
        <w:rPr>
          <w:rFonts w:ascii="Arial" w:cs="Arial" w:eastAsia="Arial" w:hAnsi="Arial"/>
          <w:sz w:val="11"/>
          <w:szCs w:val="11"/>
          <w:color w:val="auto"/>
        </w:rPr>
        <w:t>impose liability for the costs of remediating, and the damage resulting from, past spills, disposals, or other releases of petroleum products and hazardous materials.</w:t>
      </w:r>
    </w:p>
    <w:p>
      <w:pPr>
        <w:spacing w:after="0" w:line="162" w:lineRule="exact"/>
        <w:rPr>
          <w:sz w:val="20"/>
          <w:szCs w:val="20"/>
          <w:color w:val="auto"/>
        </w:rPr>
      </w:pPr>
    </w:p>
    <w:p>
      <w:pPr>
        <w:ind w:left="20" w:right="159"/>
        <w:spacing w:after="0" w:line="256" w:lineRule="auto"/>
        <w:rPr>
          <w:sz w:val="20"/>
          <w:szCs w:val="20"/>
          <w:color w:val="auto"/>
        </w:rPr>
      </w:pPr>
      <w:r>
        <w:rPr>
          <w:rFonts w:ascii="Arial" w:cs="Arial" w:eastAsia="Arial" w:hAnsi="Arial"/>
          <w:sz w:val="12"/>
          <w:szCs w:val="12"/>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Business—Environmental Matters.”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6" w:name="page27"/>
    <w:bookmarkEnd w:id="2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Certain of our Stockholders</w:t>
      </w:r>
    </w:p>
    <w:p>
      <w:pPr>
        <w:spacing w:after="0" w:line="15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15"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Trimaran Pollo Partners, L.L.C. (“LLC”), owns approximately 46.0%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nine directors, including our chairman, are affiliated with Trimaran or Freeman Spogli.</w:t>
      </w:r>
    </w:p>
    <w:p>
      <w:pPr>
        <w:spacing w:after="0" w:line="113"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This concentration of ownership may delay, deter, or prevent acts that would be favored by our other stockholders. While our board has determined that director John Roth, a general partner of Freeman Spogli and its CEO, satisfies the criteria for an independent director under applicable Nasdaq rules,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The interests of Trimaran and Freeman Spogli may conflict with ours or our stockholders’ in the future.</w:t>
      </w:r>
    </w:p>
    <w:p>
      <w:pPr>
        <w:spacing w:after="0" w:line="150" w:lineRule="exact"/>
        <w:rPr>
          <w:sz w:val="20"/>
          <w:szCs w:val="20"/>
          <w:color w:val="auto"/>
        </w:rPr>
      </w:pPr>
    </w:p>
    <w:p>
      <w:pPr>
        <w:ind w:left="20" w:right="59"/>
        <w:spacing w:after="0" w:line="280" w:lineRule="auto"/>
        <w:rPr>
          <w:sz w:val="20"/>
          <w:szCs w:val="20"/>
          <w:color w:val="auto"/>
        </w:rPr>
      </w:pPr>
      <w:r>
        <w:rPr>
          <w:rFonts w:ascii="Arial" w:cs="Arial" w:eastAsia="Arial" w:hAnsi="Arial"/>
          <w:sz w:val="11"/>
          <w:szCs w:val="11"/>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are required to pay our pre-IPO owners for certain tax benefits, which amounts are expected to be material.</w:t>
      </w:r>
    </w:p>
    <w:p>
      <w:pPr>
        <w:spacing w:after="0" w:line="150"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We entered into an income tax receivable agreement (the “TRA”) with the stockholders of the Company immediately prior to the initial public offering (“IPO”),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111"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Our payments under the TRA may be material. As of December 30, 2020, we had an accrued payable related to this agreement of approximately $3.1 million. In fiscal 2020, we paid $5.2 million to our pre-IPO stockholders under the TRA.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7" w:name="page28"/>
    <w:bookmarkEnd w:id="2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59"/>
        <w:spacing w:after="0" w:line="263" w:lineRule="auto"/>
        <w:rPr>
          <w:sz w:val="20"/>
          <w:szCs w:val="20"/>
          <w:color w:val="auto"/>
        </w:rPr>
      </w:pPr>
      <w:r>
        <w:rPr>
          <w:rFonts w:ascii="Arial" w:cs="Arial" w:eastAsia="Arial" w:hAnsi="Arial"/>
          <w:sz w:val="12"/>
          <w:szCs w:val="12"/>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122"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15" w:lineRule="exact"/>
        <w:rPr>
          <w:sz w:val="20"/>
          <w:szCs w:val="20"/>
          <w:color w:val="auto"/>
        </w:rPr>
      </w:pPr>
    </w:p>
    <w:p>
      <w:pPr>
        <w:ind w:left="20" w:right="139"/>
        <w:spacing w:after="0" w:line="256" w:lineRule="auto"/>
        <w:rPr>
          <w:sz w:val="20"/>
          <w:szCs w:val="20"/>
          <w:color w:val="auto"/>
        </w:rPr>
      </w:pPr>
      <w:r>
        <w:rPr>
          <w:rFonts w:ascii="Arial" w:cs="Arial" w:eastAsia="Arial" w:hAnsi="Arial"/>
          <w:sz w:val="12"/>
          <w:szCs w:val="12"/>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 Factors Related to Our Common Stock</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Future offerings of debt or equity securities by us may adversely affect the market price of our common stock.</w:t>
      </w:r>
    </w:p>
    <w:p>
      <w:pPr>
        <w:spacing w:after="0" w:line="150" w:lineRule="exact"/>
        <w:rPr>
          <w:sz w:val="20"/>
          <w:szCs w:val="20"/>
          <w:color w:val="auto"/>
        </w:rPr>
      </w:pPr>
    </w:p>
    <w:p>
      <w:pPr>
        <w:ind w:left="20" w:right="119"/>
        <w:spacing w:after="0" w:line="259" w:lineRule="auto"/>
        <w:rPr>
          <w:sz w:val="20"/>
          <w:szCs w:val="20"/>
          <w:color w:val="auto"/>
        </w:rPr>
      </w:pPr>
      <w:r>
        <w:rPr>
          <w:rFonts w:ascii="Arial" w:cs="Arial" w:eastAsia="Arial" w:hAnsi="Arial"/>
          <w:sz w:val="12"/>
          <w:szCs w:val="12"/>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24" w:lineRule="exact"/>
        <w:rPr>
          <w:sz w:val="20"/>
          <w:szCs w:val="20"/>
          <w:color w:val="auto"/>
        </w:rPr>
      </w:pPr>
    </w:p>
    <w:p>
      <w:pPr>
        <w:ind w:left="20" w:right="39"/>
        <w:spacing w:after="0" w:line="281" w:lineRule="auto"/>
        <w:rPr>
          <w:sz w:val="20"/>
          <w:szCs w:val="20"/>
          <w:color w:val="auto"/>
        </w:rPr>
      </w:pPr>
      <w:r>
        <w:rPr>
          <w:rFonts w:ascii="Arial" w:cs="Arial" w:eastAsia="Arial" w:hAnsi="Arial"/>
          <w:sz w:val="11"/>
          <w:szCs w:val="11"/>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15"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b w:val="1"/>
          <w:bCs w:val="1"/>
          <w:i w:val="1"/>
          <w:iCs w:val="1"/>
          <w:color w:val="auto"/>
        </w:rPr>
        <w:t>The market price of our common stock could be negatively affected by sales of substantial amounts of our common stock in the public markets, including shares of our common stock currently held by the LLC.</w:t>
      </w:r>
    </w:p>
    <w:p>
      <w:pPr>
        <w:spacing w:after="0" w:line="115" w:lineRule="exact"/>
        <w:rPr>
          <w:sz w:val="20"/>
          <w:szCs w:val="20"/>
          <w:color w:val="auto"/>
        </w:rPr>
      </w:pPr>
    </w:p>
    <w:p>
      <w:pPr>
        <w:jc w:val="both"/>
        <w:ind w:left="20" w:right="59"/>
        <w:spacing w:after="0" w:line="263" w:lineRule="auto"/>
        <w:rPr>
          <w:sz w:val="20"/>
          <w:szCs w:val="20"/>
          <w:color w:val="auto"/>
        </w:rPr>
      </w:pPr>
      <w:r>
        <w:rPr>
          <w:rFonts w:ascii="Arial" w:cs="Arial" w:eastAsia="Arial" w:hAnsi="Arial"/>
          <w:sz w:val="12"/>
          <w:szCs w:val="12"/>
          <w:color w:val="auto"/>
        </w:rPr>
        <w:t>The market price of our common stock could decline as a result of sales of a large number of shares of our common stock in the market or the perception that such sales could occur. LLC presently owns approximately 46.0% of our outstanding common stock and could sell stock publicly either if the stock were registered or if the exemption requirements of Rule 144 were satisfied. No lock-up agreements presently are in effect.</w:t>
      </w:r>
    </w:p>
    <w:p>
      <w:pPr>
        <w:spacing w:after="0" w:line="122"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122"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Further, pursuant to the terms of the LLC’s limited liability company operating agreement (the “LLC Agreement”), the LLC Agreement can terminate, in which case the LLC will begin the process of dissolving and winding up its affairs, at the earlier of (i) the election of the managing member, or (ii) six years following the completion of our IPO, or July 27, 2020. If the process of winding up the LLC and distribution of shares of our common stock begins and all or a</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8" w:name="page29"/>
    <w:bookmarkEnd w:id="2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substantial portion of these shares are sold into the public markets, or if it is perceived that they will be resold, the trading price of our common stock could decline.</w:t>
      </w:r>
    </w:p>
    <w:p>
      <w:pPr>
        <w:spacing w:after="0" w:line="150"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115"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19" w:lineRule="exact"/>
        <w:rPr>
          <w:sz w:val="20"/>
          <w:szCs w:val="20"/>
          <w:color w:val="auto"/>
        </w:rPr>
      </w:pPr>
    </w:p>
    <w:p>
      <w:pPr>
        <w:jc w:val="both"/>
        <w:ind w:left="20" w:right="99"/>
        <w:spacing w:after="0" w:line="263" w:lineRule="auto"/>
        <w:rPr>
          <w:sz w:val="20"/>
          <w:szCs w:val="20"/>
          <w:color w:val="auto"/>
        </w:rPr>
      </w:pPr>
      <w:r>
        <w:rPr>
          <w:rFonts w:ascii="Arial" w:cs="Arial" w:eastAsia="Arial" w:hAnsi="Arial"/>
          <w:sz w:val="12"/>
          <w:szCs w:val="12"/>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22" w:lineRule="exact"/>
        <w:rPr>
          <w:sz w:val="20"/>
          <w:szCs w:val="20"/>
          <w:color w:val="auto"/>
        </w:rPr>
      </w:pPr>
    </w:p>
    <w:p>
      <w:pPr>
        <w:jc w:val="both"/>
        <w:ind w:left="20" w:right="99"/>
        <w:spacing w:after="0" w:line="323" w:lineRule="auto"/>
        <w:rPr>
          <w:sz w:val="20"/>
          <w:szCs w:val="20"/>
          <w:color w:val="auto"/>
        </w:rPr>
      </w:pPr>
      <w:r>
        <w:rPr>
          <w:rFonts w:ascii="Arial" w:cs="Arial" w:eastAsia="Arial" w:hAnsi="Arial"/>
          <w:sz w:val="11"/>
          <w:szCs w:val="11"/>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General Risk Factors</w:t>
      </w:r>
    </w:p>
    <w:p>
      <w:pPr>
        <w:spacing w:after="0" w:line="15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b w:val="1"/>
          <w:bCs w:val="1"/>
          <w:i w:val="1"/>
          <w:iCs w:val="1"/>
          <w:color w:val="auto"/>
        </w:rPr>
        <w:t>Failure to maintain effective internal control over financial reporting in accordance with Section 404 of the Sarbanes-Oxley Act could materially and adversely affect our business and the market price of our common stock.</w:t>
      </w:r>
    </w:p>
    <w:p>
      <w:pPr>
        <w:spacing w:after="0" w:line="115" w:lineRule="exact"/>
        <w:rPr>
          <w:sz w:val="20"/>
          <w:szCs w:val="20"/>
          <w:color w:val="auto"/>
        </w:rPr>
      </w:pPr>
    </w:p>
    <w:p>
      <w:pPr>
        <w:ind w:left="20" w:right="59"/>
        <w:spacing w:after="0" w:line="253" w:lineRule="auto"/>
        <w:rPr>
          <w:sz w:val="20"/>
          <w:szCs w:val="20"/>
          <w:color w:val="auto"/>
        </w:rPr>
      </w:pPr>
      <w:r>
        <w:rPr>
          <w:rFonts w:ascii="Arial" w:cs="Arial" w:eastAsia="Arial" w:hAnsi="Arial"/>
          <w:sz w:val="12"/>
          <w:szCs w:val="12"/>
          <w:color w:val="auto"/>
        </w:rPr>
        <w:t>Under the Sarbanes-Oxley Act, we must maintain effective disclosure controls and procedures and internal control over financial reporting, which require significant resources and management oversight. Internal control over financial reporting is complex and may be revised over time to adapt to changes in our business, or changes in applicable accounting rules. We cannot assure you that our internal control over financial reporting will be effective in the future or that a material weakness will not be discovered with respect to a prior period for which we had previously believed that internal controls were effective. Matters impacting our internal controls may cause us to be unable to report our financial data on a timely basis, or may cause us to restate previously issued financial data,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materially adversely affect us by, for example, leading to a decline in the market price for our common stock and impairing our ability to raise capital.</w:t>
      </w:r>
    </w:p>
    <w:p>
      <w:pPr>
        <w:spacing w:after="0" w:line="27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29" w:name="page30"/>
    <w:bookmarkEnd w:id="2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54" w:lineRule="exact"/>
        <w:rPr>
          <w:sz w:val="20"/>
          <w:szCs w:val="20"/>
          <w:color w:val="auto"/>
        </w:rPr>
      </w:pPr>
    </w:p>
    <w:p>
      <w:pPr>
        <w:ind w:left="20" w:right="159"/>
        <w:spacing w:after="0" w:line="298" w:lineRule="auto"/>
        <w:rPr>
          <w:sz w:val="20"/>
          <w:szCs w:val="20"/>
          <w:color w:val="auto"/>
        </w:rPr>
      </w:pPr>
      <w:r>
        <w:rPr>
          <w:rFonts w:ascii="Arial" w:cs="Arial" w:eastAsia="Arial" w:hAnsi="Arial"/>
          <w:sz w:val="11"/>
          <w:szCs w:val="11"/>
          <w:color w:val="auto"/>
        </w:rPr>
        <w:t>As of December 30, 2020, our restaurant system consisted of 479 restaurants, comprised of 196 company-operated restaurants and 283 franchised restaurants, located in California, Nevada, Arizona, Texas, Utah and Louisiana. In addition, we currently license our brand to one restaurant in the Philippines. We have not included this licensed restaurant as part of our unit count as presented in this annual report. The table below sets forth the locations (by state) for all restaurants in operation as of December 30, 2020.</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Company-</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13"/>
        </w:trPr>
        <w:tc>
          <w:tcPr>
            <w:tcW w:w="63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State</w:t>
            </w:r>
          </w:p>
        </w:tc>
        <w:tc>
          <w:tcPr>
            <w:tcW w:w="9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Operated</w:t>
            </w:r>
          </w:p>
        </w:tc>
        <w:tc>
          <w:tcPr>
            <w:tcW w:w="94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Franchised</w:t>
            </w:r>
          </w:p>
        </w:tc>
        <w:tc>
          <w:tcPr>
            <w:tcW w:w="760" w:type="dxa"/>
            <w:vAlign w:val="bottom"/>
          </w:tcPr>
          <w:p>
            <w:pPr>
              <w:jc w:val="right"/>
              <w:ind w:right="222"/>
              <w:spacing w:after="0" w:line="114" w:lineRule="exact"/>
              <w:rPr>
                <w:sz w:val="20"/>
                <w:szCs w:val="20"/>
                <w:color w:val="auto"/>
              </w:rPr>
            </w:pPr>
            <w:r>
              <w:rPr>
                <w:rFonts w:ascii="Arial" w:cs="Arial" w:eastAsia="Arial" w:hAnsi="Arial"/>
                <w:sz w:val="10"/>
                <w:szCs w:val="10"/>
                <w:b w:val="1"/>
                <w:bCs w:val="1"/>
                <w:color w:val="auto"/>
              </w:rPr>
              <w:t>Total</w:t>
            </w:r>
          </w:p>
        </w:tc>
      </w:tr>
      <w:tr>
        <w:trPr>
          <w:trHeight w:val="133"/>
        </w:trPr>
        <w:tc>
          <w:tcPr>
            <w:tcW w:w="6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California</w:t>
            </w: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163</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221</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384</w:t>
            </w:r>
          </w:p>
        </w:tc>
      </w:tr>
      <w:tr>
        <w:trPr>
          <w:trHeight w:val="144"/>
        </w:trPr>
        <w:tc>
          <w:tcPr>
            <w:tcW w:w="6320" w:type="dxa"/>
            <w:vAlign w:val="bottom"/>
            <w:gridSpan w:val="2"/>
          </w:tcPr>
          <w:p>
            <w:pPr>
              <w:spacing w:after="0"/>
              <w:rPr>
                <w:sz w:val="20"/>
                <w:szCs w:val="20"/>
                <w:color w:val="auto"/>
              </w:rPr>
            </w:pPr>
            <w:r>
              <w:rPr>
                <w:rFonts w:ascii="Arial" w:cs="Arial" w:eastAsia="Arial" w:hAnsi="Arial"/>
                <w:sz w:val="12"/>
                <w:szCs w:val="12"/>
                <w:color w:val="auto"/>
              </w:rPr>
              <w:t>Nevada</w:t>
            </w:r>
          </w:p>
        </w:tc>
        <w:tc>
          <w:tcPr>
            <w:tcW w:w="740" w:type="dxa"/>
            <w:vAlign w:val="bottom"/>
          </w:tcPr>
          <w:p>
            <w:pPr>
              <w:jc w:val="right"/>
              <w:spacing w:after="0"/>
              <w:rPr>
                <w:sz w:val="20"/>
                <w:szCs w:val="20"/>
                <w:color w:val="auto"/>
              </w:rPr>
            </w:pPr>
            <w:r>
              <w:rPr>
                <w:rFonts w:ascii="Arial" w:cs="Arial" w:eastAsia="Arial" w:hAnsi="Arial"/>
                <w:sz w:val="12"/>
                <w:szCs w:val="12"/>
                <w:color w:val="auto"/>
              </w:rPr>
              <w:t>23</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6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Arizona</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6320" w:type="dxa"/>
            <w:vAlign w:val="bottom"/>
            <w:gridSpan w:val="2"/>
          </w:tcPr>
          <w:p>
            <w:pPr>
              <w:spacing w:after="0"/>
              <w:rPr>
                <w:sz w:val="20"/>
                <w:szCs w:val="20"/>
                <w:color w:val="auto"/>
              </w:rPr>
            </w:pPr>
            <w:r>
              <w:rPr>
                <w:rFonts w:ascii="Arial" w:cs="Arial" w:eastAsia="Arial" w:hAnsi="Arial"/>
                <w:sz w:val="12"/>
                <w:szCs w:val="12"/>
                <w:color w:val="auto"/>
              </w:rPr>
              <w:t>Texas</w:t>
            </w:r>
          </w:p>
        </w:tc>
        <w:tc>
          <w:tcPr>
            <w:tcW w:w="740" w:type="dxa"/>
            <w:vAlign w:val="bottom"/>
          </w:tcPr>
          <w:p>
            <w:pPr>
              <w:jc w:val="right"/>
              <w:spacing w:after="0"/>
              <w:rPr>
                <w:sz w:val="20"/>
                <w:szCs w:val="20"/>
                <w:color w:val="auto"/>
              </w:rPr>
            </w:pPr>
            <w:r>
              <w:rPr>
                <w:rFonts w:ascii="Arial" w:cs="Arial" w:eastAsia="Arial" w:hAnsi="Arial"/>
                <w:sz w:val="12"/>
                <w:szCs w:val="12"/>
                <w:color w:val="auto"/>
              </w:rPr>
              <w:t>9</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6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Utah</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6320" w:type="dxa"/>
            <w:vAlign w:val="bottom"/>
            <w:gridSpan w:val="2"/>
          </w:tcPr>
          <w:p>
            <w:pPr>
              <w:spacing w:after="0"/>
              <w:rPr>
                <w:sz w:val="20"/>
                <w:szCs w:val="20"/>
                <w:color w:val="auto"/>
              </w:rPr>
            </w:pPr>
            <w:r>
              <w:rPr>
                <w:rFonts w:ascii="Arial" w:cs="Arial" w:eastAsia="Arial" w:hAnsi="Arial"/>
                <w:sz w:val="12"/>
                <w:szCs w:val="12"/>
                <w:color w:val="auto"/>
              </w:rPr>
              <w:t>Louisiana</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33"/>
        </w:trPr>
        <w:tc>
          <w:tcPr>
            <w:tcW w:w="632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196</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283</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479</w:t>
            </w:r>
          </w:p>
        </w:tc>
      </w:tr>
    </w:tbl>
    <w:p>
      <w:pPr>
        <w:spacing w:after="0" w:line="135"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two or three renewal terms of five years.</w:t>
      </w:r>
    </w:p>
    <w:p>
      <w:pPr>
        <w:spacing w:after="0" w:line="122" w:lineRule="exact"/>
        <w:rPr>
          <w:sz w:val="20"/>
          <w:szCs w:val="20"/>
          <w:color w:val="auto"/>
        </w:rPr>
      </w:pPr>
    </w:p>
    <w:p>
      <w:pPr>
        <w:jc w:val="both"/>
        <w:ind w:left="20" w:right="99"/>
        <w:spacing w:after="0" w:line="289" w:lineRule="auto"/>
        <w:rPr>
          <w:sz w:val="20"/>
          <w:szCs w:val="20"/>
          <w:color w:val="auto"/>
        </w:rPr>
      </w:pPr>
      <w:r>
        <w:rPr>
          <w:rFonts w:ascii="Arial" w:cs="Arial" w:eastAsia="Arial" w:hAnsi="Arial"/>
          <w:sz w:val="11"/>
          <w:szCs w:val="11"/>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3 to franchisees. In addition, we operate 184 company-operated restaurants on leased real estate, an owned operating unit with additional parking on leased real estate, and have another 26 leased sites that are subleased or assigned to franchisees who operate El Pollo Loco restaurants. We also have eight closed units two of which are subleased for uses other than El Pollo Loco.</w:t>
      </w:r>
    </w:p>
    <w:p>
      <w:pPr>
        <w:spacing w:after="0" w:line="111"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We lease our headquarters, consisting of approximately 29,880 square feet in Costa Mesa, California, for a term expiring in 2023, plus one three-year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118"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For information regarding legal proceedings, see “Note 13. Commitments and Contingencies—Legal Matters” in the accompanying “Notes to Consolidated Financial Statements” in this Annual Report, which information is incorporated herein by reference.</w:t>
      </w:r>
    </w:p>
    <w:p>
      <w:pPr>
        <w:spacing w:after="0" w:line="11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0" w:name="page31"/>
    <w:bookmarkEnd w:id="3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common stock has been listed on The Nasdaq Stock Market LLC under the symbol “LOCO” since July 25, 2014.</w:t>
      </w:r>
    </w:p>
    <w:p>
      <w:pPr>
        <w:spacing w:after="0" w:line="150" w:lineRule="exact"/>
        <w:rPr>
          <w:sz w:val="20"/>
          <w:szCs w:val="20"/>
          <w:color w:val="auto"/>
        </w:rPr>
      </w:pPr>
    </w:p>
    <w:p>
      <w:pPr>
        <w:ind w:left="20" w:right="79"/>
        <w:spacing w:after="0" w:line="379" w:lineRule="auto"/>
        <w:rPr>
          <w:sz w:val="20"/>
          <w:szCs w:val="20"/>
          <w:color w:val="auto"/>
        </w:rPr>
      </w:pPr>
      <w:r>
        <w:rPr>
          <w:rFonts w:ascii="Arial" w:cs="Arial" w:eastAsia="Arial" w:hAnsi="Arial"/>
          <w:sz w:val="10"/>
          <w:szCs w:val="10"/>
          <w:color w:val="auto"/>
        </w:rPr>
        <w:t>As of March 5, 2021, there were approximately 50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The Company does not currently pay cash dividends to our holders of common stock and does not anticipate paying any such dividends for the foreseeable future. Any determination to pay dividends in the future will be at the discretion of our Board of Directors and will depend upon our results of operations, financial condition, restrictions imposed by applicable law and our financing agreements and other factors that our Board of Directors deems relevant.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54" w:lineRule="exact"/>
        <w:rPr>
          <w:sz w:val="20"/>
          <w:szCs w:val="20"/>
          <w:color w:val="auto"/>
        </w:rPr>
      </w:pPr>
    </w:p>
    <w:p>
      <w:pPr>
        <w:ind w:left="20" w:right="379"/>
        <w:spacing w:after="0" w:line="263" w:lineRule="auto"/>
        <w:rPr>
          <w:sz w:val="20"/>
          <w:szCs w:val="20"/>
          <w:color w:val="auto"/>
        </w:rPr>
      </w:pPr>
      <w:r>
        <w:rPr>
          <w:rFonts w:ascii="Arial" w:cs="Arial" w:eastAsia="Arial" w:hAnsi="Arial"/>
          <w:sz w:val="12"/>
          <w:szCs w:val="12"/>
          <w:color w:val="auto"/>
        </w:rPr>
        <w:t>During the quarterly period ended December 30, 2020, the Company acquired shares of its common stock held by one of its employees to satisfy tax withholding obligations in connection with the vesting of previously issued restricted stock. The number of shares of common stock acquired and the average price paid per share for each month in the fourth quarter ended December 30, 2020 are as shown in the table below.</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80" w:type="dxa"/>
            <w:vAlign w:val="bottom"/>
          </w:tcPr>
          <w:p>
            <w:pPr>
              <w:spacing w:after="0"/>
              <w:rPr>
                <w:sz w:val="10"/>
                <w:szCs w:val="10"/>
                <w:color w:val="auto"/>
              </w:rPr>
            </w:pPr>
          </w:p>
        </w:tc>
        <w:tc>
          <w:tcPr>
            <w:tcW w:w="1120" w:type="dxa"/>
            <w:vAlign w:val="bottom"/>
          </w:tcPr>
          <w:p>
            <w:pPr>
              <w:ind w:left="360"/>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ind w:left="180"/>
              <w:spacing w:after="0"/>
              <w:rPr>
                <w:sz w:val="20"/>
                <w:szCs w:val="20"/>
                <w:color w:val="auto"/>
              </w:rPr>
            </w:pPr>
            <w:r>
              <w:rPr>
                <w:rFonts w:ascii="Arial" w:cs="Arial" w:eastAsia="Arial" w:hAnsi="Arial"/>
                <w:sz w:val="10"/>
                <w:szCs w:val="10"/>
                <w:b w:val="1"/>
                <w:bCs w:val="1"/>
                <w:color w:val="auto"/>
              </w:rPr>
              <w:t>Average Price</w:t>
            </w:r>
          </w:p>
        </w:tc>
      </w:tr>
      <w:tr>
        <w:trPr>
          <w:trHeight w:val="113"/>
        </w:trPr>
        <w:tc>
          <w:tcPr>
            <w:tcW w:w="5680" w:type="dxa"/>
            <w:vAlign w:val="bottom"/>
          </w:tcPr>
          <w:p>
            <w:pPr>
              <w:spacing w:after="0"/>
              <w:rPr>
                <w:sz w:val="9"/>
                <w:szCs w:val="9"/>
                <w:color w:val="auto"/>
              </w:rPr>
            </w:pPr>
          </w:p>
        </w:tc>
        <w:tc>
          <w:tcPr>
            <w:tcW w:w="1120" w:type="dxa"/>
            <w:vAlign w:val="bottom"/>
          </w:tcPr>
          <w:p>
            <w:pPr>
              <w:ind w:left="340"/>
              <w:spacing w:after="0" w:line="114" w:lineRule="exact"/>
              <w:rPr>
                <w:sz w:val="20"/>
                <w:szCs w:val="20"/>
                <w:color w:val="auto"/>
              </w:rPr>
            </w:pPr>
            <w:r>
              <w:rPr>
                <w:rFonts w:ascii="Arial" w:cs="Arial" w:eastAsia="Arial" w:hAnsi="Arial"/>
                <w:sz w:val="10"/>
                <w:szCs w:val="10"/>
                <w:b w:val="1"/>
                <w:bCs w:val="1"/>
                <w:color w:val="auto"/>
                <w:w w:val="87"/>
              </w:rPr>
              <w:t>Shares Purchased</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Paid Per Share</w:t>
            </w:r>
          </w:p>
        </w:tc>
      </w:tr>
      <w:tr>
        <w:trPr>
          <w:trHeight w:val="133"/>
        </w:trPr>
        <w:tc>
          <w:tcPr>
            <w:tcW w:w="5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September 24, 2020 to October 21, 2020</w:t>
            </w:r>
          </w:p>
        </w:tc>
        <w:tc>
          <w:tcPr>
            <w:tcW w:w="1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r>
      <w:tr>
        <w:trPr>
          <w:trHeight w:val="144"/>
        </w:trPr>
        <w:tc>
          <w:tcPr>
            <w:tcW w:w="6800" w:type="dxa"/>
            <w:vAlign w:val="bottom"/>
            <w:gridSpan w:val="2"/>
          </w:tcPr>
          <w:p>
            <w:pPr>
              <w:spacing w:after="0"/>
              <w:rPr>
                <w:sz w:val="20"/>
                <w:szCs w:val="20"/>
                <w:color w:val="auto"/>
              </w:rPr>
            </w:pPr>
            <w:r>
              <w:rPr>
                <w:rFonts w:ascii="Arial" w:cs="Arial" w:eastAsia="Arial" w:hAnsi="Arial"/>
                <w:sz w:val="12"/>
                <w:szCs w:val="12"/>
                <w:color w:val="auto"/>
              </w:rPr>
              <w:t>October 22, 2020 to November 18, 2020</w:t>
            </w:r>
          </w:p>
        </w:tc>
        <w:tc>
          <w:tcPr>
            <w:tcW w:w="280" w:type="dxa"/>
            <w:vAlign w:val="bottom"/>
          </w:tcPr>
          <w:p>
            <w:pPr>
              <w:jc w:val="right"/>
              <w:spacing w:after="0"/>
              <w:rPr>
                <w:sz w:val="20"/>
                <w:szCs w:val="20"/>
                <w:color w:val="auto"/>
              </w:rPr>
            </w:pPr>
            <w:r>
              <w:rPr>
                <w:rFonts w:ascii="Arial" w:cs="Arial" w:eastAsia="Arial" w:hAnsi="Arial"/>
                <w:sz w:val="12"/>
                <w:szCs w:val="12"/>
                <w:color w:val="auto"/>
              </w:rPr>
              <w:t>289</w:t>
            </w:r>
          </w:p>
        </w:tc>
        <w:tc>
          <w:tcPr>
            <w:tcW w:w="220" w:type="dxa"/>
            <w:vAlign w:val="bottom"/>
          </w:tcPr>
          <w:p>
            <w:pPr>
              <w:spacing w:after="0"/>
              <w:rPr>
                <w:sz w:val="12"/>
                <w:szCs w:val="12"/>
                <w:color w:val="auto"/>
              </w:rPr>
            </w:pPr>
          </w:p>
        </w:tc>
        <w:tc>
          <w:tcPr>
            <w:tcW w:w="240" w:type="dxa"/>
            <w:vAlign w:val="bottom"/>
            <w:gridSpan w:val="2"/>
          </w:tcPr>
          <w:p>
            <w:pPr>
              <w:jc w:val="right"/>
              <w:ind w:right="156"/>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14.98</w:t>
            </w:r>
          </w:p>
        </w:tc>
        <w:tc>
          <w:tcPr>
            <w:tcW w:w="220" w:type="dxa"/>
            <w:vAlign w:val="bottom"/>
          </w:tcPr>
          <w:p>
            <w:pPr>
              <w:spacing w:after="0"/>
              <w:rPr>
                <w:sz w:val="12"/>
                <w:szCs w:val="12"/>
                <w:color w:val="auto"/>
              </w:rPr>
            </w:pPr>
          </w:p>
        </w:tc>
      </w:tr>
      <w:tr>
        <w:trPr>
          <w:trHeight w:val="144"/>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November 19, 2020 to December 30, 2020</w:t>
            </w: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56"/>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r>
      <w:tr>
        <w:trPr>
          <w:trHeight w:val="140"/>
        </w:trPr>
        <w:tc>
          <w:tcPr>
            <w:tcW w:w="5680" w:type="dxa"/>
            <w:vAlign w:val="bottom"/>
          </w:tcPr>
          <w:p>
            <w:pPr>
              <w:ind w:left="80"/>
              <w:spacing w:after="0" w:line="133" w:lineRule="exact"/>
              <w:rPr>
                <w:sz w:val="20"/>
                <w:szCs w:val="20"/>
                <w:color w:val="auto"/>
              </w:rPr>
            </w:pPr>
            <w:r>
              <w:rPr>
                <w:rFonts w:ascii="Arial" w:cs="Arial" w:eastAsia="Arial" w:hAnsi="Arial"/>
                <w:sz w:val="12"/>
                <w:szCs w:val="12"/>
                <w:color w:val="auto"/>
              </w:rPr>
              <w:t>Total</w:t>
            </w:r>
          </w:p>
        </w:tc>
        <w:tc>
          <w:tcPr>
            <w:tcW w:w="1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289</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14.98</w:t>
            </w:r>
          </w:p>
        </w:tc>
        <w:tc>
          <w:tcPr>
            <w:tcW w:w="220" w:type="dxa"/>
            <w:vAlign w:val="bottom"/>
          </w:tcPr>
          <w:p>
            <w:pPr>
              <w:spacing w:after="0"/>
              <w:rPr>
                <w:sz w:val="12"/>
                <w:szCs w:val="12"/>
                <w:color w:val="auto"/>
              </w:rPr>
            </w:pPr>
          </w:p>
        </w:tc>
      </w:tr>
    </w:tbl>
    <w:p>
      <w:pPr>
        <w:spacing w:after="0" w:line="27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 Performance Graph</w:t>
      </w:r>
    </w:p>
    <w:p>
      <w:pPr>
        <w:spacing w:after="0" w:line="154" w:lineRule="exact"/>
        <w:rPr>
          <w:sz w:val="20"/>
          <w:szCs w:val="20"/>
          <w:color w:val="auto"/>
        </w:rPr>
      </w:pPr>
    </w:p>
    <w:p>
      <w:pPr>
        <w:ind w:left="20" w:right="119"/>
        <w:spacing w:after="0" w:line="259" w:lineRule="auto"/>
        <w:rPr>
          <w:sz w:val="20"/>
          <w:szCs w:val="20"/>
          <w:color w:val="auto"/>
        </w:rPr>
      </w:pPr>
      <w:r>
        <w:rPr>
          <w:rFonts w:ascii="Arial" w:cs="Arial" w:eastAsia="Arial" w:hAnsi="Arial"/>
          <w:sz w:val="12"/>
          <w:szCs w:val="12"/>
          <w:color w:val="auto"/>
        </w:rPr>
        <w:t>The following graph and table illustrate the total cumulative shareholder return for (i) our common stock, (ii) the Nasdaq Composite Total Return Index and (iii) the Standard and Poor’s Supercomposite Restaurants Index, for the five years ended December 30, 2020. The graph assumes the investment of $100 at the beginning of the period (at the closing price of our common stock on December 30, 2015) and the reinvestment of all dividends. Stockholder returns over the indicated period should not be considered indicative of future stockholder returns.</w:t>
      </w:r>
    </w:p>
    <w:p>
      <w:pPr>
        <w:spacing w:after="0" w:line="124" w:lineRule="exact"/>
        <w:rPr>
          <w:sz w:val="20"/>
          <w:szCs w:val="20"/>
          <w:color w:val="auto"/>
        </w:rPr>
      </w:pPr>
    </w:p>
    <w:p>
      <w:pPr>
        <w:ind w:left="20" w:right="259"/>
        <w:spacing w:after="0" w:line="259" w:lineRule="auto"/>
        <w:rPr>
          <w:sz w:val="20"/>
          <w:szCs w:val="20"/>
          <w:color w:val="auto"/>
        </w:rPr>
      </w:pPr>
      <w:r>
        <w:rPr>
          <w:rFonts w:ascii="Arial" w:cs="Arial" w:eastAsia="Arial" w:hAnsi="Arial"/>
          <w:sz w:val="12"/>
          <w:szCs w:val="12"/>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1" w:name="page32"/>
    <w:bookmarkEnd w:id="3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461010</wp:posOffset>
            </wp:positionV>
            <wp:extent cx="3623310" cy="1651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3310" cy="165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125"/>
              <w:spacing w:after="0"/>
              <w:rPr>
                <w:sz w:val="20"/>
                <w:szCs w:val="20"/>
                <w:color w:val="auto"/>
              </w:rPr>
            </w:pPr>
            <w:r>
              <w:rPr>
                <w:rFonts w:ascii="Arial" w:cs="Arial" w:eastAsia="Arial" w:hAnsi="Arial"/>
                <w:sz w:val="10"/>
                <w:szCs w:val="10"/>
                <w:b w:val="1"/>
                <w:bCs w:val="1"/>
                <w:color w:val="auto"/>
                <w:w w:val="87"/>
              </w:rPr>
              <w:t>S&amp;P</w:t>
            </w:r>
          </w:p>
        </w:tc>
      </w:tr>
      <w:tr>
        <w:trPr>
          <w:trHeight w:val="99"/>
        </w:trPr>
        <w:tc>
          <w:tcPr>
            <w:tcW w:w="6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jc w:val="center"/>
              <w:ind w:right="125"/>
              <w:spacing w:after="0" w:line="99" w:lineRule="exact"/>
              <w:rPr>
                <w:sz w:val="20"/>
                <w:szCs w:val="20"/>
                <w:color w:val="auto"/>
              </w:rPr>
            </w:pPr>
            <w:r>
              <w:rPr>
                <w:rFonts w:ascii="Arial" w:cs="Arial" w:eastAsia="Arial" w:hAnsi="Arial"/>
                <w:sz w:val="10"/>
                <w:szCs w:val="10"/>
                <w:b w:val="1"/>
                <w:bCs w:val="1"/>
                <w:color w:val="auto"/>
                <w:w w:val="84"/>
              </w:rPr>
              <w:t>Supercomposite</w:t>
            </w:r>
          </w:p>
        </w:tc>
      </w:tr>
      <w:tr>
        <w:trPr>
          <w:trHeight w:val="99"/>
        </w:trPr>
        <w:tc>
          <w:tcPr>
            <w:tcW w:w="6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2"/>
              </w:rPr>
              <w:t>Nasdaq</w:t>
            </w:r>
          </w:p>
        </w:tc>
        <w:tc>
          <w:tcPr>
            <w:tcW w:w="160" w:type="dxa"/>
            <w:vAlign w:val="bottom"/>
          </w:tcPr>
          <w:p>
            <w:pPr>
              <w:spacing w:after="0"/>
              <w:rPr>
                <w:sz w:val="8"/>
                <w:szCs w:val="8"/>
                <w:color w:val="auto"/>
              </w:rPr>
            </w:pPr>
          </w:p>
        </w:tc>
        <w:tc>
          <w:tcPr>
            <w:tcW w:w="1040" w:type="dxa"/>
            <w:vAlign w:val="bottom"/>
          </w:tcPr>
          <w:p>
            <w:pPr>
              <w:jc w:val="center"/>
              <w:ind w:right="105"/>
              <w:spacing w:after="0" w:line="99" w:lineRule="exact"/>
              <w:rPr>
                <w:sz w:val="20"/>
                <w:szCs w:val="20"/>
                <w:color w:val="auto"/>
              </w:rPr>
            </w:pPr>
            <w:r>
              <w:rPr>
                <w:rFonts w:ascii="Arial" w:cs="Arial" w:eastAsia="Arial" w:hAnsi="Arial"/>
                <w:sz w:val="10"/>
                <w:szCs w:val="10"/>
                <w:b w:val="1"/>
                <w:bCs w:val="1"/>
                <w:color w:val="auto"/>
                <w:w w:val="82"/>
              </w:rPr>
              <w:t>Restaurants</w:t>
            </w:r>
          </w:p>
        </w:tc>
      </w:tr>
      <w:tr>
        <w:trPr>
          <w:trHeight w:val="113"/>
        </w:trPr>
        <w:tc>
          <w:tcPr>
            <w:tcW w:w="680" w:type="dxa"/>
            <w:vAlign w:val="bottom"/>
          </w:tcPr>
          <w:p>
            <w:pPr>
              <w:spacing w:after="0" w:line="114" w:lineRule="exact"/>
              <w:rPr>
                <w:sz w:val="20"/>
                <w:szCs w:val="20"/>
                <w:color w:val="auto"/>
              </w:rPr>
            </w:pPr>
            <w:r>
              <w:rPr>
                <w:rFonts w:ascii="Arial" w:cs="Arial" w:eastAsia="Arial" w:hAnsi="Arial"/>
                <w:sz w:val="10"/>
                <w:szCs w:val="10"/>
                <w:b w:val="1"/>
                <w:bCs w:val="1"/>
                <w:color w:val="auto"/>
              </w:rPr>
              <w:t>Date</w:t>
            </w:r>
          </w:p>
        </w:tc>
        <w:tc>
          <w:tcPr>
            <w:tcW w:w="3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LOCO</w:t>
            </w:r>
          </w:p>
        </w:tc>
        <w:tc>
          <w:tcPr>
            <w:tcW w:w="240" w:type="dxa"/>
            <w:vAlign w:val="bottom"/>
          </w:tcPr>
          <w:p>
            <w:pPr>
              <w:spacing w:after="0"/>
              <w:rPr>
                <w:sz w:val="9"/>
                <w:szCs w:val="9"/>
                <w:color w:val="auto"/>
              </w:rPr>
            </w:pPr>
          </w:p>
        </w:tc>
        <w:tc>
          <w:tcPr>
            <w:tcW w:w="1260" w:type="dxa"/>
            <w:vAlign w:val="bottom"/>
            <w:gridSpan w:val="2"/>
          </w:tcPr>
          <w:p>
            <w:pPr>
              <w:jc w:val="center"/>
              <w:ind w:right="500"/>
              <w:spacing w:after="0" w:line="114" w:lineRule="exact"/>
              <w:rPr>
                <w:sz w:val="20"/>
                <w:szCs w:val="20"/>
                <w:color w:val="auto"/>
              </w:rPr>
            </w:pPr>
            <w:r>
              <w:rPr>
                <w:rFonts w:ascii="Arial" w:cs="Arial" w:eastAsia="Arial" w:hAnsi="Arial"/>
                <w:sz w:val="10"/>
                <w:szCs w:val="10"/>
                <w:b w:val="1"/>
                <w:bCs w:val="1"/>
                <w:color w:val="auto"/>
                <w:w w:val="85"/>
              </w:rPr>
              <w:t>Composite</w:t>
            </w:r>
          </w:p>
        </w:tc>
        <w:tc>
          <w:tcPr>
            <w:tcW w:w="160" w:type="dxa"/>
            <w:vAlign w:val="bottom"/>
          </w:tcPr>
          <w:p>
            <w:pPr>
              <w:spacing w:after="0"/>
              <w:rPr>
                <w:sz w:val="9"/>
                <w:szCs w:val="9"/>
                <w:color w:val="auto"/>
              </w:rPr>
            </w:pPr>
          </w:p>
        </w:tc>
        <w:tc>
          <w:tcPr>
            <w:tcW w:w="1040" w:type="dxa"/>
            <w:vAlign w:val="bottom"/>
          </w:tcPr>
          <w:p>
            <w:pPr>
              <w:jc w:val="right"/>
              <w:ind w:right="425"/>
              <w:spacing w:after="0" w:line="114" w:lineRule="exact"/>
              <w:rPr>
                <w:sz w:val="20"/>
                <w:szCs w:val="20"/>
                <w:color w:val="auto"/>
              </w:rPr>
            </w:pPr>
            <w:r>
              <w:rPr>
                <w:rFonts w:ascii="Arial" w:cs="Arial" w:eastAsia="Arial" w:hAnsi="Arial"/>
                <w:sz w:val="10"/>
                <w:szCs w:val="10"/>
                <w:b w:val="1"/>
                <w:bCs w:val="1"/>
                <w:color w:val="auto"/>
              </w:rPr>
              <w:t>Index</w:t>
            </w:r>
          </w:p>
        </w:tc>
      </w:tr>
      <w:tr>
        <w:trPr>
          <w:trHeight w:val="133"/>
        </w:trPr>
        <w:tc>
          <w:tcPr>
            <w:tcW w:w="4520" w:type="dxa"/>
            <w:vAlign w:val="bottom"/>
            <w:tcBorders>
              <w:top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December 30, 2015</w:t>
            </w: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100.00</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100.00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100.00</w:t>
            </w:r>
          </w:p>
        </w:tc>
      </w:tr>
      <w:tr>
        <w:trPr>
          <w:trHeight w:val="144"/>
        </w:trPr>
        <w:tc>
          <w:tcPr>
            <w:tcW w:w="4780" w:type="dxa"/>
            <w:vAlign w:val="bottom"/>
            <w:gridSpan w:val="3"/>
          </w:tcPr>
          <w:p>
            <w:pPr>
              <w:spacing w:after="0"/>
              <w:rPr>
                <w:sz w:val="20"/>
                <w:szCs w:val="20"/>
                <w:color w:val="auto"/>
              </w:rPr>
            </w:pPr>
            <w:r>
              <w:rPr>
                <w:rFonts w:ascii="Arial" w:cs="Arial" w:eastAsia="Arial" w:hAnsi="Arial"/>
                <w:sz w:val="12"/>
                <w:szCs w:val="12"/>
                <w:color w:val="auto"/>
              </w:rPr>
              <w:t>December 28, 2016</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99.37</w:t>
            </w:r>
          </w:p>
        </w:tc>
        <w:tc>
          <w:tcPr>
            <w:tcW w:w="26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108.71</w:t>
            </w:r>
          </w:p>
        </w:tc>
        <w:tc>
          <w:tcPr>
            <w:tcW w:w="28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106.31</w:t>
            </w:r>
          </w:p>
        </w:tc>
      </w:tr>
      <w:tr>
        <w:trPr>
          <w:trHeight w:val="144"/>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December 27, 2017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129.41</w:t>
            </w:r>
          </w:p>
        </w:tc>
      </w:tr>
      <w:tr>
        <w:trPr>
          <w:trHeight w:val="144"/>
        </w:trPr>
        <w:tc>
          <w:tcPr>
            <w:tcW w:w="4780" w:type="dxa"/>
            <w:vAlign w:val="bottom"/>
            <w:gridSpan w:val="3"/>
          </w:tcPr>
          <w:p>
            <w:pPr>
              <w:spacing w:after="0"/>
              <w:rPr>
                <w:sz w:val="20"/>
                <w:szCs w:val="20"/>
                <w:color w:val="auto"/>
              </w:rPr>
            </w:pPr>
            <w:r>
              <w:rPr>
                <w:rFonts w:ascii="Arial" w:cs="Arial" w:eastAsia="Arial" w:hAnsi="Arial"/>
                <w:sz w:val="12"/>
                <w:szCs w:val="12"/>
                <w:color w:val="auto"/>
              </w:rPr>
              <w:t>December 26, 2018</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119.09</w:t>
            </w:r>
          </w:p>
        </w:tc>
        <w:tc>
          <w:tcPr>
            <w:tcW w:w="26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133.86</w:t>
            </w:r>
          </w:p>
        </w:tc>
        <w:tc>
          <w:tcPr>
            <w:tcW w:w="28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139.31</w:t>
            </w:r>
          </w:p>
        </w:tc>
      </w:tr>
      <w:tr>
        <w:trPr>
          <w:trHeight w:val="144"/>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December 24, 2019</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170.62</w:t>
            </w:r>
          </w:p>
        </w:tc>
      </w:tr>
      <w:tr>
        <w:trPr>
          <w:trHeight w:val="153"/>
        </w:trPr>
        <w:tc>
          <w:tcPr>
            <w:tcW w:w="4780" w:type="dxa"/>
            <w:vAlign w:val="bottom"/>
            <w:gridSpan w:val="3"/>
          </w:tcPr>
          <w:p>
            <w:pPr>
              <w:spacing w:after="0"/>
              <w:rPr>
                <w:sz w:val="20"/>
                <w:szCs w:val="20"/>
                <w:color w:val="auto"/>
              </w:rPr>
            </w:pPr>
            <w:r>
              <w:rPr>
                <w:rFonts w:ascii="Arial" w:cs="Arial" w:eastAsia="Arial" w:hAnsi="Arial"/>
                <w:sz w:val="12"/>
                <w:szCs w:val="12"/>
                <w:color w:val="auto"/>
              </w:rPr>
              <w:t>December 30, 2020</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143.61</w:t>
            </w:r>
          </w:p>
        </w:tc>
        <w:tc>
          <w:tcPr>
            <w:tcW w:w="26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268.12</w:t>
            </w:r>
          </w:p>
        </w:tc>
        <w:tc>
          <w:tcPr>
            <w:tcW w:w="28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198.79</w:t>
            </w:r>
          </w:p>
        </w:tc>
      </w:tr>
      <w:tr>
        <w:trPr>
          <w:trHeight w:val="441"/>
        </w:trPr>
        <w:tc>
          <w:tcPr>
            <w:tcW w:w="68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41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SELECTED FINANCIAL DATA</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8"/>
        </w:trPr>
        <w:tc>
          <w:tcPr>
            <w:tcW w:w="680" w:type="dxa"/>
            <w:vAlign w:val="bottom"/>
          </w:tcPr>
          <w:p>
            <w:pPr>
              <w:spacing w:after="0"/>
              <w:rPr>
                <w:sz w:val="20"/>
                <w:szCs w:val="20"/>
                <w:color w:val="auto"/>
              </w:rPr>
            </w:pPr>
            <w:r>
              <w:rPr>
                <w:rFonts w:ascii="Arial" w:cs="Arial" w:eastAsia="Arial" w:hAnsi="Arial"/>
                <w:sz w:val="12"/>
                <w:szCs w:val="12"/>
                <w:color w:val="auto"/>
              </w:rPr>
              <w:t>Reserved.</w:t>
            </w: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54"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i w:val="1"/>
          <w:iCs w:val="1"/>
          <w:color w:val="auto"/>
        </w:rPr>
        <w:t>The following discussion should be read in conjunction with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included elsewhere in this Annual Report. We assume no obligation to update any of these forward-looking statements.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ind w:left="20" w:right="99"/>
        <w:spacing w:after="0" w:line="320" w:lineRule="auto"/>
        <w:rPr>
          <w:sz w:val="20"/>
          <w:szCs w:val="20"/>
          <w:color w:val="auto"/>
        </w:rPr>
      </w:pPr>
      <w:r>
        <w:rPr>
          <w:rFonts w:ascii="Arial" w:cs="Arial" w:eastAsia="Arial" w:hAnsi="Arial"/>
          <w:sz w:val="10"/>
          <w:szCs w:val="10"/>
          <w:color w:val="auto"/>
        </w:rPr>
        <w:t>We use a 52- or 53-week fiscal year ending on the last Wednesday of each calendar year. Fiscal 2020, 2019, and 2018 ended on December 30, 2020, December 25, 2019 and December 26, 2018,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2020 was a 53-week fiscal year. Fiscal 2019 and 2018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2020 refer to the fiscal year ended December 30, 2020.</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2" w:name="page33"/>
    <w:bookmarkEnd w:id="3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COVID-19 Impact</w:t>
      </w:r>
    </w:p>
    <w:p>
      <w:pPr>
        <w:spacing w:after="0" w:line="154" w:lineRule="exact"/>
        <w:rPr>
          <w:sz w:val="20"/>
          <w:szCs w:val="20"/>
          <w:color w:val="auto"/>
        </w:rPr>
      </w:pPr>
    </w:p>
    <w:p>
      <w:pPr>
        <w:ind w:left="20" w:right="399"/>
        <w:spacing w:after="0" w:line="323" w:lineRule="auto"/>
        <w:rPr>
          <w:sz w:val="20"/>
          <w:szCs w:val="20"/>
          <w:color w:val="auto"/>
        </w:rPr>
      </w:pPr>
      <w:r>
        <w:rPr>
          <w:rFonts w:ascii="Arial" w:cs="Arial" w:eastAsia="Arial" w:hAnsi="Arial"/>
          <w:sz w:val="11"/>
          <w:szCs w:val="11"/>
          <w:color w:val="auto"/>
        </w:rPr>
        <w:t>On January 30, 2020, the WHO announced a global health emergency in response to the emergence of COVID-19 and the risks to the international community as the virus spreads globally beyond its point of origin. On March 11, 2020, the WHO classified the COVID-19 outbreak as a pandemic, based on the rapid increase in exposure globally.</w:t>
      </w:r>
    </w:p>
    <w:p>
      <w:pPr>
        <w:spacing w:after="0" w:line="92" w:lineRule="exact"/>
        <w:rPr>
          <w:sz w:val="20"/>
          <w:szCs w:val="20"/>
          <w:color w:val="auto"/>
        </w:rPr>
      </w:pPr>
    </w:p>
    <w:p>
      <w:pPr>
        <w:ind w:left="20" w:right="59"/>
        <w:spacing w:after="0" w:line="278" w:lineRule="auto"/>
        <w:rPr>
          <w:sz w:val="20"/>
          <w:szCs w:val="20"/>
          <w:color w:val="auto"/>
        </w:rPr>
      </w:pPr>
      <w:r>
        <w:rPr>
          <w:rFonts w:ascii="Arial" w:cs="Arial" w:eastAsia="Arial" w:hAnsi="Arial"/>
          <w:sz w:val="11"/>
          <w:szCs w:val="11"/>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our sales are associated with dine-in service. Many state and local governments continue to implement certain restrictions to try and contain the spread of the virus. As of December 30, 2020, the majority of our restaurants in markets outside of California have dining rooms open at a limited capacity, while the majority of our restaurants in California are continuing to operate on a take-away, mobile pick-up and delivery basis, as well as maintaining drive-thru operations where available to comply with the government mandates. Additionally, the Los Angeles market was heavily impacted by a spike in COVID-19 cases near the end of fiscal 2020. Due to our high concentration in this market, we were disproportionately impacted by this spike. Due to the impact of the COVID-19 pandemic, during the year ended December 30, 2020, we temporarily closed 154 restaurants, of which all but seven have reopened as of December 30, 2020. Similarly, during the year ended December 30, 2020, our franchisees temporarily closed 69 restaurants, of which all but three have reopened as of December 30, 2020. For both franchise-operated and company-operated restaurants, this represents total closures and may include more than one closure for the same restaurant. These closures typically lasted from one to three days. As of December 30, 2020, we had not permanently closed any restaurants due to the COVID-19 pandemic.</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Below is a summary of other actions we have taken to enhance financial and operating flexibility for the Company and for our franchisees, and to protect our employees and customers:</w:t>
      </w:r>
    </w:p>
    <w:p>
      <w:pPr>
        <w:spacing w:after="0" w:line="162" w:lineRule="exact"/>
        <w:rPr>
          <w:sz w:val="20"/>
          <w:szCs w:val="20"/>
          <w:color w:val="auto"/>
        </w:rPr>
      </w:pPr>
    </w:p>
    <w:p>
      <w:pPr>
        <w:ind w:left="480" w:right="39" w:hanging="224"/>
        <w:spacing w:after="0" w:line="278" w:lineRule="auto"/>
        <w:tabs>
          <w:tab w:leader="none" w:pos="480" w:val="left"/>
        </w:tabs>
        <w:numPr>
          <w:ilvl w:val="0"/>
          <w:numId w:val="9"/>
        </w:numPr>
        <w:rPr>
          <w:rFonts w:ascii="Arial" w:cs="Arial" w:eastAsia="Arial" w:hAnsi="Arial"/>
          <w:sz w:val="11"/>
          <w:szCs w:val="11"/>
          <w:color w:val="auto"/>
        </w:rPr>
      </w:pPr>
      <w:r>
        <w:rPr>
          <w:rFonts w:ascii="Arial" w:cs="Arial" w:eastAsia="Arial" w:hAnsi="Arial"/>
          <w:sz w:val="11"/>
          <w:szCs w:val="11"/>
          <w:color w:val="auto"/>
        </w:rPr>
        <w:t>As a precautionary measure, we initially bolstered our existing cash position by fully drawing down our $150 million 2018 Revolver, adding $34.5 million of cash to our balance sheet. However, subsequent to the initial drawdown, we paid down $78.7 million, net of additional borrowings, on our 2018 Revolver. See Note 6 “Long-Term Debt” in the accompanying “Notes to Consolidated Financial Statements” in this Annual Report for further details regarding our current debt balances.</w:t>
      </w:r>
    </w:p>
    <w:p>
      <w:pPr>
        <w:spacing w:after="0" w:line="1" w:lineRule="exact"/>
        <w:rPr>
          <w:rFonts w:ascii="Arial" w:cs="Arial" w:eastAsia="Arial" w:hAnsi="Arial"/>
          <w:sz w:val="11"/>
          <w:szCs w:val="11"/>
          <w:color w:val="auto"/>
        </w:rPr>
      </w:pPr>
    </w:p>
    <w:p>
      <w:pPr>
        <w:ind w:left="480" w:right="259" w:hanging="224"/>
        <w:spacing w:after="0" w:line="250" w:lineRule="auto"/>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temporarily suspended all share repurchase activity, significantly reduced capital spending, reevaluated essential support center general and administrative expenses, and fine-tuned our restaurant labor model based on indoor dining room restrictions, limited dining room capacity in restaurants located in geographies where indoor dining is permitted, dining room closures and fluctuating sales volume.</w:t>
      </w:r>
    </w:p>
    <w:p>
      <w:pPr>
        <w:ind w:left="480" w:right="59" w:hanging="224"/>
        <w:spacing w:after="0" w:line="253" w:lineRule="auto"/>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our franchisees, we deferred 50% of their April royalties until July 1, 2020, when such royalties began to be repaid in even monthly installments over the remainder of fiscal 2020. As of December 30, 2020, all deferred royalty balances have been repaid. In addition, we deferred 100% of our franchisees’ 2020 remodel and new restaurant build requirements until the beginning of 2021. We also established a support team to assist franchisees in accessing funds and benefits provided by the CARES Act, which was signed into law on March 27, 2020.</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3" w:name="page34"/>
    <w:bookmarkEnd w:id="3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right="39" w:hanging="224"/>
        <w:spacing w:after="0" w:line="254" w:lineRule="auto"/>
        <w:tabs>
          <w:tab w:leader="none" w:pos="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our employees, we continue to implement actions to help protect them from the coronavirus while working in our restaurants. These include implementing pre-shift health assessments, enhanced cleaning procedures in our restaurants, providing gloves and masks to all system restaurant employees, installing plexiglass shields at company restaurant cashier stations and initiating other social distancing measures. We are providing extended sick leave benefits to employees impacted by COVID-19, and we initially granted two weeks paid leave for employees who are 65 or older.</w:t>
      </w:r>
    </w:p>
    <w:p>
      <w:pPr>
        <w:ind w:left="480" w:right="299" w:hanging="224"/>
        <w:spacing w:after="0" w:line="250" w:lineRule="auto"/>
        <w:tabs>
          <w:tab w:leader="none" w:pos="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have shifted our marketing to highlight our free delivery program; our Family Meals as a better for you and more affordable option; and our meaningful value platform. Additionally, we have added curbside pick-up, enabling customers to pick-up their orders from the safety of their own cars.</w:t>
      </w:r>
    </w:p>
    <w:p>
      <w:pPr>
        <w:ind w:left="480" w:right="299" w:hanging="224"/>
        <w:spacing w:after="0" w:line="250" w:lineRule="auto"/>
        <w:tabs>
          <w:tab w:leader="none" w:pos="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delayed making April, May and June rent payments on the majority of our leased properties, and we have reached rent abatement and/or deferment agreements with our landlords for those properties.</w:t>
      </w:r>
    </w:p>
    <w:p>
      <w:pPr>
        <w:ind w:left="480" w:right="159" w:hanging="224"/>
        <w:spacing w:after="0" w:line="260" w:lineRule="auto"/>
        <w:tabs>
          <w:tab w:leader="none" w:pos="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have taken advantage of provisions available under the CARES Act. Specifically, we have deferred payment of employer Social Security taxes that are otherwise owed for wage payments.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fiscal 2020, we incurred 4.9 million in COVID-19 related expenses, primarily due to leaves of absence and overtime pay.</w:t>
      </w:r>
    </w:p>
    <w:p>
      <w:pPr>
        <w:spacing w:after="0" w:line="150" w:lineRule="exact"/>
        <w:rPr>
          <w:sz w:val="20"/>
          <w:szCs w:val="20"/>
          <w:color w:val="auto"/>
        </w:rPr>
      </w:pPr>
    </w:p>
    <w:p>
      <w:pPr>
        <w:ind w:left="20" w:right="159"/>
        <w:spacing w:after="0" w:line="254" w:lineRule="auto"/>
        <w:rPr>
          <w:sz w:val="20"/>
          <w:szCs w:val="20"/>
          <w:color w:val="auto"/>
        </w:rPr>
      </w:pPr>
      <w:r>
        <w:rPr>
          <w:rFonts w:ascii="Arial" w:cs="Arial" w:eastAsia="Arial" w:hAnsi="Arial"/>
          <w:sz w:val="12"/>
          <w:szCs w:val="12"/>
          <w:color w:val="auto"/>
        </w:rPr>
        <w:t>The full impact of the COVID-19 outbreak continues to evolve as of the date of this report. We are continually evaluating the impact of the global crisis on our financial condition, liquidity, operations, suppliers, industry, and workforce and will take additional actions as necessary. The disruption in operations has led to us considering the impact of the COVID-19 pandemic on our liquidity, debt covenant compliance, and recoverability of long-lived and ROU assets, goodwill and intangible assets, among others. If these disruptions to our operations from the COVID-19 pandemic continue or worsen, they may have a material negative impact on our financial results, future operations and liquidity. The extent of such negative impact will depend, in part, on the longevity and severity of the COVID-19 pandemic, including the severity and transmission rates of COVID-19 variants, resurgences of COVID-19 that may continue to occur, the availability, distribution and efficacy of COVID-19 vaccines and how quickly and to what extent normal economic and operating conditions improve.</w:t>
      </w:r>
    </w:p>
    <w:p>
      <w:pPr>
        <w:spacing w:after="0" w:line="130" w:lineRule="exact"/>
        <w:rPr>
          <w:sz w:val="20"/>
          <w:szCs w:val="20"/>
          <w:color w:val="auto"/>
        </w:rPr>
      </w:pPr>
    </w:p>
    <w:p>
      <w:pPr>
        <w:ind w:left="20" w:right="259"/>
        <w:spacing w:after="0" w:line="263" w:lineRule="auto"/>
        <w:rPr>
          <w:sz w:val="20"/>
          <w:szCs w:val="20"/>
          <w:color w:val="auto"/>
        </w:rPr>
      </w:pPr>
      <w:r>
        <w:rPr>
          <w:rFonts w:ascii="Arial" w:cs="Arial" w:eastAsia="Arial" w:hAnsi="Arial"/>
          <w:sz w:val="12"/>
          <w:szCs w:val="12"/>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Growth Strategies and Outlook</w:t>
      </w:r>
    </w:p>
    <w:p>
      <w:pPr>
        <w:spacing w:after="0" w:line="154"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It is our intention to return to the following long-term growth strategy after the impact of the COVID-19 pandemic subsides. We plan to continue to expand our business, drive restaurant sales growth, and enhance our competitive positioning, by executing the following strategies:</w:t>
      </w:r>
    </w:p>
    <w:p>
      <w:pPr>
        <w:spacing w:after="0" w:line="115" w:lineRule="exact"/>
        <w:rPr>
          <w:sz w:val="20"/>
          <w:szCs w:val="20"/>
          <w:color w:val="auto"/>
        </w:rPr>
      </w:pPr>
    </w:p>
    <w:p>
      <w:pPr>
        <w:ind w:left="480" w:hanging="224"/>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expand our restaurant base;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increase our comparable restaurant sales; and</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enhance operations and leverage our infrastructure.</w:t>
      </w:r>
    </w:p>
    <w:p>
      <w:pPr>
        <w:spacing w:after="0" w:line="150" w:lineRule="exact"/>
        <w:rPr>
          <w:sz w:val="20"/>
          <w:szCs w:val="20"/>
          <w:color w:val="auto"/>
        </w:rPr>
      </w:pPr>
    </w:p>
    <w:p>
      <w:pPr>
        <w:ind w:left="20" w:right="159"/>
        <w:spacing w:after="0" w:line="259" w:lineRule="auto"/>
        <w:rPr>
          <w:sz w:val="20"/>
          <w:szCs w:val="20"/>
          <w:color w:val="auto"/>
        </w:rPr>
      </w:pPr>
      <w:r>
        <w:rPr>
          <w:rFonts w:ascii="Arial" w:cs="Arial" w:eastAsia="Arial" w:hAnsi="Arial"/>
          <w:sz w:val="12"/>
          <w:szCs w:val="12"/>
          <w:color w:val="auto"/>
        </w:rPr>
        <w:t>As of December 30, 2020, we had 479 locations in six states. In fiscal 2020, we opened one new company-operated restaurant in Nevada, which was in process prior to the COVID-19 pandemic and our franchisees opened three new restaurants, two in California and one in Arizona. As a result of the COVID-19 crisis, we suspended company-operated new unit development until the timing of the economic recovery and our business improvement became more clear. In addition, we allowed franchisees to defer their 2020 new unit development obligations until 2021.</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fiscal 2019, we opened two new company-operated restaurants and our franchisees opened two new restaurants, all in California.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4" w:name="page35"/>
    <w:bookmarkEnd w:id="3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In 2021, we intend to open three to five new company-operated and four to six new franchised restaurants. To increase comparable restaurant sales, we plan to increase customer frequency, attract new customers, and improve per-person spend.</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Highlights and Trends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Comparable Restaurant Sales</w:t>
      </w:r>
    </w:p>
    <w:p>
      <w:pPr>
        <w:spacing w:after="0" w:line="150" w:lineRule="exact"/>
        <w:rPr>
          <w:sz w:val="20"/>
          <w:szCs w:val="20"/>
          <w:color w:val="auto"/>
        </w:rPr>
      </w:pPr>
    </w:p>
    <w:p>
      <w:pPr>
        <w:ind w:left="20" w:right="59"/>
        <w:spacing w:after="0" w:line="278" w:lineRule="auto"/>
        <w:rPr>
          <w:sz w:val="20"/>
          <w:szCs w:val="20"/>
          <w:color w:val="auto"/>
        </w:rPr>
      </w:pPr>
      <w:r>
        <w:rPr>
          <w:rFonts w:ascii="Arial" w:cs="Arial" w:eastAsia="Arial" w:hAnsi="Arial"/>
          <w:sz w:val="11"/>
          <w:szCs w:val="11"/>
          <w:color w:val="auto"/>
        </w:rPr>
        <w:t>In fiscal 2020, comparable restaurant sales system-wide decreased 2.4%. In fiscal 2019 and 2018, comparable restaurant sales system-wide increased 2.0% and 1.2%, respectively. Comparable restaurant sales growth/decline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decreased 3.0% in fiscal 2020, increased 1.9% in fiscal 2019, and increased 0.4% in fiscal 2018. In fiscal 2020, the decrease in company-operated comparable restaurant sales was primarily the result of a decrease in transactions of 15.8%, partially offset by a 15.3% increase in average check size. The increase in average check includes a 4.1% and 3.6% benefit from gross menu price increases that were implemented during 2020 and 2019, respectively. In fiscal 2019, the increase in company-operated comparable restaurant sales was primarily the result of an increase in average check size of 2.9%, partially offset by a decrease in transactions of 1.0%. In fiscal 2018, the increase in company-operated comparable restaurant sales was driven by an increase in average check size of 1.4%, partially offset by a decrease in transactions of 1.0%. In fiscal 2020, comparable restaurant sales at franchised restaurants decreased 2.0%. In fiscal 2019 and 2018, comparable restaurant sales at franchised restaurants increased 2.0% and 1.8%, respectively.</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Restaurant Development</w:t>
      </w:r>
    </w:p>
    <w:p>
      <w:pPr>
        <w:spacing w:after="0" w:line="150"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In fiscal 2020, we opened one company-operated restaurant, and our franchisees opened three new restaurants. From time to time, we and our franchisees close restaurants. In fiscal 2020, we did not close any restaurants. Our franchisees closed seven restaurants. Our restaurant counts at the beginning and end of each of the last three years were as follows:</w:t>
      </w:r>
    </w:p>
    <w:p>
      <w:pPr>
        <w:spacing w:after="0" w:line="93" w:lineRule="exact"/>
        <w:rPr>
          <w:sz w:val="20"/>
          <w:szCs w:val="20"/>
          <w:color w:val="auto"/>
        </w:rPr>
      </w:pPr>
    </w:p>
    <w:p>
      <w:pPr>
        <w:ind w:left="7200"/>
        <w:spacing w:after="0"/>
        <w:rPr>
          <w:sz w:val="20"/>
          <w:szCs w:val="20"/>
          <w:color w:val="auto"/>
        </w:rPr>
      </w:pPr>
      <w:r>
        <w:rPr>
          <w:rFonts w:ascii="Arial" w:cs="Arial" w:eastAsia="Arial" w:hAnsi="Arial"/>
          <w:sz w:val="10"/>
          <w:szCs w:val="10"/>
          <w:b w:val="1"/>
          <w:bCs w:val="1"/>
          <w:color w:val="auto"/>
        </w:rPr>
        <w:t>Fiscal Year Ended</w:t>
      </w:r>
    </w:p>
    <w:tbl>
      <w:tblPr>
        <w:tblLayout w:type="fixed"/>
        <w:tblInd w:w="20" w:type="dxa"/>
        <w:tblCellMar>
          <w:top w:w="0" w:type="dxa"/>
          <w:left w:w="0" w:type="dxa"/>
          <w:bottom w:w="0" w:type="dxa"/>
          <w:right w:w="0" w:type="dxa"/>
        </w:tblCellMar>
      </w:tblPr>
      <w:tr>
        <w:trPr>
          <w:trHeight w:val="88"/>
        </w:trPr>
        <w:tc>
          <w:tcPr>
            <w:tcW w:w="6140" w:type="dxa"/>
            <w:vAlign w:val="bottom"/>
          </w:tcPr>
          <w:p>
            <w:pPr>
              <w:spacing w:after="0"/>
              <w:rPr>
                <w:sz w:val="7"/>
                <w:szCs w:val="7"/>
                <w:color w:val="auto"/>
              </w:rPr>
            </w:pPr>
          </w:p>
        </w:tc>
        <w:tc>
          <w:tcPr>
            <w:tcW w:w="5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000" w:type="dxa"/>
            <w:vAlign w:val="bottom"/>
            <w:tcBorders>
              <w:top w:val="single" w:sz="8" w:color="auto"/>
            </w:tcBorders>
            <w:gridSpan w:val="3"/>
          </w:tcPr>
          <w:p>
            <w:pPr>
              <w:jc w:val="right"/>
              <w:ind w:right="40"/>
              <w:spacing w:after="0" w:line="88"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right"/>
              <w:ind w:right="241"/>
              <w:spacing w:after="0" w:line="88" w:lineRule="exact"/>
              <w:rPr>
                <w:sz w:val="20"/>
                <w:szCs w:val="20"/>
                <w:color w:val="auto"/>
              </w:rPr>
            </w:pPr>
            <w:r>
              <w:rPr>
                <w:rFonts w:ascii="Arial" w:cs="Arial" w:eastAsia="Arial" w:hAnsi="Arial"/>
                <w:sz w:val="10"/>
                <w:szCs w:val="10"/>
                <w:b w:val="1"/>
                <w:bCs w:val="1"/>
                <w:color w:val="auto"/>
              </w:rPr>
              <w:t>2018</w:t>
            </w:r>
          </w:p>
        </w:tc>
      </w:tr>
      <w:tr>
        <w:trPr>
          <w:trHeight w:val="133"/>
        </w:trPr>
        <w:tc>
          <w:tcPr>
            <w:tcW w:w="61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Company-operated restaurant activity:</w:t>
            </w: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r>
      <w:tr>
        <w:trPr>
          <w:trHeight w:val="144"/>
        </w:trPr>
        <w:tc>
          <w:tcPr>
            <w:tcW w:w="6680" w:type="dxa"/>
            <w:vAlign w:val="bottom"/>
            <w:gridSpan w:val="2"/>
          </w:tcPr>
          <w:p>
            <w:pPr>
              <w:spacing w:after="0"/>
              <w:rPr>
                <w:sz w:val="20"/>
                <w:szCs w:val="20"/>
                <w:color w:val="auto"/>
              </w:rPr>
            </w:pPr>
            <w:r>
              <w:rPr>
                <w:rFonts w:ascii="Arial" w:cs="Arial" w:eastAsia="Arial" w:hAnsi="Arial"/>
                <w:sz w:val="12"/>
                <w:szCs w:val="12"/>
                <w:color w:val="auto"/>
              </w:rPr>
              <w:t>Beginning of period</w:t>
            </w: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195</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213</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212</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Openings</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6680" w:type="dxa"/>
            <w:vAlign w:val="bottom"/>
            <w:gridSpan w:val="2"/>
          </w:tcPr>
          <w:p>
            <w:pPr>
              <w:spacing w:after="0"/>
              <w:rPr>
                <w:sz w:val="20"/>
                <w:szCs w:val="20"/>
                <w:color w:val="auto"/>
              </w:rPr>
            </w:pPr>
            <w:r>
              <w:rPr>
                <w:rFonts w:ascii="Arial" w:cs="Arial" w:eastAsia="Arial" w:hAnsi="Arial"/>
                <w:sz w:val="12"/>
                <w:szCs w:val="12"/>
                <w:color w:val="auto"/>
              </w:rPr>
              <w:t>Restaurant sale to franchisee</w:t>
            </w:r>
          </w:p>
        </w:tc>
        <w:tc>
          <w:tcPr>
            <w:tcW w:w="1000" w:type="dxa"/>
            <w:vAlign w:val="bottom"/>
            <w:gridSpan w:val="3"/>
          </w:tcPr>
          <w:p>
            <w:pPr>
              <w:jc w:val="right"/>
              <w:ind w:right="78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(16)</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Closures</w:t>
            </w:r>
          </w:p>
        </w:tc>
        <w:tc>
          <w:tcPr>
            <w:tcW w:w="1000" w:type="dxa"/>
            <w:vAlign w:val="bottom"/>
            <w:gridSpan w:val="3"/>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33"/>
        </w:trPr>
        <w:tc>
          <w:tcPr>
            <w:tcW w:w="6140" w:type="dxa"/>
            <w:vAlign w:val="bottom"/>
          </w:tcPr>
          <w:p>
            <w:pPr>
              <w:spacing w:after="0" w:line="133" w:lineRule="exact"/>
              <w:rPr>
                <w:sz w:val="20"/>
                <w:szCs w:val="20"/>
                <w:color w:val="auto"/>
              </w:rPr>
            </w:pPr>
            <w:r>
              <w:rPr>
                <w:rFonts w:ascii="Arial" w:cs="Arial" w:eastAsia="Arial" w:hAnsi="Arial"/>
                <w:sz w:val="12"/>
                <w:szCs w:val="12"/>
                <w:color w:val="auto"/>
              </w:rPr>
              <w:t>Restaurants at end of period</w:t>
            </w: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196</w:t>
            </w: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195</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213</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Franchised restaurant activity:</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80" w:type="dxa"/>
            <w:vAlign w:val="bottom"/>
            <w:gridSpan w:val="2"/>
          </w:tcPr>
          <w:p>
            <w:pPr>
              <w:spacing w:after="0"/>
              <w:rPr>
                <w:sz w:val="20"/>
                <w:szCs w:val="20"/>
                <w:color w:val="auto"/>
              </w:rPr>
            </w:pPr>
            <w:r>
              <w:rPr>
                <w:rFonts w:ascii="Arial" w:cs="Arial" w:eastAsia="Arial" w:hAnsi="Arial"/>
                <w:sz w:val="12"/>
                <w:szCs w:val="12"/>
                <w:color w:val="auto"/>
              </w:rPr>
              <w:t>Beginning of period</w:t>
            </w:r>
          </w:p>
        </w:tc>
        <w:tc>
          <w:tcPr>
            <w:tcW w:w="260" w:type="dxa"/>
            <w:vAlign w:val="bottom"/>
          </w:tcPr>
          <w:p>
            <w:pPr>
              <w:jc w:val="right"/>
              <w:spacing w:after="0"/>
              <w:rPr>
                <w:sz w:val="20"/>
                <w:szCs w:val="20"/>
                <w:color w:val="auto"/>
              </w:rPr>
            </w:pPr>
            <w:r>
              <w:rPr>
                <w:rFonts w:ascii="Arial" w:cs="Arial" w:eastAsia="Arial" w:hAnsi="Arial"/>
                <w:sz w:val="12"/>
                <w:szCs w:val="12"/>
                <w:color w:val="auto"/>
                <w:w w:val="99"/>
              </w:rPr>
              <w:t>287</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271</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265</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Openings</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6680" w:type="dxa"/>
            <w:vAlign w:val="bottom"/>
            <w:gridSpan w:val="2"/>
          </w:tcPr>
          <w:p>
            <w:pPr>
              <w:spacing w:after="0"/>
              <w:rPr>
                <w:sz w:val="20"/>
                <w:szCs w:val="20"/>
                <w:color w:val="auto"/>
              </w:rPr>
            </w:pPr>
            <w:r>
              <w:rPr>
                <w:rFonts w:ascii="Arial" w:cs="Arial" w:eastAsia="Arial" w:hAnsi="Arial"/>
                <w:sz w:val="12"/>
                <w:szCs w:val="12"/>
                <w:color w:val="auto"/>
              </w:rPr>
              <w:t>Restaurant sale to franchisee</w:t>
            </w:r>
          </w:p>
        </w:tc>
        <w:tc>
          <w:tcPr>
            <w:tcW w:w="1000" w:type="dxa"/>
            <w:vAlign w:val="bottom"/>
            <w:gridSpan w:val="3"/>
          </w:tcPr>
          <w:p>
            <w:pPr>
              <w:jc w:val="right"/>
              <w:ind w:right="78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Closures</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w:t>
            </w:r>
          </w:p>
        </w:tc>
        <w:tc>
          <w:tcPr>
            <w:tcW w:w="5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33"/>
        </w:trPr>
        <w:tc>
          <w:tcPr>
            <w:tcW w:w="6140" w:type="dxa"/>
            <w:vAlign w:val="bottom"/>
          </w:tcPr>
          <w:p>
            <w:pPr>
              <w:spacing w:after="0" w:line="133" w:lineRule="exact"/>
              <w:rPr>
                <w:sz w:val="20"/>
                <w:szCs w:val="20"/>
                <w:color w:val="auto"/>
              </w:rPr>
            </w:pPr>
            <w:r>
              <w:rPr>
                <w:rFonts w:ascii="Arial" w:cs="Arial" w:eastAsia="Arial" w:hAnsi="Arial"/>
                <w:sz w:val="12"/>
                <w:szCs w:val="12"/>
                <w:color w:val="auto"/>
              </w:rPr>
              <w:t>Restaurants at end of period</w:t>
            </w: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283</w:t>
            </w: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287</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271</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System-wide restaurant activity:</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6680" w:type="dxa"/>
            <w:vAlign w:val="bottom"/>
            <w:gridSpan w:val="2"/>
          </w:tcPr>
          <w:p>
            <w:pPr>
              <w:spacing w:after="0"/>
              <w:rPr>
                <w:sz w:val="20"/>
                <w:szCs w:val="20"/>
                <w:color w:val="auto"/>
              </w:rPr>
            </w:pPr>
            <w:r>
              <w:rPr>
                <w:rFonts w:ascii="Arial" w:cs="Arial" w:eastAsia="Arial" w:hAnsi="Arial"/>
                <w:sz w:val="12"/>
                <w:szCs w:val="12"/>
                <w:color w:val="auto"/>
              </w:rPr>
              <w:t>Beginning of period</w:t>
            </w:r>
          </w:p>
        </w:tc>
        <w:tc>
          <w:tcPr>
            <w:tcW w:w="260" w:type="dxa"/>
            <w:vAlign w:val="bottom"/>
          </w:tcPr>
          <w:p>
            <w:pPr>
              <w:jc w:val="right"/>
              <w:spacing w:after="0"/>
              <w:rPr>
                <w:sz w:val="20"/>
                <w:szCs w:val="20"/>
                <w:color w:val="auto"/>
              </w:rPr>
            </w:pPr>
            <w:r>
              <w:rPr>
                <w:rFonts w:ascii="Arial" w:cs="Arial" w:eastAsia="Arial" w:hAnsi="Arial"/>
                <w:sz w:val="12"/>
                <w:szCs w:val="12"/>
                <w:color w:val="auto"/>
                <w:w w:val="99"/>
              </w:rPr>
              <w:t>482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484</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477</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Openings</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Closures</w:t>
            </w:r>
          </w:p>
        </w:tc>
        <w:tc>
          <w:tcPr>
            <w:tcW w:w="54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54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8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0"/>
        </w:trPr>
        <w:tc>
          <w:tcPr>
            <w:tcW w:w="6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Restaurants at end of period</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479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482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484</w:t>
            </w:r>
          </w:p>
        </w:tc>
      </w:tr>
    </w:tbl>
    <w:p>
      <w:pPr>
        <w:spacing w:after="0" w:line="135" w:lineRule="exact"/>
        <w:rPr>
          <w:sz w:val="20"/>
          <w:szCs w:val="20"/>
          <w:color w:val="auto"/>
        </w:rPr>
      </w:pPr>
    </w:p>
    <w:p>
      <w:pPr>
        <w:ind w:left="20" w:right="139"/>
        <w:spacing w:after="0" w:line="285" w:lineRule="auto"/>
        <w:rPr>
          <w:sz w:val="20"/>
          <w:szCs w:val="20"/>
          <w:color w:val="auto"/>
        </w:rPr>
      </w:pPr>
      <w:r>
        <w:rPr>
          <w:rFonts w:ascii="Arial" w:cs="Arial" w:eastAsia="Arial" w:hAnsi="Arial"/>
          <w:sz w:val="11"/>
          <w:szCs w:val="11"/>
          <w:color w:val="auto"/>
        </w:rPr>
        <w:t>As of December 30, 2020, together with our franchisees, we have remodeled 34 company-operated and 45 franchised restaurants using our Vision restaurant design. The Vision design elevates the brand image with exterior and interior features that embrace the brand’s authentic roots with warm textures, rustic elements and a focus on the signature open kitchen layout established in previous designs. As of December 30, 2020, including new builds and remodels, we had 121 restaurants open with the "Vision" design in our system. Remodeling is a use of cash and has implications for our net property and depreciation line items on our consolidated balance sheets and statements of operations, among others. The cost of our restaurant remodels varies depending on the scope of work required, but on average the investment is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5" w:name="page36"/>
    <w:bookmarkEnd w:id="3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spacing w:after="0" w:line="281" w:lineRule="auto"/>
        <w:rPr>
          <w:sz w:val="20"/>
          <w:szCs w:val="20"/>
          <w:color w:val="auto"/>
        </w:rPr>
      </w:pPr>
      <w:r>
        <w:rPr>
          <w:rFonts w:ascii="Arial" w:cs="Arial" w:eastAsia="Arial" w:hAnsi="Arial"/>
          <w:sz w:val="11"/>
          <w:szCs w:val="11"/>
          <w:color w:val="auto"/>
        </w:rPr>
        <w:t xml:space="preserve">$0.3 to $0.4 million per restaurant. We believe that our remodeling program will result in higher restaurant revenue and a strengthened brand. In addition, we have finalized a new restaurant design that we believe will clearly differentiate and communicate our brand, both on the exterior and interior. We believe that this new design will deliver good new unit volumes and cash on cash returns in both existing and new markets. We also believe that our remodels using this new design will result in higher restaurant revenue and a strengthened brand. As of the end of fiscal 2020, we have completed two remodels using the new asset design. If these are successful, beginning in 2021, this new design will replace our “Vision” design, which was implemented in 2016. However, given the uncertainty surrounding the </w:t>
      </w:r>
      <w:r>
        <w:rPr>
          <w:rFonts w:ascii="Arial" w:cs="Arial" w:eastAsia="Arial" w:hAnsi="Arial"/>
          <w:sz w:val="11"/>
          <w:szCs w:val="11"/>
          <w:color w:val="212529"/>
        </w:rPr>
        <w:t>severity and longevity of the COVID-19 pandemic, as a precautionary measure we significantly</w:t>
      </w:r>
      <w:r>
        <w:rPr>
          <w:rFonts w:ascii="Arial" w:cs="Arial" w:eastAsia="Arial" w:hAnsi="Arial"/>
          <w:sz w:val="11"/>
          <w:szCs w:val="11"/>
          <w:color w:val="auto"/>
        </w:rPr>
        <w:t xml:space="preserve"> </w:t>
      </w:r>
      <w:r>
        <w:rPr>
          <w:rFonts w:ascii="Arial" w:cs="Arial" w:eastAsia="Arial" w:hAnsi="Arial"/>
          <w:sz w:val="11"/>
          <w:szCs w:val="11"/>
          <w:color w:val="212529"/>
        </w:rPr>
        <w:t>reduced capital spending, including limiting our remodels in 2020. Our franchisees did not complete any remodels in 2020 as we deferred their remodel requirements until 2021. However, in 2021 we plan on resuming our standard practices for remodels including 15 company-operated and 40 franchised restaurants.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Loco Rewards</w:t>
      </w:r>
    </w:p>
    <w:p>
      <w:pPr>
        <w:spacing w:after="0" w:line="150" w:lineRule="exact"/>
        <w:rPr>
          <w:sz w:val="20"/>
          <w:szCs w:val="20"/>
          <w:color w:val="auto"/>
        </w:rPr>
      </w:pPr>
    </w:p>
    <w:p>
      <w:pPr>
        <w:ind w:left="20" w:right="99"/>
        <w:spacing w:after="0" w:line="253" w:lineRule="auto"/>
        <w:rPr>
          <w:sz w:val="20"/>
          <w:szCs w:val="20"/>
          <w:color w:val="auto"/>
        </w:rPr>
      </w:pPr>
      <w:r>
        <w:rPr>
          <w:rFonts w:ascii="Arial" w:cs="Arial" w:eastAsia="Arial" w:hAnsi="Arial"/>
          <w:sz w:val="12"/>
          <w:szCs w:val="12"/>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w:t>
      </w:r>
    </w:p>
    <w:p>
      <w:pPr>
        <w:spacing w:after="0" w:line="2" w:lineRule="exact"/>
        <w:rPr>
          <w:sz w:val="20"/>
          <w:szCs w:val="20"/>
          <w:color w:val="auto"/>
        </w:rPr>
      </w:pPr>
    </w:p>
    <w:p>
      <w:pPr>
        <w:ind w:left="20" w:right="399"/>
        <w:spacing w:after="0" w:line="330" w:lineRule="auto"/>
        <w:rPr>
          <w:sz w:val="20"/>
          <w:szCs w:val="20"/>
          <w:color w:val="auto"/>
        </w:rPr>
      </w:pPr>
      <w:r>
        <w:rPr>
          <w:rFonts w:ascii="Arial" w:cs="Arial" w:eastAsia="Arial" w:hAnsi="Arial"/>
          <w:sz w:val="10"/>
          <w:szCs w:val="10"/>
          <w:color w:val="auto"/>
        </w:rPr>
        <w:t>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93" w:lineRule="exact"/>
        <w:rPr>
          <w:sz w:val="20"/>
          <w:szCs w:val="20"/>
          <w:color w:val="auto"/>
        </w:rPr>
      </w:pPr>
    </w:p>
    <w:p>
      <w:pPr>
        <w:jc w:val="both"/>
        <w:ind w:left="20" w:right="219"/>
        <w:spacing w:after="0" w:line="298" w:lineRule="auto"/>
        <w:rPr>
          <w:sz w:val="20"/>
          <w:szCs w:val="20"/>
          <w:color w:val="auto"/>
        </w:rPr>
      </w:pPr>
      <w:r>
        <w:rPr>
          <w:rFonts w:ascii="Arial" w:cs="Arial" w:eastAsia="Arial" w:hAnsi="Arial"/>
          <w:sz w:val="11"/>
          <w:szCs w:val="11"/>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30, 2020, the amount of revenue deferred related to the earned points, net of redemptions, is $0.9 million. The Company had more than 2.1 million loyalty program members as of December 30, 2020.</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Key Financial Definitions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jc w:val="both"/>
        <w:ind w:left="20" w:right="179"/>
        <w:spacing w:after="0" w:line="263" w:lineRule="auto"/>
        <w:rPr>
          <w:sz w:val="20"/>
          <w:szCs w:val="20"/>
          <w:color w:val="auto"/>
        </w:rPr>
      </w:pPr>
      <w:r>
        <w:rPr>
          <w:rFonts w:ascii="Arial" w:cs="Arial" w:eastAsia="Arial" w:hAnsi="Arial"/>
          <w:sz w:val="12"/>
          <w:szCs w:val="12"/>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15 “Revenue from Contracts with Customers” in the accompanying “Notes to Consolidated Financial Statements” in this Annual Report for further details regarding our revenue recognition policy.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Food and Paper Costs</w:t>
      </w:r>
    </w:p>
    <w:p>
      <w:pPr>
        <w:spacing w:after="0" w:line="150" w:lineRule="exact"/>
        <w:rPr>
          <w:sz w:val="20"/>
          <w:szCs w:val="20"/>
          <w:color w:val="auto"/>
        </w:rPr>
      </w:pPr>
    </w:p>
    <w:p>
      <w:pPr>
        <w:ind w:left="20" w:right="259"/>
        <w:spacing w:after="0" w:line="276" w:lineRule="auto"/>
        <w:rPr>
          <w:sz w:val="20"/>
          <w:szCs w:val="20"/>
          <w:color w:val="auto"/>
        </w:rPr>
      </w:pPr>
      <w:r>
        <w:rPr>
          <w:rFonts w:ascii="Arial" w:cs="Arial" w:eastAsia="Arial" w:hAnsi="Arial"/>
          <w:sz w:val="12"/>
          <w:szCs w:val="12"/>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Labor and Related Expenses</w:t>
      </w:r>
    </w:p>
    <w:p>
      <w:pPr>
        <w:spacing w:after="0" w:line="150"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6" w:name="page37"/>
    <w:bookmarkEnd w:id="3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Occupancy Costs and Other Operating Expenses</w:t>
      </w:r>
    </w:p>
    <w:p>
      <w:pPr>
        <w:spacing w:after="0" w:line="150"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50" w:lineRule="exact"/>
        <w:rPr>
          <w:sz w:val="20"/>
          <w:szCs w:val="20"/>
          <w:color w:val="auto"/>
        </w:rPr>
      </w:pPr>
    </w:p>
    <w:p>
      <w:pPr>
        <w:jc w:val="both"/>
        <w:ind w:left="20" w:right="179"/>
        <w:spacing w:after="0" w:line="298" w:lineRule="auto"/>
        <w:rPr>
          <w:sz w:val="20"/>
          <w:szCs w:val="20"/>
          <w:color w:val="auto"/>
        </w:rPr>
      </w:pPr>
      <w:r>
        <w:rPr>
          <w:rFonts w:ascii="Arial" w:cs="Arial" w:eastAsia="Arial" w:hAnsi="Arial"/>
          <w:sz w:val="11"/>
          <w:szCs w:val="11"/>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Legal Settlements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Legal settlements include expenses such as judgments or settlements related to legal matters, legal claims and class action lawsuits.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Franchise Expenses</w:t>
      </w:r>
    </w:p>
    <w:p>
      <w:pPr>
        <w:spacing w:after="0" w:line="150" w:lineRule="exact"/>
        <w:rPr>
          <w:sz w:val="20"/>
          <w:szCs w:val="20"/>
          <w:color w:val="auto"/>
        </w:rPr>
      </w:pPr>
    </w:p>
    <w:p>
      <w:pPr>
        <w:ind w:left="20" w:right="39"/>
        <w:spacing w:after="0" w:line="379" w:lineRule="auto"/>
        <w:rPr>
          <w:sz w:val="20"/>
          <w:szCs w:val="20"/>
          <w:color w:val="auto"/>
        </w:rPr>
      </w:pPr>
      <w:r>
        <w:rPr>
          <w:rFonts w:ascii="Arial" w:cs="Arial" w:eastAsia="Arial" w:hAnsi="Arial"/>
          <w:sz w:val="10"/>
          <w:szCs w:val="10"/>
          <w:color w:val="auto"/>
        </w:rPr>
        <w:t>Franchise expenses are primarily comprised of rent expenses incurred on properties leased by us and then sublet to franchisees, and expenses incurred in support of franchisee information technology systems. Additionally, franchise expenses also include all expenses of the advertising fund representing the franchised restaurants portion of advertising expenses.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Depreciation and Amortization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Depreciation and amortization primarily consist of the depreciation of property and equipment, including leasehold improvements and equipment.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Loss on Disposal of Assets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Loss on disposal of assets includes the loss on disposal of assets related to retirements and replacement or write-off of leasehold improvements or equipment.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Impairment and Closed-Store Reserves</w:t>
      </w:r>
    </w:p>
    <w:p>
      <w:pPr>
        <w:spacing w:after="0" w:line="150" w:lineRule="exact"/>
        <w:rPr>
          <w:sz w:val="20"/>
          <w:szCs w:val="20"/>
          <w:color w:val="auto"/>
        </w:rPr>
      </w:pPr>
    </w:p>
    <w:p>
      <w:pPr>
        <w:ind w:left="20" w:right="59"/>
        <w:spacing w:after="0" w:line="279" w:lineRule="auto"/>
        <w:rPr>
          <w:sz w:val="20"/>
          <w:szCs w:val="20"/>
          <w:color w:val="auto"/>
        </w:rPr>
      </w:pPr>
      <w:r>
        <w:rPr>
          <w:rFonts w:ascii="Arial" w:cs="Arial" w:eastAsia="Arial" w:hAnsi="Arial"/>
          <w:sz w:val="11"/>
          <w:szCs w:val="11"/>
          <w:color w:val="auto"/>
        </w:rPr>
        <w:t>We review long-lived assets such as property, equipment, and intangibles, as well as ROU assets in a net asset position, on a unit-by-unit basis for impairment when events or circumstances indicate a carrying value of the assets that may not be recoverable. We consider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we consider a triggering event related to ROU assets, to have occurred related to a specific lease if the location has been subleased and future estimated sublease income is less than current lease payments. If we conclude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w:t>
      </w:r>
    </w:p>
    <w:p>
      <w:pPr>
        <w:spacing w:after="0" w:line="117"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Prior to the adoption of Topic 842 "Leases," closure costs include non-cash restaurant charges such as up-front expensing of the net present value of unpaid rent remaining on the life of a lease, offset by assumed sublease income. Upon the adoption of Topic 842, the Company no longer recognizes a closed-store reserve when the Company closes a restaurant, as a lease liability related to the future lease payments is already recognized. Rather, when a restaurant 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7" w:name="page38"/>
    <w:bookmarkEnd w:id="3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spacing w:after="0" w:line="323" w:lineRule="auto"/>
        <w:rPr>
          <w:sz w:val="20"/>
          <w:szCs w:val="20"/>
          <w:color w:val="auto"/>
        </w:rPr>
      </w:pPr>
      <w:r>
        <w:rPr>
          <w:rFonts w:ascii="Arial" w:cs="Arial" w:eastAsia="Arial" w:hAnsi="Arial"/>
          <w:sz w:val="11"/>
          <w:szCs w:val="11"/>
          <w:color w:val="auto"/>
        </w:rPr>
        <w:t>closed, the Company will evaluate the ROU asset for impairment, based on anticipated sublease recoveries. The remaining value of the ROU asset is amortized on a straight-line basis, with the expense recognized in closed-store reserve expense, in addition to property tax and common area maintenance ("CAM") charges for closed restaurants.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Loss on Disposition of Restaurants</w:t>
      </w:r>
    </w:p>
    <w:p>
      <w:pPr>
        <w:spacing w:after="0" w:line="150" w:lineRule="exact"/>
        <w:rPr>
          <w:sz w:val="20"/>
          <w:szCs w:val="20"/>
          <w:color w:val="auto"/>
        </w:rPr>
      </w:pPr>
    </w:p>
    <w:p>
      <w:pPr>
        <w:ind w:left="20" w:right="359"/>
        <w:spacing w:after="0" w:line="276" w:lineRule="auto"/>
        <w:rPr>
          <w:sz w:val="20"/>
          <w:szCs w:val="20"/>
          <w:color w:val="auto"/>
        </w:rPr>
      </w:pPr>
      <w:r>
        <w:rPr>
          <w:rFonts w:ascii="Arial" w:cs="Arial" w:eastAsia="Arial" w:hAnsi="Arial"/>
          <w:sz w:val="12"/>
          <w:szCs w:val="12"/>
          <w:color w:val="auto"/>
        </w:rPr>
        <w:t>Loss on disposal of restaurants includes the loss on the sale of restaurants to franchisees, or other third parties, and includes the difference between carrying value and sales price of leasehold improvements, equipment and other assets included in the sale.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Interest expense, net, consists primarily of interest on our outstanding revolving debt. Debt issuance costs are amortized on a straight-line basis over the life of the related debt.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Provision (Benefit) for Income Taxes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Provision (benefit) for income taxes consists of federal and state tax expense (recoveries) on our income (loss), and changes to our deferred tax asset and deferred tax liability.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8" w:name="page39"/>
    <w:bookmarkEnd w:id="3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Fiscal Year 2020 Compared to Fiscal Year 2019</w:t>
      </w:r>
    </w:p>
    <w:p>
      <w:pPr>
        <w:spacing w:after="0" w:line="150"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Our operating results for the fiscal years ended December 30, 2020 and December 25, 2019, in absolute terms and expressed as a percentage of total revenue, with the exception of cost of operations and company restaurant expenses, which are expressed as a percentage of company-operated restaurant revenue, are compared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0"/>
                <w:szCs w:val="10"/>
                <w:b w:val="1"/>
                <w:bCs w:val="1"/>
                <w:color w:val="auto"/>
                <w:w w:val="83"/>
              </w:rPr>
              <w:t>Fiscal Year</w:t>
            </w: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22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tcPr>
          <w:p>
            <w:pPr>
              <w:jc w:val="right"/>
              <w:ind w:right="120"/>
              <w:spacing w:after="0" w:line="74"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tcPr>
          <w:p>
            <w:pPr>
              <w:jc w:val="center"/>
              <w:ind w:left="302"/>
              <w:spacing w:after="0" w:line="74" w:lineRule="exact"/>
              <w:rPr>
                <w:sz w:val="20"/>
                <w:szCs w:val="20"/>
                <w:color w:val="auto"/>
              </w:rPr>
            </w:pPr>
            <w:r>
              <w:rPr>
                <w:rFonts w:ascii="Arial" w:cs="Arial" w:eastAsia="Arial" w:hAnsi="Arial"/>
                <w:sz w:val="8"/>
                <w:szCs w:val="8"/>
                <w:b w:val="1"/>
                <w:bCs w:val="1"/>
                <w:color w:val="auto"/>
              </w:rPr>
              <w:t>2019</w:t>
            </w: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3"/>
        </w:trPr>
        <w:tc>
          <w:tcPr>
            <w:tcW w:w="22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ind w:left="340"/>
              <w:spacing w:after="0" w:line="114" w:lineRule="exact"/>
              <w:rPr>
                <w:sz w:val="20"/>
                <w:szCs w:val="20"/>
                <w:color w:val="auto"/>
              </w:rPr>
            </w:pPr>
            <w:r>
              <w:rPr>
                <w:rFonts w:ascii="Arial" w:cs="Arial" w:eastAsia="Arial" w:hAnsi="Arial"/>
                <w:sz w:val="10"/>
                <w:szCs w:val="10"/>
                <w:b w:val="1"/>
                <w:bCs w:val="1"/>
                <w:color w:val="auto"/>
                <w:w w:val="98"/>
              </w:rPr>
              <w:t>(53-Weeks)</w:t>
            </w: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jc w:val="center"/>
              <w:ind w:left="242"/>
              <w:spacing w:after="0" w:line="114" w:lineRule="exact"/>
              <w:rPr>
                <w:sz w:val="20"/>
                <w:szCs w:val="20"/>
                <w:color w:val="auto"/>
              </w:rPr>
            </w:pPr>
            <w:r>
              <w:rPr>
                <w:rFonts w:ascii="Arial" w:cs="Arial" w:eastAsia="Arial" w:hAnsi="Arial"/>
                <w:sz w:val="10"/>
                <w:szCs w:val="10"/>
                <w:b w:val="1"/>
                <w:bCs w:val="1"/>
                <w:color w:val="auto"/>
                <w:w w:val="87"/>
              </w:rPr>
              <w:t>(52-Weeks)</w:t>
            </w: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w w:val="97"/>
              </w:rPr>
              <w:t>Increase / (Decrease)</w:t>
            </w:r>
          </w:p>
        </w:tc>
      </w:tr>
      <w:tr>
        <w:trPr>
          <w:trHeight w:val="88"/>
        </w:trPr>
        <w:tc>
          <w:tcPr>
            <w:tcW w:w="2240" w:type="dxa"/>
            <w:vAlign w:val="bottom"/>
            <w:tcBorders>
              <w:bottom w:val="single" w:sz="8" w:color="CCEEFF"/>
            </w:tcBorders>
          </w:tcPr>
          <w:p>
            <w:pPr>
              <w:spacing w:after="0"/>
              <w:rPr>
                <w:sz w:val="7"/>
                <w:szCs w:val="7"/>
                <w:color w:val="auto"/>
              </w:rPr>
            </w:pPr>
          </w:p>
        </w:tc>
        <w:tc>
          <w:tcPr>
            <w:tcW w:w="20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82"/>
              <w:spacing w:after="0" w:line="88" w:lineRule="exact"/>
              <w:rPr>
                <w:sz w:val="20"/>
                <w:szCs w:val="20"/>
                <w:color w:val="auto"/>
              </w:rPr>
            </w:pPr>
            <w:r>
              <w:rPr>
                <w:rFonts w:ascii="Arial" w:cs="Arial" w:eastAsia="Arial" w:hAnsi="Arial"/>
                <w:sz w:val="10"/>
                <w:szCs w:val="10"/>
                <w:b w:val="1"/>
                <w:bCs w:val="1"/>
                <w:color w:val="auto"/>
              </w:rPr>
              <w:t>($,000)</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20"/>
              <w:spacing w:after="0" w:line="88"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02"/>
              <w:spacing w:after="0" w:line="88" w:lineRule="exact"/>
              <w:rPr>
                <w:sz w:val="20"/>
                <w:szCs w:val="20"/>
                <w:color w:val="auto"/>
              </w:rPr>
            </w:pPr>
            <w:r>
              <w:rPr>
                <w:rFonts w:ascii="Arial" w:cs="Arial" w:eastAsia="Arial" w:hAnsi="Arial"/>
                <w:sz w:val="10"/>
                <w:szCs w:val="10"/>
                <w:b w:val="1"/>
                <w:bCs w:val="1"/>
                <w:color w:val="auto"/>
              </w:rPr>
              <w:t>($,000)</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20"/>
              <w:spacing w:after="0" w:line="88"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01"/>
              <w:spacing w:after="0" w:line="88" w:lineRule="exact"/>
              <w:rPr>
                <w:sz w:val="20"/>
                <w:szCs w:val="20"/>
                <w:color w:val="auto"/>
              </w:rPr>
            </w:pPr>
            <w:r>
              <w:rPr>
                <w:rFonts w:ascii="Arial" w:cs="Arial" w:eastAsia="Arial" w:hAnsi="Arial"/>
                <w:sz w:val="10"/>
                <w:szCs w:val="10"/>
                <w:b w:val="1"/>
                <w:bCs w:val="1"/>
                <w:color w:val="auto"/>
              </w:rPr>
              <w:t>($,000)</w:t>
            </w:r>
          </w:p>
        </w:tc>
        <w:tc>
          <w:tcPr>
            <w:tcW w:w="14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jc w:val="right"/>
              <w:ind w:right="120"/>
              <w:spacing w:after="0" w:line="88" w:lineRule="exact"/>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tcPr>
          <w:p>
            <w:pPr>
              <w:spacing w:after="0"/>
              <w:rPr>
                <w:sz w:val="7"/>
                <w:szCs w:val="7"/>
                <w:color w:val="auto"/>
              </w:rPr>
            </w:pPr>
          </w:p>
        </w:tc>
      </w:tr>
      <w:tr>
        <w:trPr>
          <w:trHeight w:val="133"/>
        </w:trPr>
        <w:tc>
          <w:tcPr>
            <w:tcW w:w="43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Statements of Operations Data:</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Revenue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Company-operated restaurant revenue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374,064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391,112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(17,048)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Franchise revenue</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29,418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28,819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2"/>
                <w:szCs w:val="12"/>
                <w:color w:val="auto"/>
              </w:rPr>
            </w:pP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Franchise advertising fee revenue</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22,605</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40" w:type="dxa"/>
            <w:vAlign w:val="bottom"/>
            <w:shd w:val="clear" w:color="auto" w:fill="CCEEFF"/>
          </w:tcPr>
          <w:p>
            <w:pPr>
              <w:spacing w:after="0"/>
              <w:rPr>
                <w:sz w:val="12"/>
                <w:szCs w:val="12"/>
                <w:color w:val="auto"/>
              </w:rPr>
            </w:pPr>
          </w:p>
        </w:tc>
      </w:tr>
      <w:tr>
        <w:trPr>
          <w:trHeight w:val="133"/>
        </w:trPr>
        <w:tc>
          <w:tcPr>
            <w:tcW w:w="4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revenue</w:t>
            </w: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426,087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442,330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(16,243)</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(3.7)</w:t>
            </w:r>
          </w:p>
        </w:tc>
        <w:tc>
          <w:tcPr>
            <w:tcW w:w="40" w:type="dxa"/>
            <w:vAlign w:val="bottom"/>
          </w:tcPr>
          <w:p>
            <w:pPr>
              <w:spacing w:after="0"/>
              <w:rPr>
                <w:sz w:val="11"/>
                <w:szCs w:val="11"/>
                <w:color w:val="auto"/>
              </w:rPr>
            </w:pP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operations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Food and paper costs (1)</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98,774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109,264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(10,490)</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(9.6)</w:t>
            </w: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 and related expenses (1)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114,455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(2,248)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Occupancy and other operating expenses (1)</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92,422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92,005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2"/>
                <w:szCs w:val="12"/>
                <w:color w:val="auto"/>
              </w:rPr>
            </w:pPr>
          </w:p>
        </w:tc>
      </w:tr>
      <w:tr>
        <w:trPr>
          <w:trHeight w:val="135"/>
        </w:trPr>
        <w:tc>
          <w:tcPr>
            <w:tcW w:w="43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Gain on recovery of insurance proceeds,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lost profits (1)</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(0.5)</w:t>
            </w:r>
          </w:p>
        </w:tc>
        <w:tc>
          <w:tcPr>
            <w:tcW w:w="1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N/A</w:t>
            </w:r>
          </w:p>
        </w:tc>
      </w:tr>
      <w:tr>
        <w:trPr>
          <w:trHeight w:val="133"/>
        </w:trPr>
        <w:tc>
          <w:tcPr>
            <w:tcW w:w="4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Company restaurant expenses (1)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303,651</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81.2</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317,972</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81.3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(14,321)</w:t>
            </w:r>
          </w:p>
        </w:tc>
        <w:tc>
          <w:tcPr>
            <w:tcW w:w="140" w:type="dxa"/>
            <w:vAlign w:val="bottom"/>
          </w:tcPr>
          <w:p>
            <w:pPr>
              <w:spacing w:after="0"/>
              <w:rPr>
                <w:sz w:val="11"/>
                <w:szCs w:val="11"/>
                <w:color w:val="auto"/>
              </w:rPr>
            </w:pPr>
          </w:p>
        </w:tc>
        <w:tc>
          <w:tcPr>
            <w:tcW w:w="5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(4.5)</w:t>
            </w: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(4,471)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(11.1)</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Legal settlements</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2,566</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N/A</w:t>
            </w: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Franchise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40" w:type="dxa"/>
            <w:vAlign w:val="bottom"/>
            <w:shd w:val="clear" w:color="auto" w:fill="CCEEFF"/>
          </w:tcPr>
          <w:p>
            <w:pPr>
              <w:spacing w:after="0"/>
              <w:rPr>
                <w:sz w:val="12"/>
                <w:szCs w:val="12"/>
                <w:color w:val="auto"/>
              </w:rPr>
            </w:pP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17,855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(977)</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(5.5)</w:t>
            </w: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disposal of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(28.9)</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w w:val="98"/>
              </w:rPr>
              <w:t>Recovery of securities lawsuits related legal expenses and other insurance claims</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(0.0)</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9,877</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(98.8)</w:t>
            </w: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Impairment and closed-store reserves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Loss on disposition of restaurants</w:t>
            </w:r>
          </w:p>
        </w:tc>
        <w:tc>
          <w:tcPr>
            <w:tcW w:w="160" w:type="dxa"/>
            <w:vAlign w:val="bottom"/>
          </w:tcPr>
          <w:p>
            <w:pPr>
              <w:spacing w:after="0"/>
              <w:rPr>
                <w:sz w:val="12"/>
                <w:szCs w:val="12"/>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(5,058)</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N/A</w:t>
            </w:r>
          </w:p>
        </w:tc>
      </w:tr>
      <w:tr>
        <w:trPr>
          <w:trHeight w:val="133"/>
        </w:trPr>
        <w:tc>
          <w:tcPr>
            <w:tcW w:w="430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expenses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392,531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92.1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404,004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(11,473)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40" w:type="dxa"/>
            <w:vAlign w:val="bottom"/>
            <w:tcBorders>
              <w:top w:val="single" w:sz="8" w:color="CCEEFF"/>
            </w:tcBorders>
            <w:shd w:val="clear" w:color="auto" w:fill="CCEEFF"/>
          </w:tcPr>
          <w:p>
            <w:pPr>
              <w:spacing w:after="0"/>
              <w:rPr>
                <w:sz w:val="11"/>
                <w:szCs w:val="11"/>
                <w:color w:val="auto"/>
              </w:rPr>
            </w:pPr>
          </w:p>
        </w:tc>
      </w:tr>
      <w:tr>
        <w:trPr>
          <w:trHeight w:val="133"/>
        </w:trPr>
        <w:tc>
          <w:tcPr>
            <w:tcW w:w="4300" w:type="dxa"/>
            <w:vAlign w:val="bottom"/>
            <w:gridSpan w:val="2"/>
          </w:tcPr>
          <w:p>
            <w:pPr>
              <w:spacing w:after="0" w:line="133" w:lineRule="exact"/>
              <w:rPr>
                <w:sz w:val="20"/>
                <w:szCs w:val="20"/>
                <w:color w:val="auto"/>
              </w:rPr>
            </w:pPr>
            <w:r>
              <w:rPr>
                <w:rFonts w:ascii="Arial" w:cs="Arial" w:eastAsia="Arial" w:hAnsi="Arial"/>
                <w:sz w:val="12"/>
                <w:szCs w:val="12"/>
                <w:color w:val="auto"/>
              </w:rPr>
              <w:t>Income from operations</w:t>
            </w: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33,556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7.9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38,326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8.7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(4,770)</w:t>
            </w:r>
          </w:p>
        </w:tc>
        <w:tc>
          <w:tcPr>
            <w:tcW w:w="14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(12.4)</w:t>
            </w:r>
          </w:p>
        </w:tc>
        <w:tc>
          <w:tcPr>
            <w:tcW w:w="40" w:type="dxa"/>
            <w:vAlign w:val="bottom"/>
          </w:tcPr>
          <w:p>
            <w:pPr>
              <w:spacing w:after="0"/>
              <w:rPr>
                <w:sz w:val="11"/>
                <w:szCs w:val="11"/>
                <w:color w:val="auto"/>
              </w:rPr>
            </w:pPr>
          </w:p>
        </w:tc>
      </w:tr>
      <w:tr>
        <w:trPr>
          <w:trHeight w:val="144"/>
        </w:trPr>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(10.7)</w:t>
            </w: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Income tax receivable agreement expense</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143.9</w:t>
            </w:r>
          </w:p>
        </w:tc>
        <w:tc>
          <w:tcPr>
            <w:tcW w:w="40" w:type="dxa"/>
            <w:vAlign w:val="bottom"/>
          </w:tcPr>
          <w:p>
            <w:pPr>
              <w:spacing w:after="0"/>
              <w:rPr>
                <w:sz w:val="12"/>
                <w:szCs w:val="12"/>
                <w:color w:val="auto"/>
              </w:rPr>
            </w:pPr>
          </w:p>
        </w:tc>
      </w:tr>
      <w:tr>
        <w:trPr>
          <w:trHeight w:val="133"/>
        </w:trPr>
        <w:tc>
          <w:tcPr>
            <w:tcW w:w="430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Income before provision for income taxes</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30,125</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34,582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(4,457)</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(12.9)</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300" w:type="dxa"/>
            <w:vAlign w:val="bottom"/>
            <w:gridSpan w:val="2"/>
          </w:tcPr>
          <w:p>
            <w:pPr>
              <w:spacing w:after="0"/>
              <w:rPr>
                <w:sz w:val="20"/>
                <w:szCs w:val="20"/>
                <w:color w:val="auto"/>
              </w:rPr>
            </w:pPr>
            <w:r>
              <w:rPr>
                <w:rFonts w:ascii="Arial" w:cs="Arial" w:eastAsia="Arial" w:hAnsi="Arial"/>
                <w:sz w:val="12"/>
                <w:szCs w:val="12"/>
                <w:color w:val="auto"/>
              </w:rPr>
              <w:t>Provision for income taxes</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(4,031)</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(41.6)</w:t>
            </w:r>
          </w:p>
        </w:tc>
      </w:tr>
      <w:tr>
        <w:trPr>
          <w:trHeight w:val="140"/>
        </w:trPr>
        <w:tc>
          <w:tcPr>
            <w:tcW w:w="430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income</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24,474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2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45" w:lineRule="exact"/>
        <w:rPr>
          <w:sz w:val="20"/>
          <w:szCs w:val="20"/>
          <w:color w:val="auto"/>
        </w:rPr>
      </w:pPr>
    </w:p>
    <w:p>
      <w:pPr>
        <w:ind w:left="240" w:right="579" w:hanging="218"/>
        <w:spacing w:after="0" w:line="276" w:lineRule="auto"/>
        <w:tabs>
          <w:tab w:leader="none" w:pos="2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Percentages for line items relating to cost of operations and company restaurant expenses are calculated with company-operated restaurant revenue as the denominator. All other percentages use total revenue.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Company-Operated Restaurant Revenue</w:t>
      </w:r>
    </w:p>
    <w:p>
      <w:pPr>
        <w:spacing w:after="0" w:line="150" w:lineRule="exact"/>
        <w:rPr>
          <w:sz w:val="20"/>
          <w:szCs w:val="20"/>
          <w:color w:val="auto"/>
        </w:rPr>
      </w:pPr>
    </w:p>
    <w:p>
      <w:pPr>
        <w:ind w:left="20" w:right="139"/>
        <w:spacing w:after="0" w:line="281" w:lineRule="auto"/>
        <w:rPr>
          <w:sz w:val="20"/>
          <w:szCs w:val="20"/>
          <w:color w:val="auto"/>
        </w:rPr>
      </w:pPr>
      <w:r>
        <w:rPr>
          <w:rFonts w:ascii="Arial" w:cs="Arial" w:eastAsia="Arial" w:hAnsi="Arial"/>
          <w:sz w:val="11"/>
          <w:szCs w:val="11"/>
          <w:color w:val="auto"/>
        </w:rPr>
        <w:t>In fiscal 2020, company-operated restaurant revenue decreased $17.0 million, or 4.4%, due to a $11.9 million decrease in revenue from the closure of four restaurants and the 16 company-operated restaurants sold by the Company to franchisees during or subsequent to the first quarter of the prior year, a decrease in company-operated restaurant revenue of $11.2 million due to a 3.0% decrease in company-operated comparable restaurant sales, which we believe was primarily related to the impact of the COVID-19 pandemic, and a $1.8 million decrease due to temporary restaurant closures, primarily due to the COVID-19 pandemic. See above under “COVID-19 Impact” for additional information related to the impact of the COVID-19 pandemic on our business. This company-operated restaurant sales decrease was partially offset by an increase of $3.0 million of non-comparable restaurant sales on restaurants that had not been open the fifteen months required to be included in comparable restaurant sales and a $0.3 million increase in revenue recognized for our loyalty points program. Company-operated restaurant revenue was also favorably impacted by $4.6</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39" w:name="page40"/>
    <w:bookmarkEnd w:id="3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19"/>
        <w:spacing w:after="0" w:line="323" w:lineRule="auto"/>
        <w:rPr>
          <w:sz w:val="20"/>
          <w:szCs w:val="20"/>
          <w:color w:val="auto"/>
        </w:rPr>
      </w:pPr>
      <w:r>
        <w:rPr>
          <w:rFonts w:ascii="Arial" w:cs="Arial" w:eastAsia="Arial" w:hAnsi="Arial"/>
          <w:sz w:val="11"/>
          <w:szCs w:val="11"/>
          <w:color w:val="auto"/>
        </w:rPr>
        <w:t>million for the additional week of operations in a 53-week fiscal year. The company-operated comparable restaurant sales decrease consisted of a decline in transactions of 15.8%, partially offset by a 15.3% increase in average check size. It is uncertain whether the increase in average check size will persist once the pandemic ends.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Revenue</w:t>
      </w:r>
    </w:p>
    <w:p>
      <w:pPr>
        <w:spacing w:after="0" w:line="150" w:lineRule="exact"/>
        <w:rPr>
          <w:sz w:val="20"/>
          <w:szCs w:val="20"/>
          <w:color w:val="auto"/>
        </w:rPr>
      </w:pPr>
    </w:p>
    <w:p>
      <w:pPr>
        <w:ind w:left="20" w:right="199"/>
        <w:spacing w:after="0" w:line="256" w:lineRule="auto"/>
        <w:rPr>
          <w:sz w:val="20"/>
          <w:szCs w:val="20"/>
          <w:color w:val="auto"/>
        </w:rPr>
      </w:pPr>
      <w:r>
        <w:rPr>
          <w:rFonts w:ascii="Arial" w:cs="Arial" w:eastAsia="Arial" w:hAnsi="Arial"/>
          <w:sz w:val="12"/>
          <w:szCs w:val="12"/>
          <w:color w:val="auto"/>
        </w:rPr>
        <w:t>In fiscal 2020, franchise revenue increased $0.6 million, or 2.1%. This increase was primarily due to the opening of three new franchised restaurants and sixteen company-operated restaurants sold by the Company to franchisees during or after the first quarter of the prior year, as well as $0.7 million for the additional week of franchise revenue recognized in a 53-week fiscal year. This franchise revenue increase was partially offset by a franchise comparable sales restaurant decline of 2.0%, which we believe was primarily due to the COVID-19 pandemic, and the closure of eight franchise locations during the same period. See above under “COVID-19 Impact” for additional information related to the impact of the COVID-19 pandemic on our business.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Advertising Fee Revenue</w:t>
      </w:r>
    </w:p>
    <w:p>
      <w:pPr>
        <w:spacing w:after="0" w:line="150" w:lineRule="exact"/>
        <w:rPr>
          <w:sz w:val="20"/>
          <w:szCs w:val="20"/>
          <w:color w:val="auto"/>
        </w:rPr>
      </w:pPr>
    </w:p>
    <w:p>
      <w:pPr>
        <w:ind w:left="20" w:right="239"/>
        <w:spacing w:after="0" w:line="276" w:lineRule="auto"/>
        <w:rPr>
          <w:sz w:val="20"/>
          <w:szCs w:val="20"/>
          <w:color w:val="auto"/>
        </w:rPr>
      </w:pPr>
      <w:r>
        <w:rPr>
          <w:rFonts w:ascii="Arial" w:cs="Arial" w:eastAsia="Arial" w:hAnsi="Arial"/>
          <w:sz w:val="12"/>
          <w:szCs w:val="12"/>
          <w:color w:val="auto"/>
        </w:rPr>
        <w:t>Franchise advertising fee revenue increased $0.2 million, or 0.9% from the comparable period in the prior year. As advertising fee revenue is a percentage of franchisees’ revenue, the year-to-date fluctuation was due to the increases noted in franchise revenue above.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Food and Paper Costs</w:t>
      </w:r>
    </w:p>
    <w:p>
      <w:pPr>
        <w:spacing w:after="0" w:line="150" w:lineRule="exact"/>
        <w:rPr>
          <w:sz w:val="20"/>
          <w:szCs w:val="20"/>
          <w:color w:val="auto"/>
        </w:rPr>
      </w:pPr>
    </w:p>
    <w:p>
      <w:pPr>
        <w:ind w:left="20" w:right="159"/>
        <w:spacing w:after="0" w:line="256" w:lineRule="auto"/>
        <w:rPr>
          <w:sz w:val="20"/>
          <w:szCs w:val="20"/>
          <w:color w:val="auto"/>
        </w:rPr>
      </w:pPr>
      <w:r>
        <w:rPr>
          <w:rFonts w:ascii="Arial" w:cs="Arial" w:eastAsia="Arial" w:hAnsi="Arial"/>
          <w:sz w:val="12"/>
          <w:szCs w:val="12"/>
          <w:color w:val="auto"/>
        </w:rPr>
        <w:t>Food and paper costs decreased $10.5 million, or 9.6%, in fiscal 2020, due to a $9.2 million decrease in food costs and a $1.3 million decrease in paper costs. The decrease in food and paper costs resulted primarily from lower company transactions due to the COVID-19 pandemic, lower food waste and increased efficiencies. These decreases were partially offset by a $1.2 million increase in food and paper costs for the additional week of operations in a 53-week fiscal year and commodity inflation. Food and paper costs as a percentage of company-operated restaurant revenue were 26.4% in fiscal 2020, compared to 27.9% in fiscal 2019. This percentage decrease was due primarily to an increase in pricing, partially offset by commodity inflation.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Labor and Related Expenses</w:t>
      </w:r>
    </w:p>
    <w:p>
      <w:pPr>
        <w:spacing w:after="0" w:line="150" w:lineRule="exact"/>
        <w:rPr>
          <w:sz w:val="20"/>
          <w:szCs w:val="20"/>
          <w:color w:val="auto"/>
        </w:rPr>
      </w:pPr>
    </w:p>
    <w:p>
      <w:pPr>
        <w:ind w:left="20" w:right="39"/>
        <w:spacing w:after="0" w:line="283" w:lineRule="auto"/>
        <w:rPr>
          <w:sz w:val="20"/>
          <w:szCs w:val="20"/>
          <w:color w:val="auto"/>
        </w:rPr>
      </w:pPr>
      <w:r>
        <w:rPr>
          <w:rFonts w:ascii="Arial" w:cs="Arial" w:eastAsia="Arial" w:hAnsi="Arial"/>
          <w:sz w:val="11"/>
          <w:szCs w:val="11"/>
          <w:color w:val="auto"/>
        </w:rPr>
        <w:t>Labor and related expenses decreased $2.2 million, or 1.9%, in fiscal 2020. The decrease was due primarily to a reduction in labor by restaurants closed or sold to franchisees, adjustments to the labor model based on dining room closures, operating hours and lower sales volumes and lower group insurance and workers compensation expense due to decreased claims activity. These decreases were partially offset by higher wages primarily due to minimum wage increases in California during fiscal 2019 and 2020, labor costs associated with the COVID-19 pandemic, and $1.6 million for the additional week of operations in a 53-week fiscal year. Labor and related expenses as a percentage of company-operated restaurant revenue were 30.6% in fiscal 2020, compared to 29.8% in fiscal 2019. The increase was due primarily to wage increases in California and labor costs associated with the COVID-19 pandemic. Partially offsetting these increases were the positive impacts of an increase in pricing and labor efficiencies.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Occupancy and Other Operating Expenses</w:t>
      </w:r>
    </w:p>
    <w:p>
      <w:pPr>
        <w:spacing w:after="0" w:line="150" w:lineRule="exact"/>
        <w:rPr>
          <w:sz w:val="20"/>
          <w:szCs w:val="20"/>
          <w:color w:val="auto"/>
        </w:rPr>
      </w:pPr>
    </w:p>
    <w:p>
      <w:pPr>
        <w:jc w:val="both"/>
        <w:ind w:left="20" w:right="39"/>
        <w:spacing w:after="0" w:line="320" w:lineRule="auto"/>
        <w:rPr>
          <w:sz w:val="20"/>
          <w:szCs w:val="20"/>
          <w:color w:val="auto"/>
        </w:rPr>
      </w:pPr>
      <w:r>
        <w:rPr>
          <w:rFonts w:ascii="Arial" w:cs="Arial" w:eastAsia="Arial" w:hAnsi="Arial"/>
          <w:sz w:val="10"/>
          <w:szCs w:val="10"/>
          <w:color w:val="auto"/>
        </w:rPr>
        <w:t>Occupancy and other operating expenses increased $0.4 million, or 0.5%, in fiscal 2020. The increase was primarily due to a $2.5 million increase in customer order delivery fees payable to third parties due to an increase in delivery orders and a $0.3 million increase in other operating expenses, primarily related to the additional week of operations in a 53-week fiscal year. These increases were partially offset by an $0.8 million decrease in advertising expenses, a $0.7 million decrease in repair and maintenance costs, a $0.5 million decrease in utilities costs, and a $0.4 million decrease in occupancy costs, primarily related to a reduction in rent expense from restaurants closed or sold to franchisees. Occupancy and other operating expenses as a percentage of company-operated restaurant revenue were 24.7% in fiscal 2020, compared to 23.5% in fiscal 2019, primarily due to the increases noted above and sales deleverage.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Gain on Recovery of Insurance Proceeds, Lost Profits</w:t>
      </w:r>
    </w:p>
    <w:p>
      <w:pPr>
        <w:spacing w:after="0" w:line="150"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In fiscal 2020, we received business interruption insurance proceeds of $2.0 million, primarily related to restaurant sales losses and expenses related to the COVID-19 pandemic and resulting dining room 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0" w:name="page41"/>
    <w:bookmarkEnd w:id="4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General and Administrative Expenses</w:t>
      </w:r>
    </w:p>
    <w:p>
      <w:pPr>
        <w:spacing w:after="0" w:line="150" w:lineRule="exact"/>
        <w:rPr>
          <w:sz w:val="20"/>
          <w:szCs w:val="20"/>
          <w:color w:val="auto"/>
        </w:rPr>
      </w:pPr>
    </w:p>
    <w:p>
      <w:pPr>
        <w:ind w:left="20" w:right="59"/>
        <w:spacing w:after="0" w:line="326" w:lineRule="auto"/>
        <w:rPr>
          <w:sz w:val="20"/>
          <w:szCs w:val="20"/>
          <w:color w:val="auto"/>
        </w:rPr>
      </w:pPr>
      <w:r>
        <w:rPr>
          <w:rFonts w:ascii="Arial" w:cs="Arial" w:eastAsia="Arial" w:hAnsi="Arial"/>
          <w:sz w:val="10"/>
          <w:szCs w:val="10"/>
          <w:color w:val="auto"/>
        </w:rPr>
        <w:t>General and administrative expenses decreased $4.4 million, or 11.1%, in fiscal 2020. The decrease was due primarily to a $3.5 million decrease in legal expenses related primarily to a decrease in securities class action litigation costs, a $1.2 million decrease in labor related costs, largely related to a decrease in management bonus expense, a decrease in severance expense and lower group insurance costs, partially offset by the impact of an additional week of operations in a 53-week fiscal year. Further, there was a $0.2 million decrease in recruiting costs and a $0.3 million decrease in other general and administrative expenses. These decreases were partially offset by a $0.8 million increase in stock compensation expenses.</w:t>
      </w:r>
    </w:p>
    <w:p>
      <w:pPr>
        <w:spacing w:after="0" w:line="95"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General and administrative expenses as a percentage of total revenue were 8.4% in fiscal 2020, compared to 9.1% in fiscal 2019. This decrease is primarily due to the cost decreases noted above.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Legal Settlements</w:t>
      </w:r>
    </w:p>
    <w:p>
      <w:pPr>
        <w:spacing w:after="0" w:line="150" w:lineRule="exact"/>
        <w:rPr>
          <w:sz w:val="20"/>
          <w:szCs w:val="20"/>
          <w:color w:val="auto"/>
        </w:rPr>
      </w:pPr>
    </w:p>
    <w:p>
      <w:pPr>
        <w:ind w:left="20" w:right="259"/>
        <w:spacing w:after="0" w:line="263" w:lineRule="auto"/>
        <w:rPr>
          <w:sz w:val="20"/>
          <w:szCs w:val="20"/>
          <w:color w:val="auto"/>
        </w:rPr>
      </w:pPr>
      <w:r>
        <w:rPr>
          <w:rFonts w:ascii="Arial" w:cs="Arial" w:eastAsia="Arial" w:hAnsi="Arial"/>
          <w:sz w:val="12"/>
          <w:szCs w:val="12"/>
          <w:color w:val="auto"/>
        </w:rPr>
        <w:t>Legal settlements were $2.6 million in fiscal 2020,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during fiscal 2020.</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Expenses</w:t>
      </w:r>
    </w:p>
    <w:p>
      <w:pPr>
        <w:spacing w:after="0" w:line="150" w:lineRule="exact"/>
        <w:rPr>
          <w:sz w:val="20"/>
          <w:szCs w:val="20"/>
          <w:color w:val="auto"/>
        </w:rPr>
      </w:pPr>
    </w:p>
    <w:p>
      <w:pPr>
        <w:ind w:left="20" w:right="179"/>
        <w:spacing w:after="0" w:line="323" w:lineRule="auto"/>
        <w:rPr>
          <w:sz w:val="20"/>
          <w:szCs w:val="20"/>
          <w:color w:val="auto"/>
        </w:rPr>
      </w:pPr>
      <w:r>
        <w:rPr>
          <w:rFonts w:ascii="Arial" w:cs="Arial" w:eastAsia="Arial" w:hAnsi="Arial"/>
          <w:sz w:val="11"/>
          <w:szCs w:val="11"/>
          <w:color w:val="auto"/>
        </w:rPr>
        <w:t>Franchise expenses increased $1.1 million, or 4.2%, in fiscal 2020. The increase was primarily due to an increase in expenses initially paid by the Company on behalf of the franchisee, and subsequently reimbursed by the franchisee. Specifically, these expenses were related to advertising expenses and rent expense for locations sub-leased.</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Recovery of Securities Class Action Legal Expenses and Other Insurance Claims</w:t>
      </w:r>
    </w:p>
    <w:p>
      <w:pPr>
        <w:spacing w:after="0" w:line="150"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During fiscal 2020, we received insurance proceeds of $0.1 million related to a property claim. During fiscal 2019, we received insurance proceeds of $10.0 million related to the settlement of the securities class action lawsuit. See Note 13, “Commitments and Contingencies—Legal Matters” in the accompanying "Notes to Consolidated Financial Statements" in this Annual Report.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Impairment and Closed-Store Reserves</w:t>
      </w:r>
    </w:p>
    <w:p>
      <w:pPr>
        <w:spacing w:after="0" w:line="150" w:lineRule="exact"/>
        <w:rPr>
          <w:sz w:val="20"/>
          <w:szCs w:val="20"/>
          <w:color w:val="auto"/>
        </w:rPr>
      </w:pPr>
    </w:p>
    <w:p>
      <w:pPr>
        <w:ind w:left="20" w:right="99"/>
        <w:spacing w:after="0" w:line="320" w:lineRule="auto"/>
        <w:rPr>
          <w:sz w:val="20"/>
          <w:szCs w:val="20"/>
          <w:color w:val="auto"/>
        </w:rPr>
      </w:pPr>
      <w:r>
        <w:rPr>
          <w:rFonts w:ascii="Arial" w:cs="Arial" w:eastAsia="Arial" w:hAnsi="Arial"/>
          <w:sz w:val="10"/>
          <w:szCs w:val="10"/>
          <w:color w:val="auto"/>
        </w:rPr>
        <w:t>During fiscal 2020, we recorded a $3.5 million non-cash impairment charge primarily related to the carrying value of the ROU assets of one restaurant in Texas and the long-lived assets of four restaurants in California. During fiscal 2019, we recorded a $3.6 million non-cash impairment charge primarily related to the carrying value of the ROU assets of four restaurants sold to franchisees and one restaurant closed during fiscal 2019, and the long-lived assets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fiscal 2020, we recognized $1.2 million of closed-store reserve expense related to the amortization of ROU assets, property taxes and CAM payments for our closed locations.</w:t>
      </w:r>
    </w:p>
    <w:p>
      <w:pPr>
        <w:spacing w:after="0" w:line="162" w:lineRule="exact"/>
        <w:rPr>
          <w:sz w:val="20"/>
          <w:szCs w:val="20"/>
          <w:color w:val="auto"/>
        </w:rPr>
      </w:pPr>
    </w:p>
    <w:p>
      <w:pPr>
        <w:ind w:left="20" w:right="519"/>
        <w:spacing w:after="0" w:line="276" w:lineRule="auto"/>
        <w:rPr>
          <w:sz w:val="20"/>
          <w:szCs w:val="20"/>
          <w:color w:val="auto"/>
        </w:rPr>
      </w:pPr>
      <w:r>
        <w:rPr>
          <w:rFonts w:ascii="Arial" w:cs="Arial" w:eastAsia="Arial" w:hAnsi="Arial"/>
          <w:sz w:val="12"/>
          <w:szCs w:val="12"/>
          <w:color w:val="auto"/>
        </w:rPr>
        <w:t>During fiscal 2019, we closed two restaurants in California and two in Texas and recognized $1.3 million of closed-store reserve expense for fiscal 2019, primarily related to the amortization of ROU assets, property taxes and CAM payments for our closed locations.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Loss on Disposition of Restaurants</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During fiscal 2019, we completed the sale of four company-operated restaurants within the San Francisco area to an existing franchisee and seven company-operated restaurants in the Phoenix area to another existing franchisee. We determined that these restaurant dispositions represent multiple element arrangements, and as a result, the cash consideration received was allocated to the separate elements based on their relative selling price. Cash proceeds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1" w:name="page42"/>
    <w:bookmarkEnd w:id="4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59" w:lineRule="auto"/>
        <w:rPr>
          <w:sz w:val="20"/>
          <w:szCs w:val="20"/>
          <w:color w:val="auto"/>
        </w:rPr>
      </w:pPr>
      <w:r>
        <w:rPr>
          <w:rFonts w:ascii="Arial" w:cs="Arial" w:eastAsia="Arial" w:hAnsi="Arial"/>
          <w:sz w:val="12"/>
          <w:szCs w:val="12"/>
          <w:color w:val="auto"/>
        </w:rPr>
        <w:t>included upfront consideration for the sale of the restaurants and franchise fees, as well as future cash consideration for royalties and lease payments. We also considered the future lease payments in allocating the initial cash consideration received. The cash consideration per restaurant for franchise fees is consistent with the amounts stated in the related franchise agreements, which are charged for separate standalone arrangements. We initially defer and subsequently recognize the franchise fees over the term of the franchise agreement. Future royalty income is also recognized in revenue as earned.</w:t>
      </w:r>
    </w:p>
    <w:p>
      <w:pPr>
        <w:spacing w:after="0" w:line="124"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These sales resulted in cash proceeds of $4.8 million and a net loss on sale of restaurants of $5.1 million for the fiscal year ended December 25, 2019. These restaurants are included in the total number of franchised El Pollo Loco restaurants.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Interest Expense, Net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fiscal 2020, net interest expense, decreased by $0.4 million, primarily related to lower interest rates and lower outstanding balances on our 2018 Revolver.</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Income Tax Receivable Agreement</w:t>
      </w:r>
    </w:p>
    <w:p>
      <w:pPr>
        <w:spacing w:after="0" w:line="150" w:lineRule="exact"/>
        <w:rPr>
          <w:sz w:val="20"/>
          <w:szCs w:val="20"/>
          <w:color w:val="auto"/>
        </w:rPr>
      </w:pPr>
    </w:p>
    <w:p>
      <w:pPr>
        <w:jc w:val="both"/>
        <w:ind w:left="20" w:right="99"/>
        <w:spacing w:after="0" w:line="263" w:lineRule="auto"/>
        <w:rPr>
          <w:sz w:val="20"/>
          <w:szCs w:val="20"/>
          <w:color w:val="auto"/>
        </w:rPr>
      </w:pPr>
      <w:r>
        <w:rPr>
          <w:rFonts w:ascii="Arial" w:cs="Arial" w:eastAsia="Arial" w:hAnsi="Arial"/>
          <w:sz w:val="12"/>
          <w:szCs w:val="12"/>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In each of fiscal 2020 and fiscal 2019 we recognized income tax receivable agreement expense of $0.1 million. In fiscal 2020 and 2019, we paid $5.2 million and $5.8 million, respectively, to our pre-IPO stockholders under the TRA.</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Provision for Income Taxes</w:t>
      </w:r>
    </w:p>
    <w:p>
      <w:pPr>
        <w:spacing w:after="0" w:line="150" w:lineRule="exact"/>
        <w:rPr>
          <w:sz w:val="20"/>
          <w:szCs w:val="20"/>
          <w:color w:val="auto"/>
        </w:rPr>
      </w:pPr>
    </w:p>
    <w:p>
      <w:pPr>
        <w:jc w:val="both"/>
        <w:ind w:left="20" w:right="79"/>
        <w:spacing w:after="0" w:line="259" w:lineRule="auto"/>
        <w:rPr>
          <w:sz w:val="20"/>
          <w:szCs w:val="20"/>
          <w:color w:val="auto"/>
        </w:rPr>
      </w:pPr>
      <w:r>
        <w:rPr>
          <w:rFonts w:ascii="Arial" w:cs="Arial" w:eastAsia="Arial" w:hAnsi="Arial"/>
          <w:sz w:val="12"/>
          <w:szCs w:val="12"/>
          <w:color w:val="auto"/>
        </w:rPr>
        <w:t>In fiscal 2020, we recorded an income tax expense of $5.7 million, compared to income tax expense of $9.7 million in fiscal 2019, reflecting an estimated effective tax rate of 18.8% and 28.0%, respectively. The difference between the 21.0% statutory rate and the Company’s effective tax rate of 18.8% for the year-to-date ended December 30, 2020 is primarily a result of windfall tax benefit related to stock options exercised and state taxes, a Work Opportunity Tax Credit benefit and the change in valuation allowance against certain state credits as a result of future forecasted income apportioned to the state jurisdiction.</w:t>
      </w:r>
    </w:p>
    <w:p>
      <w:pPr>
        <w:spacing w:after="0" w:line="124" w:lineRule="exact"/>
        <w:rPr>
          <w:sz w:val="20"/>
          <w:szCs w:val="20"/>
          <w:color w:val="auto"/>
        </w:rPr>
      </w:pPr>
    </w:p>
    <w:p>
      <w:pPr>
        <w:jc w:val="both"/>
        <w:ind w:left="20" w:right="59"/>
        <w:spacing w:after="0" w:line="276" w:lineRule="auto"/>
        <w:rPr>
          <w:sz w:val="20"/>
          <w:szCs w:val="20"/>
          <w:color w:val="auto"/>
        </w:rPr>
      </w:pPr>
      <w:r>
        <w:rPr>
          <w:rFonts w:ascii="Arial" w:cs="Arial" w:eastAsia="Arial" w:hAnsi="Arial"/>
          <w:sz w:val="12"/>
          <w:szCs w:val="12"/>
          <w:color w:val="auto"/>
        </w:rPr>
        <w:t>The difference between the 21.0% statutory rate and the Company’s effective tax rate of 28.0% for the year ended December 25, 2019 is primarily a result of state taxes and the change in valuation allowance against our deferred tax assets recorded in each of fiscal 2018 and fiscal 2017.</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Fiscal Year 2019 Compared to Fiscal Year 2018</w:t>
      </w:r>
    </w:p>
    <w:p>
      <w:pPr>
        <w:spacing w:after="0" w:line="150"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Our operating results for the fiscal years ended December 25, 2019 and December 26, 2018, in absolute terms and expressed as a percentage of total revenue, with the exception of cost of operations and company restaurant expenses, which are expressed as a percentage of company-operated restaurant revenue, are compared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w w:val="90"/>
              </w:rPr>
              <w:t>Fiscal Year</w:t>
            </w: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3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rPr>
              <w:t>2019</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gridSpan w:val="2"/>
          </w:tcPr>
          <w:p>
            <w:pPr>
              <w:jc w:val="right"/>
              <w:ind w:right="120"/>
              <w:spacing w:after="0" w:line="74" w:lineRule="exact"/>
              <w:rPr>
                <w:sz w:val="20"/>
                <w:szCs w:val="20"/>
                <w:color w:val="auto"/>
              </w:rPr>
            </w:pPr>
            <w:r>
              <w:rPr>
                <w:rFonts w:ascii="Arial" w:cs="Arial" w:eastAsia="Arial" w:hAnsi="Arial"/>
                <w:sz w:val="8"/>
                <w:szCs w:val="8"/>
                <w:b w:val="1"/>
                <w:bCs w:val="1"/>
                <w:color w:val="auto"/>
              </w:rPr>
              <w:t>2018</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3"/>
        </w:trPr>
        <w:tc>
          <w:tcPr>
            <w:tcW w:w="3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tcPr>
          <w:p>
            <w:pPr>
              <w:jc w:val="center"/>
              <w:ind w:left="244"/>
              <w:spacing w:after="0" w:line="114" w:lineRule="exact"/>
              <w:rPr>
                <w:sz w:val="20"/>
                <w:szCs w:val="20"/>
                <w:color w:val="auto"/>
              </w:rPr>
            </w:pPr>
            <w:r>
              <w:rPr>
                <w:rFonts w:ascii="Arial" w:cs="Arial" w:eastAsia="Arial" w:hAnsi="Arial"/>
                <w:sz w:val="10"/>
                <w:szCs w:val="10"/>
                <w:b w:val="1"/>
                <w:bCs w:val="1"/>
                <w:color w:val="auto"/>
                <w:w w:val="87"/>
              </w:rPr>
              <w:t>(52-Weeks)</w:t>
            </w: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jc w:val="center"/>
              <w:ind w:left="205"/>
              <w:spacing w:after="0" w:line="114" w:lineRule="exact"/>
              <w:rPr>
                <w:sz w:val="20"/>
                <w:szCs w:val="20"/>
                <w:color w:val="auto"/>
              </w:rPr>
            </w:pPr>
            <w:r>
              <w:rPr>
                <w:rFonts w:ascii="Arial" w:cs="Arial" w:eastAsia="Arial" w:hAnsi="Arial"/>
                <w:sz w:val="10"/>
                <w:szCs w:val="10"/>
                <w:b w:val="1"/>
                <w:bCs w:val="1"/>
                <w:color w:val="auto"/>
                <w:w w:val="87"/>
              </w:rPr>
              <w:t>(52-Weeks)</w:t>
            </w: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4"/>
          </w:tcPr>
          <w:p>
            <w:pPr>
              <w:jc w:val="right"/>
              <w:ind w:right="340"/>
              <w:spacing w:after="0" w:line="114" w:lineRule="exact"/>
              <w:rPr>
                <w:sz w:val="20"/>
                <w:szCs w:val="20"/>
                <w:color w:val="auto"/>
              </w:rPr>
            </w:pPr>
            <w:r>
              <w:rPr>
                <w:rFonts w:ascii="Arial" w:cs="Arial" w:eastAsia="Arial" w:hAnsi="Arial"/>
                <w:sz w:val="10"/>
                <w:szCs w:val="10"/>
                <w:b w:val="1"/>
                <w:bCs w:val="1"/>
                <w:color w:val="auto"/>
              </w:rPr>
              <w:t>Increase / (Decrease)</w:t>
            </w:r>
          </w:p>
        </w:tc>
      </w:tr>
      <w:tr>
        <w:trPr>
          <w:trHeight w:val="88"/>
        </w:trPr>
        <w:tc>
          <w:tcPr>
            <w:tcW w:w="318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184"/>
              <w:spacing w:after="0" w:line="88" w:lineRule="exact"/>
              <w:rPr>
                <w:sz w:val="20"/>
                <w:szCs w:val="20"/>
                <w:color w:val="auto"/>
              </w:rPr>
            </w:pPr>
            <w:r>
              <w:rPr>
                <w:rFonts w:ascii="Arial" w:cs="Arial" w:eastAsia="Arial" w:hAnsi="Arial"/>
                <w:sz w:val="10"/>
                <w:szCs w:val="10"/>
                <w:b w:val="1"/>
                <w:bCs w:val="1"/>
                <w:color w:val="auto"/>
              </w:rPr>
              <w:t>($,000)</w:t>
            </w: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85"/>
              <w:spacing w:after="0" w:line="88" w:lineRule="exact"/>
              <w:rPr>
                <w:sz w:val="20"/>
                <w:szCs w:val="20"/>
                <w:color w:val="auto"/>
              </w:rPr>
            </w:pPr>
            <w:r>
              <w:rPr>
                <w:rFonts w:ascii="Arial" w:cs="Arial" w:eastAsia="Arial" w:hAnsi="Arial"/>
                <w:sz w:val="10"/>
                <w:szCs w:val="10"/>
                <w:b w:val="1"/>
                <w:bCs w:val="1"/>
                <w:color w:val="auto"/>
              </w:rPr>
              <w:t>($,000)</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183"/>
              <w:spacing w:after="0" w:line="88" w:lineRule="exact"/>
              <w:rPr>
                <w:sz w:val="20"/>
                <w:szCs w:val="20"/>
                <w:color w:val="auto"/>
              </w:rPr>
            </w:pPr>
            <w:r>
              <w:rPr>
                <w:rFonts w:ascii="Arial" w:cs="Arial" w:eastAsia="Arial" w:hAnsi="Arial"/>
                <w:sz w:val="10"/>
                <w:szCs w:val="10"/>
                <w:b w:val="1"/>
                <w:bCs w:val="1"/>
                <w:color w:val="auto"/>
              </w:rPr>
              <w:t>($,000)</w:t>
            </w:r>
          </w:p>
        </w:tc>
        <w:tc>
          <w:tcPr>
            <w:tcW w:w="14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jc w:val="right"/>
              <w:ind w:right="162"/>
              <w:spacing w:after="0" w:line="88" w:lineRule="exact"/>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tcPr>
          <w:p>
            <w:pPr>
              <w:spacing w:after="0"/>
              <w:rPr>
                <w:sz w:val="7"/>
                <w:szCs w:val="7"/>
                <w:color w:val="auto"/>
              </w:rPr>
            </w:pPr>
          </w:p>
        </w:tc>
      </w:tr>
      <w:tr>
        <w:trPr>
          <w:trHeight w:val="133"/>
        </w:trPr>
        <w:tc>
          <w:tcPr>
            <w:tcW w:w="318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Statements of Operations Data:</w:t>
            </w: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Revenue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Company-operated restaurant revenue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391,112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388,835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40" w:type="dxa"/>
            <w:vAlign w:val="bottom"/>
            <w:shd w:val="clear" w:color="auto" w:fill="CCEEFF"/>
          </w:tcPr>
          <w:p>
            <w:pPr>
              <w:spacing w:after="0"/>
              <w:rPr>
                <w:sz w:val="12"/>
                <w:szCs w:val="12"/>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Franchise revenue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28,819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25,771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3,048</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w:t>
            </w:r>
          </w:p>
        </w:tc>
        <w:tc>
          <w:tcPr>
            <w:tcW w:w="40" w:type="dxa"/>
            <w:vAlign w:val="bottom"/>
          </w:tcPr>
          <w:p>
            <w:pPr>
              <w:spacing w:after="0"/>
              <w:rPr>
                <w:sz w:val="12"/>
                <w:szCs w:val="12"/>
                <w:color w:val="auto"/>
              </w:rPr>
            </w:pP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Franchise advertising fee revenue</w:t>
            </w:r>
          </w:p>
        </w:tc>
        <w:tc>
          <w:tcPr>
            <w:tcW w:w="10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22,399</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21,222</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1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40" w:type="dxa"/>
            <w:vAlign w:val="bottom"/>
            <w:shd w:val="clear" w:color="auto" w:fill="CCEEFF"/>
          </w:tcPr>
          <w:p>
            <w:pPr>
              <w:spacing w:after="0"/>
              <w:rPr>
                <w:sz w:val="12"/>
                <w:szCs w:val="12"/>
                <w:color w:val="auto"/>
              </w:rPr>
            </w:pPr>
          </w:p>
        </w:tc>
      </w:tr>
      <w:tr>
        <w:trPr>
          <w:trHeight w:val="133"/>
        </w:trPr>
        <w:tc>
          <w:tcPr>
            <w:tcW w:w="3180" w:type="dxa"/>
            <w:vAlign w:val="bottom"/>
          </w:tcPr>
          <w:p>
            <w:pPr>
              <w:spacing w:after="0" w:line="133" w:lineRule="exact"/>
              <w:rPr>
                <w:sz w:val="20"/>
                <w:szCs w:val="20"/>
                <w:color w:val="auto"/>
              </w:rPr>
            </w:pPr>
            <w:r>
              <w:rPr>
                <w:rFonts w:ascii="Arial" w:cs="Arial" w:eastAsia="Arial" w:hAnsi="Arial"/>
                <w:sz w:val="12"/>
                <w:szCs w:val="12"/>
                <w:b w:val="1"/>
                <w:bCs w:val="1"/>
                <w:color w:val="auto"/>
              </w:rPr>
              <w:t>Total revenue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442,330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435,828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6,502</w:t>
            </w:r>
          </w:p>
        </w:tc>
        <w:tc>
          <w:tcPr>
            <w:tcW w:w="1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1.5</w:t>
            </w:r>
          </w:p>
        </w:tc>
        <w:tc>
          <w:tcPr>
            <w:tcW w:w="40" w:type="dxa"/>
            <w:vAlign w:val="bottom"/>
          </w:tcPr>
          <w:p>
            <w:pPr>
              <w:spacing w:after="0"/>
              <w:rPr>
                <w:sz w:val="11"/>
                <w:szCs w:val="11"/>
                <w:color w:val="auto"/>
              </w:rPr>
            </w:pP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Cost of operations</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Food and paper costs (1)</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109,264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111,142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(1,878)</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(1.7)</w:t>
            </w: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Labor and related expenses (1)</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40" w:type="dxa"/>
            <w:vAlign w:val="bottom"/>
            <w:shd w:val="clear" w:color="auto" w:fill="CCEEFF"/>
          </w:tcPr>
          <w:p>
            <w:pPr>
              <w:spacing w:after="0"/>
              <w:rPr>
                <w:sz w:val="12"/>
                <w:szCs w:val="12"/>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Occupancy and other operating expenses (1)</w:t>
            </w:r>
          </w:p>
        </w:tc>
        <w:tc>
          <w:tcPr>
            <w:tcW w:w="1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92,005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91,385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620</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40" w:type="dxa"/>
            <w:vAlign w:val="bottom"/>
          </w:tcPr>
          <w:p>
            <w:pPr>
              <w:spacing w:after="0"/>
              <w:rPr>
                <w:sz w:val="12"/>
                <w:szCs w:val="12"/>
                <w:color w:val="auto"/>
              </w:rPr>
            </w:pPr>
          </w:p>
        </w:tc>
      </w:tr>
      <w:tr>
        <w:trPr>
          <w:trHeight w:val="421"/>
        </w:trPr>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424"/>
              <w:spacing w:after="0"/>
              <w:rPr>
                <w:sz w:val="20"/>
                <w:szCs w:val="20"/>
                <w:color w:val="auto"/>
              </w:rPr>
            </w:pPr>
            <w:r>
              <w:rPr>
                <w:rFonts w:ascii="Arial" w:cs="Arial" w:eastAsia="Arial" w:hAnsi="Arial"/>
                <w:sz w:val="12"/>
                <w:szCs w:val="12"/>
                <w:color w:val="auto"/>
              </w:rPr>
              <w:t>40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3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42" w:name="page43"/>
    <w:bookmarkEnd w:id="4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420" w:type="dxa"/>
            <w:vAlign w:val="bottom"/>
            <w:gridSpan w:val="3"/>
          </w:tcPr>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1"/>
        </w:trPr>
        <w:tc>
          <w:tcPr>
            <w:tcW w:w="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Company restaurant expenses (1)</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317,972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314,944</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3,028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2"/>
                <w:szCs w:val="12"/>
                <w:color w:val="auto"/>
              </w:rPr>
              <w:t>General and administrative expenses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40,389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50,261</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(9,872)</w:t>
            </w:r>
          </w:p>
        </w:tc>
        <w:tc>
          <w:tcPr>
            <w:tcW w:w="600" w:type="dxa"/>
            <w:vAlign w:val="bottom"/>
          </w:tcPr>
          <w:p>
            <w:pPr>
              <w:jc w:val="right"/>
              <w:spacing w:after="0"/>
              <w:rPr>
                <w:sz w:val="20"/>
                <w:szCs w:val="20"/>
                <w:color w:val="auto"/>
              </w:rPr>
            </w:pPr>
            <w:r>
              <w:rPr>
                <w:rFonts w:ascii="Arial" w:cs="Arial" w:eastAsia="Arial" w:hAnsi="Arial"/>
                <w:sz w:val="12"/>
                <w:szCs w:val="12"/>
                <w:color w:val="auto"/>
              </w:rPr>
              <w:t>(19.6)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Legal settlements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(36,258)</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2"/>
                <w:szCs w:val="12"/>
                <w:color w:val="auto"/>
              </w:rPr>
              <w:t>Franchise expenses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27,612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24,429</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3,183</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17,825</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2"/>
                <w:szCs w:val="12"/>
                <w:color w:val="auto"/>
              </w:rPr>
              <w:t>Loss on disposal of assets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278</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(12)</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Recovery of securities lawsuits related legal expenses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(8,356)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(1,644)</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2"/>
                <w:szCs w:val="12"/>
                <w:color w:val="auto"/>
              </w:rPr>
              <w:t>Impairment and closed-store reserves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4,852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9,650</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(4,798)</w:t>
            </w:r>
          </w:p>
        </w:tc>
        <w:tc>
          <w:tcPr>
            <w:tcW w:w="600" w:type="dxa"/>
            <w:vAlign w:val="bottom"/>
          </w:tcPr>
          <w:p>
            <w:pPr>
              <w:jc w:val="right"/>
              <w:spacing w:after="0"/>
              <w:rPr>
                <w:sz w:val="20"/>
                <w:szCs w:val="20"/>
                <w:color w:val="auto"/>
              </w:rPr>
            </w:pPr>
            <w:r>
              <w:rPr>
                <w:rFonts w:ascii="Arial" w:cs="Arial" w:eastAsia="Arial" w:hAnsi="Arial"/>
                <w:sz w:val="12"/>
                <w:szCs w:val="12"/>
                <w:color w:val="auto"/>
              </w:rPr>
              <w:t>(49.7)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disposition of restaurants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5,058</w:t>
            </w:r>
          </w:p>
        </w:tc>
        <w:tc>
          <w:tcPr>
            <w:tcW w:w="1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3"/>
        </w:trPr>
        <w:tc>
          <w:tcPr>
            <w:tcW w:w="3420" w:type="dxa"/>
            <w:vAlign w:val="bottom"/>
            <w:gridSpan w:val="3"/>
          </w:tcPr>
          <w:p>
            <w:pPr>
              <w:spacing w:after="0" w:line="133" w:lineRule="exact"/>
              <w:rPr>
                <w:sz w:val="20"/>
                <w:szCs w:val="20"/>
                <w:color w:val="auto"/>
              </w:rPr>
            </w:pPr>
            <w:r>
              <w:rPr>
                <w:rFonts w:ascii="Arial" w:cs="Arial" w:eastAsia="Arial" w:hAnsi="Arial"/>
                <w:sz w:val="12"/>
                <w:szCs w:val="12"/>
                <w:color w:val="auto"/>
              </w:rPr>
              <w:t>Total expenses</w:t>
            </w:r>
          </w:p>
        </w:tc>
        <w:tc>
          <w:tcPr>
            <w:tcW w:w="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404,004</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445,289</w:t>
            </w: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102.2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(41,285)</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(9.3)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Income (loss) from operations</w:t>
            </w:r>
          </w:p>
        </w:tc>
        <w:tc>
          <w:tcPr>
            <w:tcW w:w="8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38,326</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(9,461)</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47,787</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(505.1)</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3,687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3,502</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185</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receivable agreement expense (benefit)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20" w:type="dxa"/>
            <w:vAlign w:val="bottom"/>
            <w:gridSpan w:val="3"/>
          </w:tcPr>
          <w:p>
            <w:pPr>
              <w:spacing w:after="0" w:line="133" w:lineRule="exact"/>
              <w:rPr>
                <w:sz w:val="20"/>
                <w:szCs w:val="20"/>
                <w:color w:val="auto"/>
              </w:rPr>
            </w:pPr>
            <w:r>
              <w:rPr>
                <w:rFonts w:ascii="Arial" w:cs="Arial" w:eastAsia="Arial" w:hAnsi="Arial"/>
                <w:sz w:val="12"/>
                <w:szCs w:val="12"/>
                <w:color w:val="auto"/>
              </w:rPr>
              <w:t>Income (loss) before provision for income taxes</w:t>
            </w:r>
          </w:p>
        </w:tc>
        <w:tc>
          <w:tcPr>
            <w:tcW w:w="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34,582</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(12,202)</w:t>
            </w:r>
          </w:p>
        </w:tc>
        <w:tc>
          <w:tcPr>
            <w:tcW w:w="160" w:type="dxa"/>
            <w:vAlign w:val="bottom"/>
          </w:tcPr>
          <w:p>
            <w:pPr>
              <w:spacing w:after="0"/>
              <w:rPr>
                <w:sz w:val="11"/>
                <w:szCs w:val="11"/>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46,784</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(383.4)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(3,208)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12,890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(401.8)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20" w:type="dxa"/>
            <w:vAlign w:val="bottom"/>
            <w:gridSpan w:val="3"/>
          </w:tcPr>
          <w:p>
            <w:pPr>
              <w:spacing w:after="0" w:line="133" w:lineRule="exact"/>
              <w:rPr>
                <w:sz w:val="20"/>
                <w:szCs w:val="20"/>
                <w:color w:val="auto"/>
              </w:rPr>
            </w:pPr>
            <w:r>
              <w:rPr>
                <w:rFonts w:ascii="Arial" w:cs="Arial" w:eastAsia="Arial" w:hAnsi="Arial"/>
                <w:sz w:val="12"/>
                <w:szCs w:val="12"/>
                <w:color w:val="auto"/>
              </w:rPr>
              <w:t>Net income (loss)</w:t>
            </w:r>
          </w:p>
        </w:tc>
        <w:tc>
          <w:tcPr>
            <w:tcW w:w="8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24,900</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(8,994)</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33,894</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(376.9)</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right="579" w:hanging="218"/>
        <w:spacing w:after="0" w:line="276" w:lineRule="auto"/>
        <w:tabs>
          <w:tab w:leader="none" w:pos="2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Percentages for line items relating to cost of operations and company restaurant expenses are calculated with company-operated restaurant revenue as the denominator. All other percentages use total revenue.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Company-Operated Restaurant Revenue</w:t>
      </w:r>
    </w:p>
    <w:p>
      <w:pPr>
        <w:spacing w:after="0" w:line="150"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In fiscal 2019, company-operated restaurant revenue increased $2.3 million, or 0.6%, due to $7.6 million of additional sales from restaurants opened during or after the first quarter of the prior year. In addition, company-operated revenue was favorably impacted by an increase in company-operated comparable restaurant sales of $7.0 million, or 1.9%, and an increase in other revenue of $0.6 million. The growth in company-operated comparable restaurant sales was due primarily to an increase in average check size of 2.9%, partially offset by a decline in transactions of 1.0%, compared to the prior year. The increase in average check includes a 3.6% benefit from gross menu price increases that were implemented during 2018 and 2019. The increase in company-operated restaurant revenue was partially offset by $12.9 million of net impact of lost sales from restaurants closed in fiscal 2019 and 2018, and the 16 company-operated restaurants sold by the Company to franchisees during the 2019.</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Revenue</w:t>
      </w:r>
    </w:p>
    <w:p>
      <w:pPr>
        <w:spacing w:after="0" w:line="150" w:lineRule="exact"/>
        <w:rPr>
          <w:sz w:val="20"/>
          <w:szCs w:val="20"/>
          <w:color w:val="auto"/>
        </w:rPr>
      </w:pPr>
    </w:p>
    <w:p>
      <w:pPr>
        <w:ind w:left="20" w:right="79"/>
        <w:spacing w:after="0" w:line="259" w:lineRule="auto"/>
        <w:rPr>
          <w:sz w:val="20"/>
          <w:szCs w:val="20"/>
          <w:color w:val="auto"/>
        </w:rPr>
      </w:pPr>
      <w:r>
        <w:rPr>
          <w:rFonts w:ascii="Arial" w:cs="Arial" w:eastAsia="Arial" w:hAnsi="Arial"/>
          <w:sz w:val="12"/>
          <w:szCs w:val="12"/>
          <w:color w:val="auto"/>
        </w:rPr>
        <w:t>In fiscal 2019, franchise revenue increased $3.0 million, or 11.8%. This increase was primarily due to higher fees received from franchised restaurants related to their use of our point-of-sales system, a franchise comparable restaurant sales increase of 2.0%, the opening of 11 new franchised restaurants during or after the first quarter of the prior year and 16 company-operated restaurants sold by the Company to franchisees during the year. This franchise revenue increase was partially offset by the closure of five franchise locations during the same period.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Advertising Fee Revenue</w:t>
      </w:r>
    </w:p>
    <w:p>
      <w:pPr>
        <w:spacing w:after="0" w:line="150"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Franchise advertising fee revenue increased, which is paid as a percentage of the franchise restaurants' net sales, $1.2 million, or 5.5% from the comparable period in the prior year. This increase was primarily due to an increase in the number of franchise locations and increased franchise comparable restaurant sales.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Food and Paper Costs</w:t>
      </w:r>
    </w:p>
    <w:p>
      <w:pPr>
        <w:spacing w:after="0" w:line="150" w:lineRule="exact"/>
        <w:rPr>
          <w:sz w:val="20"/>
          <w:szCs w:val="20"/>
          <w:color w:val="auto"/>
        </w:rPr>
      </w:pPr>
    </w:p>
    <w:p>
      <w:pPr>
        <w:jc w:val="both"/>
        <w:ind w:left="20" w:right="259"/>
        <w:spacing w:after="0" w:line="340" w:lineRule="auto"/>
        <w:rPr>
          <w:sz w:val="20"/>
          <w:szCs w:val="20"/>
          <w:color w:val="auto"/>
        </w:rPr>
      </w:pPr>
      <w:r>
        <w:rPr>
          <w:rFonts w:ascii="Arial" w:cs="Arial" w:eastAsia="Arial" w:hAnsi="Arial"/>
          <w:sz w:val="10"/>
          <w:szCs w:val="10"/>
          <w:color w:val="auto"/>
        </w:rPr>
        <w:t>Food and paper costs decreased $1.9 million, or 1.7%, in fiscal 2019, due to a $1.8 million decrease in food costs and a $0.1 million decrease in paper costs. The decrease in food and paper costs resulted primarily from lower company transactions, partially offset by higher commodity inflation. Food and paper costs as a percentage of company-operated restaurant revenue were 27.9% in fiscal 2019, compared to 28.6% in fiscal 2018. This percentage decrease was due primarily to an increase in pricing, partially offset by commodity inflation.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3" w:name="page44"/>
    <w:bookmarkEnd w:id="4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Labor and Related Expenses</w:t>
      </w:r>
    </w:p>
    <w:p>
      <w:pPr>
        <w:spacing w:after="0" w:line="150"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Payroll and benefit expenses increased $4.3 million, or 3.8%, in fiscal 2019. This increase was due primarily to additional labor needs arising from the opening of two new restaurants in fiscal 2019 and eight new restaurants in fiscal 2018, minimum wage increases in California and, specifically, Los Angeles, and higher workers' compensation expense due to increased claims activity, partially offset by a reduction in labor for restaurant closures and locations sold to franchisees in fiscal 2019 and 2018. Payroll and benefit expenses as a percentage of company-operated restaurant revenue were 29.8% in fiscal 2019, compared to 28.9% in fiscal 2018. This increase was primarily due to the wage increases noted above, partially offset by higher restaurant revenue from increases in pricing.</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Occupancy and Other Operating Expenses</w:t>
      </w:r>
    </w:p>
    <w:p>
      <w:pPr>
        <w:spacing w:after="0" w:line="150"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Occupancy and other operating expenses increased $0.6 million, or 0.7%, in fiscal 2019. This increase for the year-to-date period was due to a $1.1 million increase in customer order delivery fees due to increased delivery orders, a $0.2 million increase in repair and maintenance costs and a $0.2 million increase in utilities costs. These increases were partially offset by a $0.8 million decrease in advertising costs and a $0.1 million decrease in other operating expenses. Occupancy and other operating expenses as a percentage of company-operated restaurant revenue was 23.5% for both fiscal 2019 and fiscal 2018, primarily due to the higher costs noted above, offset by increased pricing.</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General and Administrative Expenses</w:t>
      </w:r>
    </w:p>
    <w:p>
      <w:pPr>
        <w:spacing w:after="0" w:line="150" w:lineRule="exact"/>
        <w:rPr>
          <w:sz w:val="20"/>
          <w:szCs w:val="20"/>
          <w:color w:val="auto"/>
        </w:rPr>
      </w:pPr>
    </w:p>
    <w:p>
      <w:pPr>
        <w:ind w:left="20" w:right="39"/>
        <w:spacing w:after="0" w:line="320" w:lineRule="auto"/>
        <w:rPr>
          <w:sz w:val="20"/>
          <w:szCs w:val="20"/>
          <w:color w:val="auto"/>
        </w:rPr>
      </w:pPr>
      <w:r>
        <w:rPr>
          <w:rFonts w:ascii="Arial" w:cs="Arial" w:eastAsia="Arial" w:hAnsi="Arial"/>
          <w:sz w:val="10"/>
          <w:szCs w:val="10"/>
          <w:color w:val="auto"/>
        </w:rPr>
        <w:t>General and administrative expenses decreased $9.9 million, or 19.6%, in fiscal 2019. The decrease for the year-to-date period was due primarily to (i) a $10.2 million decrease in legal expenses related primarily to a decrease in securities class action litigation costs, (ii) a $0.5 million decrease in restaurant pre-opening costs, (iii) a $0.3 million decrease in travel expense and (iv) a $0.3 million decrease in recruiting costs. These decreases were partially offset by a $0.6 million increase in labor related costs, primarily related to an increase in estimated management bonus expenses, a $0.5 million increase in stock compensation expenses and a $0.3 million increase in other general and administrative expenses. General and administrative expenses as a percentage of total revenue were 9.1% in fiscal 2019, compared to 11.5% in fiscal 2018. This decrease is primarily due to the cost decreases noted above.</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Legal Settlements</w:t>
      </w:r>
    </w:p>
    <w:p>
      <w:pPr>
        <w:spacing w:after="0" w:line="150" w:lineRule="exact"/>
        <w:rPr>
          <w:sz w:val="20"/>
          <w:szCs w:val="20"/>
          <w:color w:val="auto"/>
        </w:rPr>
      </w:pPr>
    </w:p>
    <w:p>
      <w:pPr>
        <w:ind w:left="20" w:right="39"/>
        <w:spacing w:after="0" w:line="256" w:lineRule="auto"/>
        <w:rPr>
          <w:sz w:val="20"/>
          <w:szCs w:val="20"/>
          <w:color w:val="auto"/>
        </w:rPr>
      </w:pPr>
      <w:r>
        <w:rPr>
          <w:rFonts w:ascii="Arial" w:cs="Arial" w:eastAsia="Arial" w:hAnsi="Arial"/>
          <w:sz w:val="12"/>
          <w:szCs w:val="12"/>
          <w:color w:val="auto"/>
        </w:rPr>
        <w:t>Legal settlements decreased $36.3 million in fiscal 2019. The decrease was due to (i) an accrual in 2018 of a settlement amount in fiscal 2019 related to an agreement in principle to settle all claims and allegations for the securities class action as discussed in Note 13 “Commitments and Contingencies—Legal Matters" in the accompanying "Notes to Consolidated Financial Statements" in this Annual Report and (ii) an accrual in 2018 of an expected settlement amount related to an agreement in principle to settle all claims and allegations related to multiple wage and hour class action suits as discussed in Note 13 “Commitments and Contingencies—Legal Matters" in the accompanying "Notes to Consolidated Financial Statements" in this Annual Report.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Expenses</w:t>
      </w:r>
    </w:p>
    <w:p>
      <w:pPr>
        <w:spacing w:after="0" w:line="150"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Franchise expenses increased $3.2 million, or 13.0%, in fiscal 2019. The increase for the year-to-date period was primarily due to increase in expenses initially paid by the Company on behalf of the franchisee, and subsequently reimbursed by the franchisee. Specifically, related to advertising expenses, rent expense for locations sub-leased and the franchisee use of our point-of-sale system.</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Impairment and Closed-Store Reserves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fiscal 2019, we determined that the carrying value of ROU assets and long-lived assets at certain restaurants may not be recoverable. As a result, we recorded a $3.6</w:t>
      </w:r>
    </w:p>
    <w:p>
      <w:pPr>
        <w:spacing w:after="0" w:line="26" w:lineRule="exact"/>
        <w:rPr>
          <w:sz w:val="20"/>
          <w:szCs w:val="20"/>
          <w:color w:val="auto"/>
        </w:rPr>
      </w:pPr>
    </w:p>
    <w:p>
      <w:pPr>
        <w:ind w:left="20" w:right="219"/>
        <w:spacing w:after="0" w:line="260" w:lineRule="auto"/>
        <w:rPr>
          <w:sz w:val="20"/>
          <w:szCs w:val="20"/>
          <w:color w:val="auto"/>
        </w:rPr>
      </w:pPr>
      <w:r>
        <w:rPr>
          <w:rFonts w:ascii="Arial" w:cs="Arial" w:eastAsia="Arial" w:hAnsi="Arial"/>
          <w:sz w:val="12"/>
          <w:szCs w:val="12"/>
          <w:color w:val="auto"/>
        </w:rPr>
        <w:t>million impairment expense primarily related to the carrying value of the ROU assets of four restaurants sold to franchisees and one restaurant closed during fiscal 2019, and the long-lived assets of one restaurant in California.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4" w:name="page45"/>
    <w:bookmarkEnd w:id="4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During fiscal 2018, we determined that the carrying value of assets at certain restaurants may not be recoverable. As a result, we recorded a $5.1 million impairment expense primarily related to four restaurants in Arizona, California and Texas, including a restaurant in Texas that opened in early 2018.</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fiscal 2018, we closed seven restaurants in Arizona, California and Texas. These closures resulted in closed-store reserve expenses of $4.5 million during fiscal 2018.</w:t>
      </w:r>
    </w:p>
    <w:p>
      <w:pPr>
        <w:spacing w:after="0" w:line="162" w:lineRule="exact"/>
        <w:rPr>
          <w:sz w:val="20"/>
          <w:szCs w:val="20"/>
          <w:color w:val="auto"/>
        </w:rPr>
      </w:pPr>
    </w:p>
    <w:p>
      <w:pPr>
        <w:ind w:left="20" w:right="99"/>
        <w:spacing w:after="0" w:line="298" w:lineRule="auto"/>
        <w:rPr>
          <w:sz w:val="20"/>
          <w:szCs w:val="20"/>
          <w:color w:val="auto"/>
        </w:rPr>
      </w:pPr>
      <w:r>
        <w:rPr>
          <w:rFonts w:ascii="Arial" w:cs="Arial" w:eastAsia="Arial" w:hAnsi="Arial"/>
          <w:sz w:val="11"/>
          <w:szCs w:val="11"/>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w:t>
      </w:r>
    </w:p>
    <w:p>
      <w:pPr>
        <w:spacing w:after="0" w:line="105"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During fiscal 2019, the Company closed two restaurants in California and two in Texas and recognized $1.3 million of closed-store reserve expense for fiscal 2019, primarily related to the amortization of ROU assets for the closed stores.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continues to monitor the recoverability of the carrying value of the assets of several other restaurants.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Interest Expense, Net</w:t>
      </w:r>
    </w:p>
    <w:p>
      <w:pPr>
        <w:spacing w:after="0" w:line="150"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For fiscal 2019, net interest expense, increased by $0.2 million, primarily due to higher outstanding balances on our 2018 Revolver, partially offset by interest income received related to the interest rate swap entered into during fiscal 2019. See Note 6 “Long-Term Debt-Interest Rate Swap" in the accompanying "Notes to Consolidated Financial Statements" in this Annual Report.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Income Tax Receivable Agreement</w:t>
      </w:r>
    </w:p>
    <w:p>
      <w:pPr>
        <w:spacing w:after="0" w:line="150" w:lineRule="exact"/>
        <w:rPr>
          <w:sz w:val="20"/>
          <w:szCs w:val="20"/>
          <w:color w:val="auto"/>
        </w:rPr>
      </w:pPr>
    </w:p>
    <w:p>
      <w:pPr>
        <w:jc w:val="both"/>
        <w:ind w:left="20" w:right="319"/>
        <w:spacing w:after="0" w:line="298" w:lineRule="auto"/>
        <w:rPr>
          <w:sz w:val="20"/>
          <w:szCs w:val="20"/>
          <w:color w:val="auto"/>
        </w:rPr>
      </w:pPr>
      <w:r>
        <w:rPr>
          <w:rFonts w:ascii="Arial" w:cs="Arial" w:eastAsia="Arial" w:hAnsi="Arial"/>
          <w:sz w:val="11"/>
          <w:szCs w:val="11"/>
          <w:color w:val="auto"/>
        </w:rPr>
        <w:t>In fiscal 2019 we recognized income tax receivable agreement expense of $0.1 million as a result of changes to future forecasted results. In 2018, we incurred income tax receivable agreement income of $0.8 million, resulting from changes to future forecasted results and timing of the deductibility of certain temporary differences including the current year legal settlement accrual. In fiscal 2019 and 2018, we paid $5.8 million and $7.3 million, respectively, to our pre-IPO stockholders under the TRA.</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Provision for Income Taxes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 fiscal 2019, we recorded an income tax expense of $9.7 million, compared to income tax benefit of $3.2 million in fiscal 2018, reflecting an estimated effective tax rate</w:t>
      </w:r>
    </w:p>
    <w:p>
      <w:pPr>
        <w:spacing w:after="0" w:line="15" w:lineRule="exact"/>
        <w:rPr>
          <w:sz w:val="20"/>
          <w:szCs w:val="20"/>
          <w:color w:val="auto"/>
        </w:rPr>
      </w:pPr>
    </w:p>
    <w:p>
      <w:pPr>
        <w:jc w:val="both"/>
        <w:ind w:left="20" w:right="99"/>
        <w:spacing w:after="0" w:line="330" w:lineRule="auto"/>
        <w:rPr>
          <w:sz w:val="20"/>
          <w:szCs w:val="20"/>
          <w:color w:val="auto"/>
        </w:rPr>
      </w:pPr>
      <w:r>
        <w:rPr>
          <w:rFonts w:ascii="Arial" w:cs="Arial" w:eastAsia="Arial" w:hAnsi="Arial"/>
          <w:sz w:val="10"/>
          <w:szCs w:val="10"/>
          <w:color w:val="auto"/>
        </w:rPr>
        <w:t>of 28.0% and 26.3%, respectively. The higher effective tax rate in 2019 resulted primarily from an increase in disallowed executive compensation under section 162(m) and a decrease in benefit from Workers Opportunity Tax Credit relative to pretax book income. In addition, there was a $1.0 million valuation allowance against our deferred tax assets recorded in each of fiscal 2018 and fiscal 2017. The valuation allowance against our deferred tax assets resulted from certain tax credits that may not be realizable prior to the time the credits expire.</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Key Performance Indicators</w:t>
      </w:r>
    </w:p>
    <w:p>
      <w:pPr>
        <w:spacing w:after="0" w:line="154" w:lineRule="exact"/>
        <w:rPr>
          <w:sz w:val="20"/>
          <w:szCs w:val="20"/>
          <w:color w:val="auto"/>
        </w:rPr>
      </w:pPr>
    </w:p>
    <w:p>
      <w:pPr>
        <w:ind w:left="20" w:right="99"/>
        <w:spacing w:after="0" w:line="283" w:lineRule="auto"/>
        <w:rPr>
          <w:sz w:val="20"/>
          <w:szCs w:val="20"/>
          <w:color w:val="auto"/>
        </w:rPr>
      </w:pPr>
      <w:r>
        <w:rPr>
          <w:rFonts w:ascii="Arial" w:cs="Arial" w:eastAsia="Arial" w:hAnsi="Arial"/>
          <w:sz w:val="11"/>
          <w:szCs w:val="11"/>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2020, our restaurants generated company-operated restaurant revenue of $374.1 million and system-wide sales of $879.6 million, and system comparable sales decline of 2.4%, consisting of company-operated restaurant comparable sales decline of 3.0% and franchised comparable sales decline of 2.0%. The company-operated comparable sales decrease consisted of a 15.8% transaction decrease, partially offset by a 15.3% check growth. In fiscal 2020, for company-operated restaurants, our annual AUV was $1.9 million, restaurant contribution margin was 18.8%, and Adjusted EBITDA was $61.6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5" w:name="page46"/>
    <w:bookmarkEnd w:id="4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Company-Operated Restaurant Revenue</w:t>
      </w:r>
    </w:p>
    <w:p>
      <w:pPr>
        <w:spacing w:after="0" w:line="150" w:lineRule="exact"/>
        <w:rPr>
          <w:sz w:val="20"/>
          <w:szCs w:val="20"/>
          <w:color w:val="auto"/>
        </w:rPr>
      </w:pPr>
    </w:p>
    <w:p>
      <w:pPr>
        <w:ind w:left="20" w:right="219"/>
        <w:spacing w:after="0" w:line="263" w:lineRule="auto"/>
        <w:rPr>
          <w:sz w:val="20"/>
          <w:szCs w:val="20"/>
          <w:color w:val="auto"/>
        </w:rPr>
      </w:pPr>
      <w:r>
        <w:rPr>
          <w:rFonts w:ascii="Arial" w:cs="Arial" w:eastAsia="Arial" w:hAnsi="Arial"/>
          <w:sz w:val="12"/>
          <w:szCs w:val="12"/>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22"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 In addition, we expect our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System-Wide Sales</w:t>
      </w:r>
    </w:p>
    <w:p>
      <w:pPr>
        <w:spacing w:after="0" w:line="150" w:lineRule="exact"/>
        <w:rPr>
          <w:sz w:val="20"/>
          <w:szCs w:val="20"/>
          <w:color w:val="auto"/>
        </w:rPr>
      </w:pPr>
    </w:p>
    <w:p>
      <w:pPr>
        <w:ind w:left="20" w:right="119"/>
        <w:spacing w:after="0" w:line="256" w:lineRule="auto"/>
        <w:rPr>
          <w:sz w:val="20"/>
          <w:szCs w:val="20"/>
          <w:color w:val="auto"/>
        </w:rPr>
      </w:pPr>
      <w:r>
        <w:rPr>
          <w:rFonts w:ascii="Arial" w:cs="Arial" w:eastAsia="Arial" w:hAnsi="Arial"/>
          <w:sz w:val="12"/>
          <w:szCs w:val="12"/>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reconciles system-wide sales to company-operated restaurant revenue and total revenue:</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00" w:type="dxa"/>
            <w:vAlign w:val="bottom"/>
            <w:vMerge w:val="restart"/>
          </w:tcPr>
          <w:p>
            <w:pPr>
              <w:spacing w:after="0"/>
              <w:rPr>
                <w:sz w:val="20"/>
                <w:szCs w:val="20"/>
                <w:color w:val="auto"/>
              </w:rPr>
            </w:pPr>
            <w:r>
              <w:rPr>
                <w:rFonts w:ascii="Arial" w:cs="Arial" w:eastAsia="Arial" w:hAnsi="Arial"/>
                <w:sz w:val="10"/>
                <w:szCs w:val="10"/>
                <w:b w:val="1"/>
                <w:bCs w:val="1"/>
                <w:color w:val="auto"/>
              </w:rPr>
              <w:t>(Dollar amounts in thousands)</w:t>
            </w: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Fiscal Year</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10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21"/>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42"/>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1"/>
              <w:spacing w:after="0" w:line="88" w:lineRule="exact"/>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33"/>
        </w:trPr>
        <w:tc>
          <w:tcPr>
            <w:tcW w:w="61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Company-operated restaurant revenue</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374,064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391,112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6"/>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388,835</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Franchise revenue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29,418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28,819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25,771</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Franchise advertising fee revenue</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22,605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21,222</w:t>
            </w:r>
          </w:p>
        </w:tc>
        <w:tc>
          <w:tcPr>
            <w:tcW w:w="0" w:type="dxa"/>
            <w:vAlign w:val="bottom"/>
          </w:tcPr>
          <w:p>
            <w:pPr>
              <w:spacing w:after="0"/>
              <w:rPr>
                <w:sz w:val="1"/>
                <w:szCs w:val="1"/>
                <w:color w:val="auto"/>
              </w:rPr>
            </w:pPr>
          </w:p>
        </w:tc>
      </w:tr>
      <w:tr>
        <w:trPr>
          <w:trHeight w:val="133"/>
        </w:trPr>
        <w:tc>
          <w:tcPr>
            <w:tcW w:w="6100" w:type="dxa"/>
            <w:vAlign w:val="bottom"/>
          </w:tcPr>
          <w:p>
            <w:pPr>
              <w:spacing w:after="0" w:line="133" w:lineRule="exact"/>
              <w:rPr>
                <w:sz w:val="20"/>
                <w:szCs w:val="20"/>
                <w:color w:val="auto"/>
              </w:rPr>
            </w:pPr>
            <w:r>
              <w:rPr>
                <w:rFonts w:ascii="Arial" w:cs="Arial" w:eastAsia="Arial" w:hAnsi="Arial"/>
                <w:sz w:val="12"/>
                <w:szCs w:val="12"/>
                <w:b w:val="1"/>
                <w:bCs w:val="1"/>
                <w:color w:val="auto"/>
              </w:rPr>
              <w:t>Total Revenue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426,087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442,330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435,828</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Franchise revenue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(25,771)</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Franchise advertising fee revenue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(22,605)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(22,399)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(21,222)</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Sales from franchised restaurants</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505,559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503,413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479,574</w:t>
            </w:r>
          </w:p>
        </w:tc>
        <w:tc>
          <w:tcPr>
            <w:tcW w:w="0" w:type="dxa"/>
            <w:vAlign w:val="bottom"/>
          </w:tcPr>
          <w:p>
            <w:pPr>
              <w:spacing w:after="0"/>
              <w:rPr>
                <w:sz w:val="1"/>
                <w:szCs w:val="1"/>
                <w:color w:val="auto"/>
              </w:rPr>
            </w:pPr>
          </w:p>
        </w:tc>
      </w:tr>
      <w:tr>
        <w:trPr>
          <w:trHeight w:val="140"/>
        </w:trPr>
        <w:tc>
          <w:tcPr>
            <w:tcW w:w="6100" w:type="dxa"/>
            <w:vAlign w:val="bottom"/>
          </w:tcPr>
          <w:p>
            <w:pPr>
              <w:spacing w:after="0" w:line="133" w:lineRule="exact"/>
              <w:rPr>
                <w:sz w:val="20"/>
                <w:szCs w:val="20"/>
                <w:color w:val="auto"/>
              </w:rPr>
            </w:pPr>
            <w:r>
              <w:rPr>
                <w:rFonts w:ascii="Arial" w:cs="Arial" w:eastAsia="Arial" w:hAnsi="Arial"/>
                <w:sz w:val="12"/>
                <w:szCs w:val="12"/>
                <w:b w:val="1"/>
                <w:bCs w:val="1"/>
                <w:color w:val="auto"/>
              </w:rPr>
              <w:t>System-wide sales</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879,623</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894,525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868,409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Comparable Restaurant Sales</w:t>
      </w:r>
    </w:p>
    <w:p>
      <w:pPr>
        <w:spacing w:after="0" w:line="150" w:lineRule="exact"/>
        <w:rPr>
          <w:sz w:val="20"/>
          <w:szCs w:val="20"/>
          <w:color w:val="auto"/>
        </w:rPr>
      </w:pPr>
    </w:p>
    <w:p>
      <w:pPr>
        <w:ind w:left="20" w:right="159"/>
        <w:spacing w:after="0" w:line="320" w:lineRule="auto"/>
        <w:rPr>
          <w:sz w:val="20"/>
          <w:szCs w:val="20"/>
          <w:color w:val="auto"/>
        </w:rPr>
      </w:pPr>
      <w:r>
        <w:rPr>
          <w:rFonts w:ascii="Arial" w:cs="Arial" w:eastAsia="Arial" w:hAnsi="Arial"/>
          <w:sz w:val="10"/>
          <w:szCs w:val="10"/>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30, 2020, December 25, 2019 and December 26, 2018, there were 465, 460, and 449 comparable restaurants, 190, 195, and 195 company-operated and 275, 265 and 254 franchised,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Company-Operated Average Unit Volumes</w:t>
      </w:r>
    </w:p>
    <w:p>
      <w:pPr>
        <w:spacing w:after="0" w:line="150"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6" w:name="page47"/>
    <w:bookmarkEnd w:id="4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period from Thursday to Wednesday. This measurement allows management to assess changes in consumer spending patterns at our restaurants and the overall performance of our restaurant base.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Restaurant Contribution and Restaurant Contribution Margin</w:t>
      </w:r>
    </w:p>
    <w:p>
      <w:pPr>
        <w:spacing w:after="0" w:line="150" w:lineRule="exact"/>
        <w:rPr>
          <w:sz w:val="20"/>
          <w:szCs w:val="20"/>
          <w:color w:val="auto"/>
        </w:rPr>
      </w:pPr>
    </w:p>
    <w:p>
      <w:pPr>
        <w:ind w:left="20" w:right="79"/>
        <w:spacing w:after="0" w:line="320" w:lineRule="auto"/>
        <w:rPr>
          <w:sz w:val="20"/>
          <w:szCs w:val="20"/>
          <w:color w:val="auto"/>
        </w:rPr>
      </w:pPr>
      <w:r>
        <w:rPr>
          <w:rFonts w:ascii="Arial" w:cs="Arial" w:eastAsia="Arial" w:hAnsi="Arial"/>
          <w:sz w:val="10"/>
          <w:szCs w:val="10"/>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97" w:lineRule="exact"/>
        <w:rPr>
          <w:sz w:val="20"/>
          <w:szCs w:val="20"/>
          <w:color w:val="auto"/>
        </w:rPr>
      </w:pPr>
    </w:p>
    <w:p>
      <w:pPr>
        <w:ind w:left="20" w:right="59"/>
        <w:spacing w:after="0" w:line="281" w:lineRule="auto"/>
        <w:rPr>
          <w:sz w:val="20"/>
          <w:szCs w:val="20"/>
          <w:color w:val="auto"/>
        </w:rPr>
      </w:pPr>
      <w:r>
        <w:rPr>
          <w:rFonts w:ascii="Arial" w:cs="Arial" w:eastAsia="Arial" w:hAnsi="Arial"/>
          <w:sz w:val="11"/>
          <w:szCs w:val="11"/>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reconciliation of restaurant contribution and restaurant contribution margin to company-operated restaurant revenue is provided below:</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(Dollar amounts in thousands)</w:t>
            </w: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w w:val="94"/>
              </w:rPr>
              <w:t>Fiscal Year</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200" w:type="dxa"/>
            <w:vAlign w:val="bottom"/>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ind w:right="241"/>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ind w:right="241"/>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ind w:right="241"/>
              <w:spacing w:after="0" w:line="88" w:lineRule="exact"/>
              <w:rPr>
                <w:sz w:val="20"/>
                <w:szCs w:val="20"/>
                <w:color w:val="auto"/>
              </w:rPr>
            </w:pPr>
            <w:r>
              <w:rPr>
                <w:rFonts w:ascii="Arial" w:cs="Arial" w:eastAsia="Arial" w:hAnsi="Arial"/>
                <w:sz w:val="10"/>
                <w:szCs w:val="10"/>
                <w:b w:val="1"/>
                <w:bCs w:val="1"/>
                <w:color w:val="auto"/>
              </w:rPr>
              <w:t>2018</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Restaurant contribution:</w:t>
            </w:r>
          </w:p>
        </w:tc>
        <w:tc>
          <w:tcPr>
            <w:tcW w:w="1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Income (loss) from operations</w:t>
            </w:r>
          </w:p>
        </w:tc>
        <w:tc>
          <w:tcPr>
            <w:tcW w:w="1940" w:type="dxa"/>
            <w:vAlign w:val="bottom"/>
            <w:gridSpan w:val="3"/>
          </w:tcPr>
          <w:p>
            <w:pPr>
              <w:jc w:val="right"/>
              <w:ind w:right="72"/>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33,556</w:t>
            </w:r>
          </w:p>
        </w:tc>
        <w:tc>
          <w:tcPr>
            <w:tcW w:w="180" w:type="dxa"/>
            <w:vAlign w:val="bottom"/>
          </w:tcPr>
          <w:p>
            <w:pPr>
              <w:spacing w:after="0"/>
              <w:rPr>
                <w:sz w:val="12"/>
                <w:szCs w:val="12"/>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38,326</w:t>
            </w:r>
          </w:p>
        </w:tc>
        <w:tc>
          <w:tcPr>
            <w:tcW w:w="160" w:type="dxa"/>
            <w:vAlign w:val="bottom"/>
          </w:tcPr>
          <w:p>
            <w:pPr>
              <w:spacing w:after="0"/>
              <w:rPr>
                <w:sz w:val="12"/>
                <w:szCs w:val="12"/>
                <w:color w:val="auto"/>
              </w:rPr>
            </w:pPr>
          </w:p>
        </w:tc>
        <w:tc>
          <w:tcPr>
            <w:tcW w:w="260" w:type="dxa"/>
            <w:vAlign w:val="bottom"/>
            <w:gridSpan w:val="2"/>
          </w:tcPr>
          <w:p>
            <w:pPr>
              <w:jc w:val="right"/>
              <w:ind w:right="72"/>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(9,461)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Add (less):</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60"/>
              <w:spacing w:after="0"/>
              <w:rPr>
                <w:sz w:val="20"/>
                <w:szCs w:val="20"/>
                <w:color w:val="auto"/>
              </w:rPr>
            </w:pPr>
            <w:r>
              <w:rPr>
                <w:rFonts w:ascii="Arial" w:cs="Arial" w:eastAsia="Arial" w:hAnsi="Arial"/>
                <w:sz w:val="12"/>
                <w:szCs w:val="12"/>
                <w:color w:val="auto"/>
              </w:rPr>
              <w:t>General and administrative expenses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35,918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40,389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50,261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Legal settlements</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60"/>
              <w:spacing w:after="0"/>
              <w:rPr>
                <w:sz w:val="20"/>
                <w:szCs w:val="20"/>
                <w:color w:val="auto"/>
              </w:rPr>
            </w:pPr>
            <w:r>
              <w:rPr>
                <w:rFonts w:ascii="Arial" w:cs="Arial" w:eastAsia="Arial" w:hAnsi="Arial"/>
                <w:sz w:val="12"/>
                <w:szCs w:val="12"/>
                <w:color w:val="auto"/>
              </w:rPr>
              <w:t>Franchise expenses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28,761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27,612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24,429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Depreciation and amortization</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60"/>
              <w:spacing w:after="0"/>
              <w:rPr>
                <w:sz w:val="20"/>
                <w:szCs w:val="20"/>
                <w:color w:val="auto"/>
              </w:rPr>
            </w:pPr>
            <w:r>
              <w:rPr>
                <w:rFonts w:ascii="Arial" w:cs="Arial" w:eastAsia="Arial" w:hAnsi="Arial"/>
                <w:sz w:val="12"/>
                <w:szCs w:val="12"/>
                <w:color w:val="auto"/>
              </w:rPr>
              <w:t>Loss on disposal of assets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Franchise revenue</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60"/>
              <w:spacing w:after="0"/>
              <w:rPr>
                <w:sz w:val="20"/>
                <w:szCs w:val="20"/>
                <w:color w:val="auto"/>
              </w:rPr>
            </w:pPr>
            <w:r>
              <w:rPr>
                <w:rFonts w:ascii="Arial" w:cs="Arial" w:eastAsia="Arial" w:hAnsi="Arial"/>
                <w:sz w:val="12"/>
                <w:szCs w:val="12"/>
                <w:color w:val="auto"/>
              </w:rPr>
              <w:t>Franchise advertising fee revenue</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(22,605)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(22,399)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(21,222)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w w:val="94"/>
              </w:rPr>
              <w:t>Recovery of securities lawsuits related legal expenses and other insurance claims</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ind w:left="60"/>
              <w:spacing w:after="0"/>
              <w:rPr>
                <w:sz w:val="20"/>
                <w:szCs w:val="20"/>
                <w:color w:val="auto"/>
              </w:rPr>
            </w:pPr>
            <w:r>
              <w:rPr>
                <w:rFonts w:ascii="Arial" w:cs="Arial" w:eastAsia="Arial" w:hAnsi="Arial"/>
                <w:sz w:val="12"/>
                <w:szCs w:val="12"/>
                <w:color w:val="auto"/>
              </w:rPr>
              <w:t>Impairment and closed-store reserves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4,691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Loss on sale of restaurants</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4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Restaurant contribution</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70,413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73,140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73,891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Company-operated restaurant revenue:</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revenue</w:t>
            </w:r>
          </w:p>
        </w:tc>
        <w:tc>
          <w:tcPr>
            <w:tcW w:w="194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426,087</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442,330</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435,828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Less: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Franchise revenue</w:t>
            </w: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Franchise advertising fee revenue</w:t>
            </w:r>
          </w:p>
        </w:tc>
        <w:tc>
          <w:tcPr>
            <w:tcW w:w="1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(22,605)</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(22,399)</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(21,222)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Company-operated restaurant revenue</w:t>
            </w:r>
          </w:p>
        </w:tc>
        <w:tc>
          <w:tcPr>
            <w:tcW w:w="16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374,064</w:t>
            </w: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391,112</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388,835</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Restaurant contribution margin (%)</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18.8 %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18.7 %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19.0 %</w:t>
            </w: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1220"/>
              <w:spacing w:after="0"/>
              <w:rPr>
                <w:sz w:val="20"/>
                <w:szCs w:val="20"/>
                <w:color w:val="auto"/>
              </w:rPr>
            </w:pPr>
            <w:r>
              <w:rPr>
                <w:rFonts w:ascii="Arial" w:cs="Arial" w:eastAsia="Arial" w:hAnsi="Arial"/>
                <w:sz w:val="12"/>
                <w:szCs w:val="12"/>
                <w:color w:val="auto"/>
              </w:rPr>
              <w:t>45</w:t>
            </w: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47" w:name="page48"/>
    <w:bookmarkEnd w:id="4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New Restaurant Openings</w:t>
      </w:r>
    </w:p>
    <w:p>
      <w:pPr>
        <w:spacing w:after="0" w:line="150" w:lineRule="exact"/>
        <w:rPr>
          <w:sz w:val="20"/>
          <w:szCs w:val="20"/>
          <w:color w:val="auto"/>
        </w:rPr>
      </w:pPr>
    </w:p>
    <w:p>
      <w:pPr>
        <w:ind w:left="20" w:right="119"/>
        <w:spacing w:after="0" w:line="255" w:lineRule="auto"/>
        <w:rPr>
          <w:sz w:val="20"/>
          <w:szCs w:val="20"/>
          <w:color w:val="auto"/>
        </w:rPr>
      </w:pPr>
      <w:r>
        <w:rPr>
          <w:rFonts w:ascii="Arial" w:cs="Arial" w:eastAsia="Arial" w:hAnsi="Arial"/>
          <w:sz w:val="12"/>
          <w:szCs w:val="12"/>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EBITDA and Adjusted EBITDA</w:t>
      </w:r>
    </w:p>
    <w:p>
      <w:pPr>
        <w:spacing w:after="0" w:line="150" w:lineRule="exact"/>
        <w:rPr>
          <w:sz w:val="20"/>
          <w:szCs w:val="20"/>
          <w:color w:val="auto"/>
        </w:rPr>
      </w:pPr>
    </w:p>
    <w:p>
      <w:pPr>
        <w:jc w:val="both"/>
        <w:ind w:left="20" w:right="79"/>
        <w:spacing w:after="0" w:line="263" w:lineRule="auto"/>
        <w:rPr>
          <w:sz w:val="20"/>
          <w:szCs w:val="20"/>
          <w:color w:val="auto"/>
        </w:rPr>
      </w:pPr>
      <w:r>
        <w:rPr>
          <w:rFonts w:ascii="Arial" w:cs="Arial" w:eastAsia="Arial" w:hAnsi="Arial"/>
          <w:sz w:val="12"/>
          <w:szCs w:val="12"/>
          <w:color w:val="auto"/>
        </w:rPr>
        <w:t>EBITDA represents net income (loss) before interest expense, provision (benefit) for income taxes, depreciation, and amortization. Adjusted EBITDA represents net income (loss) before interest expense, provision (benefit) for income taxes, depreciation, amortization, and items that we do not consider representative of our on-going operating performance, as identified in the reconciliation table below.</w:t>
      </w:r>
    </w:p>
    <w:p>
      <w:pPr>
        <w:spacing w:after="0" w:line="122"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13" w:lineRule="exact"/>
        <w:rPr>
          <w:sz w:val="20"/>
          <w:szCs w:val="20"/>
          <w:color w:val="auto"/>
        </w:rPr>
      </w:pPr>
    </w:p>
    <w:p>
      <w:pPr>
        <w:jc w:val="both"/>
        <w:ind w:left="20" w:right="119"/>
        <w:spacing w:after="0" w:line="306" w:lineRule="auto"/>
        <w:rPr>
          <w:sz w:val="20"/>
          <w:szCs w:val="20"/>
          <w:color w:val="auto"/>
        </w:rPr>
      </w:pPr>
      <w:r>
        <w:rPr>
          <w:rFonts w:ascii="Arial" w:cs="Arial" w:eastAsia="Arial" w:hAnsi="Arial"/>
          <w:sz w:val="10"/>
          <w:szCs w:val="10"/>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w:t>
      </w:r>
    </w:p>
    <w:p>
      <w:pPr>
        <w:spacing w:after="0" w:line="1" w:lineRule="exact"/>
        <w:rPr>
          <w:sz w:val="20"/>
          <w:szCs w:val="20"/>
          <w:color w:val="auto"/>
        </w:rPr>
      </w:pPr>
    </w:p>
    <w:p>
      <w:pPr>
        <w:ind w:left="20" w:right="239" w:firstLine="2"/>
        <w:spacing w:after="0" w:line="300" w:lineRule="auto"/>
        <w:tabs>
          <w:tab w:leader="none" w:pos="223" w:val="left"/>
        </w:tabs>
        <w:numPr>
          <w:ilvl w:val="0"/>
          <w:numId w:val="14"/>
        </w:numPr>
        <w:rPr>
          <w:rFonts w:ascii="Arial" w:cs="Arial" w:eastAsia="Arial" w:hAnsi="Arial"/>
          <w:sz w:val="10"/>
          <w:szCs w:val="10"/>
          <w:color w:val="auto"/>
        </w:rPr>
      </w:pPr>
      <w:r>
        <w:rPr>
          <w:rFonts w:ascii="Arial" w:cs="Arial" w:eastAsia="Arial" w:hAnsi="Arial"/>
          <w:sz w:val="10"/>
          <w:szCs w:val="10"/>
          <w:color w:val="auto"/>
        </w:rPr>
        <w:t>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w:t>
      </w:r>
    </w:p>
    <w:p>
      <w:pPr>
        <w:ind w:left="20" w:right="59" w:firstLine="2"/>
        <w:spacing w:after="0" w:line="260" w:lineRule="auto"/>
        <w:tabs>
          <w:tab w:leader="none" w:pos="223"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2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15"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8" w:name="page49"/>
    <w:bookmarkEnd w:id="4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sets forth reconciliations of our net (loss) income to EBITDA and Adjusted EBITDA:</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 in thousands)</w:t>
            </w: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4"/>
              </w:rPr>
              <w:t>Fiscal Year</w:t>
            </w: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880" w:type="dxa"/>
            <w:vAlign w:val="bottom"/>
            <w:tcBorders>
              <w:bottom w:val="single" w:sz="8" w:color="auto"/>
            </w:tcBorders>
            <w:gridSpan w:val="2"/>
            <w:vMerge w:val="continue"/>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81"/>
              <w:spacing w:after="0" w:line="88" w:lineRule="exact"/>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61"/>
              <w:spacing w:after="0" w:line="88" w:lineRule="exact"/>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33"/>
        </w:trPr>
        <w:tc>
          <w:tcPr>
            <w:tcW w:w="5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income (loss)</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24,474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24,900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(8,994)</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Non-GAAP adjustments: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(3,208)</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Interest expense, net of interest income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3,687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3,502</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17,825</w:t>
            </w:r>
          </w:p>
        </w:tc>
        <w:tc>
          <w:tcPr>
            <w:tcW w:w="0" w:type="dxa"/>
            <w:vAlign w:val="bottom"/>
          </w:tcPr>
          <w:p>
            <w:pPr>
              <w:spacing w:after="0"/>
              <w:rPr>
                <w:sz w:val="1"/>
                <w:szCs w:val="1"/>
                <w:color w:val="auto"/>
              </w:rPr>
            </w:pPr>
          </w:p>
        </w:tc>
      </w:tr>
      <w:tr>
        <w:trPr>
          <w:trHeight w:val="133"/>
        </w:trPr>
        <w:tc>
          <w:tcPr>
            <w:tcW w:w="588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b w:val="1"/>
                <w:bCs w:val="1"/>
                <w:color w:val="auto"/>
              </w:rPr>
              <w:t>EBITDA</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50,295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56,124</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9,125</w:t>
            </w:r>
          </w:p>
        </w:tc>
        <w:tc>
          <w:tcPr>
            <w:tcW w:w="0" w:type="dxa"/>
            <w:vAlign w:val="bottom"/>
          </w:tcPr>
          <w:p>
            <w:pPr>
              <w:spacing w:after="0"/>
              <w:rPr>
                <w:sz w:val="1"/>
                <w:szCs w:val="1"/>
                <w:color w:val="auto"/>
              </w:rPr>
            </w:pPr>
          </w:p>
        </w:tc>
      </w:tr>
      <w:tr>
        <w:trPr>
          <w:trHeight w:val="133"/>
        </w:trPr>
        <w:tc>
          <w:tcPr>
            <w:tcW w:w="58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Stock-based compensation expense (a)</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2,474</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1,278</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Loss on disposal of assets (b)</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Recovery of securities lawsuits related legal expense and other insurance claims (c)</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(8,356)</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Impairment and closed-store reserves (d)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4,852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9,650</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disposition of restaurants (e)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Income tax receivable agreement expense (income) (f)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Securities class action legal expense (g)</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13,532</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Legal settlements (h)</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36,258</w:t>
            </w:r>
          </w:p>
        </w:tc>
        <w:tc>
          <w:tcPr>
            <w:tcW w:w="0" w:type="dxa"/>
            <w:vAlign w:val="bottom"/>
          </w:tcPr>
          <w:p>
            <w:pPr>
              <w:spacing w:after="0"/>
              <w:rPr>
                <w:sz w:val="1"/>
                <w:szCs w:val="1"/>
                <w:color w:val="auto"/>
              </w:rPr>
            </w:pPr>
          </w:p>
        </w:tc>
      </w:tr>
      <w:tr>
        <w:trPr>
          <w:trHeight w:val="144"/>
        </w:trPr>
        <w:tc>
          <w:tcPr>
            <w:tcW w:w="5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Pre-opening costs (i)</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w:t>
            </w:r>
          </w:p>
        </w:tc>
        <w:tc>
          <w:tcPr>
            <w:tcW w:w="0" w:type="dxa"/>
            <w:vAlign w:val="bottom"/>
          </w:tcPr>
          <w:p>
            <w:pPr>
              <w:spacing w:after="0"/>
              <w:rPr>
                <w:sz w:val="1"/>
                <w:szCs w:val="1"/>
                <w:color w:val="auto"/>
              </w:rPr>
            </w:pPr>
          </w:p>
        </w:tc>
      </w:tr>
      <w:tr>
        <w:trPr>
          <w:trHeight w:val="144"/>
        </w:trPr>
        <w:tc>
          <w:tcPr>
            <w:tcW w:w="5880" w:type="dxa"/>
            <w:vAlign w:val="bottom"/>
            <w:gridSpan w:val="2"/>
          </w:tcPr>
          <w:p>
            <w:pPr>
              <w:spacing w:after="0"/>
              <w:rPr>
                <w:sz w:val="20"/>
                <w:szCs w:val="20"/>
                <w:color w:val="auto"/>
              </w:rPr>
            </w:pPr>
            <w:r>
              <w:rPr>
                <w:rFonts w:ascii="Arial" w:cs="Arial" w:eastAsia="Arial" w:hAnsi="Arial"/>
                <w:sz w:val="12"/>
                <w:szCs w:val="12"/>
                <w:color w:val="auto"/>
              </w:rPr>
              <w:t>Executive transition costs (j)</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1,081</w:t>
            </w:r>
          </w:p>
        </w:tc>
        <w:tc>
          <w:tcPr>
            <w:tcW w:w="0" w:type="dxa"/>
            <w:vAlign w:val="bottom"/>
          </w:tcPr>
          <w:p>
            <w:pPr>
              <w:spacing w:after="0"/>
              <w:rPr>
                <w:sz w:val="1"/>
                <w:szCs w:val="1"/>
                <w:color w:val="auto"/>
              </w:rPr>
            </w:pPr>
          </w:p>
        </w:tc>
      </w:tr>
      <w:tr>
        <w:trPr>
          <w:trHeight w:val="140"/>
        </w:trPr>
        <w:tc>
          <w:tcPr>
            <w:tcW w:w="588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Adjusted EBITDA</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61,595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62,529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62,922</w:t>
            </w: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18"/>
        <w:spacing w:after="0"/>
        <w:tabs>
          <w:tab w:leader="none" w:pos="2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non-cash, stock-based compensation, excluding stock-based compensation costs associated with the transition of our former CEO.</w:t>
      </w:r>
    </w:p>
    <w:p>
      <w:pPr>
        <w:spacing w:after="0" w:line="150" w:lineRule="exact"/>
        <w:rPr>
          <w:rFonts w:ascii="Arial" w:cs="Arial" w:eastAsia="Arial" w:hAnsi="Arial"/>
          <w:sz w:val="12"/>
          <w:szCs w:val="12"/>
          <w:color w:val="auto"/>
        </w:rPr>
      </w:pPr>
    </w:p>
    <w:p>
      <w:pPr>
        <w:ind w:left="240" w:hanging="218"/>
        <w:spacing w:after="0"/>
        <w:tabs>
          <w:tab w:leader="none" w:pos="2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Loss on disposal of assets includes the loss on disposal of assets related to retirements and replacement or write-off of leasehold improvements or equipment.</w:t>
      </w:r>
    </w:p>
    <w:p>
      <w:pPr>
        <w:spacing w:after="0" w:line="150" w:lineRule="exact"/>
        <w:rPr>
          <w:rFonts w:ascii="Arial" w:cs="Arial" w:eastAsia="Arial" w:hAnsi="Arial"/>
          <w:sz w:val="12"/>
          <w:szCs w:val="12"/>
          <w:color w:val="auto"/>
        </w:rPr>
      </w:pPr>
    </w:p>
    <w:p>
      <w:pPr>
        <w:ind w:left="240" w:right="79" w:hanging="218"/>
        <w:spacing w:after="0" w:line="259" w:lineRule="auto"/>
        <w:tabs>
          <w:tab w:leader="none" w:pos="2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fiscal 2020, we received insurance proceeds of $0.1 million related to a property claim. In fiscal 2019, we received insurance proceeds of $10.0 million related to the settlement of the securities class action lawsuit and in fiscal 2018 we received insurance proceeds of $8.4 million related to the reimbursement of certain legal expenses paid in prior years for the defense of securities lawsuits. See Note 13 “Commitments and Contingencies—Legal Matters" in the accompanying "Notes to Consolidated Financial Statements" in this Annual Report.</w:t>
      </w:r>
    </w:p>
    <w:p>
      <w:pPr>
        <w:spacing w:after="0" w:line="124" w:lineRule="exact"/>
        <w:rPr>
          <w:rFonts w:ascii="Arial" w:cs="Arial" w:eastAsia="Arial" w:hAnsi="Arial"/>
          <w:sz w:val="12"/>
          <w:szCs w:val="12"/>
          <w:color w:val="auto"/>
        </w:rPr>
      </w:pPr>
    </w:p>
    <w:p>
      <w:pPr>
        <w:ind w:left="240" w:right="59" w:hanging="218"/>
        <w:spacing w:after="0" w:line="256" w:lineRule="auto"/>
        <w:tabs>
          <w:tab w:leader="none" w:pos="2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costs related to impairment of long-lived and ROU assets and closing restaurants. During fiscal 2020, we recorded non-cash impairment charges of $3.5 million for the year ended December 30, 2020, primarily related to the carrying value of the ROU assets of one restaurant in Texas and the long-lived assets of four restaurants in California. Given the difficulty in projecting results for newer restaurants in newer markets, as well as the impact of the COVID-19 pandemic,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28" w:lineRule="exact"/>
        <w:rPr>
          <w:rFonts w:ascii="Arial" w:cs="Arial" w:eastAsia="Arial" w:hAnsi="Arial"/>
          <w:sz w:val="12"/>
          <w:szCs w:val="12"/>
          <w:color w:val="auto"/>
        </w:rPr>
      </w:pPr>
    </w:p>
    <w:p>
      <w:pPr>
        <w:ind w:left="240" w:right="359"/>
        <w:spacing w:after="0" w:line="276" w:lineRule="auto"/>
        <w:rPr>
          <w:rFonts w:ascii="Arial" w:cs="Arial" w:eastAsia="Arial" w:hAnsi="Arial"/>
          <w:sz w:val="12"/>
          <w:szCs w:val="12"/>
          <w:color w:val="auto"/>
        </w:rPr>
      </w:pPr>
      <w:r>
        <w:rPr>
          <w:rFonts w:ascii="Arial" w:cs="Arial" w:eastAsia="Arial" w:hAnsi="Arial"/>
          <w:sz w:val="12"/>
          <w:szCs w:val="12"/>
          <w:color w:val="auto"/>
        </w:rPr>
        <w:t>During fiscal 2020, we recognized $1.2 million of closed-store reserve expense, primarily related to the amortization of ROU assets, property taxes and CAM payments for our closed locations.</w:t>
      </w:r>
    </w:p>
    <w:p>
      <w:pPr>
        <w:spacing w:after="0" w:line="114" w:lineRule="exact"/>
        <w:rPr>
          <w:rFonts w:ascii="Arial" w:cs="Arial" w:eastAsia="Arial" w:hAnsi="Arial"/>
          <w:sz w:val="12"/>
          <w:szCs w:val="12"/>
          <w:color w:val="auto"/>
        </w:rPr>
      </w:pPr>
    </w:p>
    <w:p>
      <w:pPr>
        <w:jc w:val="both"/>
        <w:ind w:left="240" w:right="219"/>
        <w:spacing w:after="0" w:line="259" w:lineRule="auto"/>
        <w:rPr>
          <w:rFonts w:ascii="Arial" w:cs="Arial" w:eastAsia="Arial" w:hAnsi="Arial"/>
          <w:sz w:val="12"/>
          <w:szCs w:val="12"/>
          <w:color w:val="auto"/>
        </w:rPr>
      </w:pPr>
      <w:r>
        <w:rPr>
          <w:rFonts w:ascii="Arial" w:cs="Arial" w:eastAsia="Arial" w:hAnsi="Arial"/>
          <w:sz w:val="12"/>
          <w:szCs w:val="12"/>
          <w:color w:val="auto"/>
        </w:rPr>
        <w:t>In fiscal 2019, we recorded impairment charges of $3.6 million, primarily related to the carrying value of the ROU assets of four restaurants sold to franchisees and one restaurant closed during fiscal 2019, and the long-lived assets of one restaurant in California. Additionally, during fiscal 2019, we closed two restaurants in California and two restaurants in Texas and recognized $1.3 million of closed-store reserve expense for the fiscal year ended 2019, primarily related to the amortization, property taxes and CAM payments for our closed locations.</w:t>
      </w:r>
    </w:p>
    <w:p>
      <w:pPr>
        <w:spacing w:after="0" w:line="124" w:lineRule="exact"/>
        <w:rPr>
          <w:rFonts w:ascii="Arial" w:cs="Arial" w:eastAsia="Arial" w:hAnsi="Arial"/>
          <w:sz w:val="12"/>
          <w:szCs w:val="12"/>
          <w:color w:val="auto"/>
        </w:rPr>
      </w:pPr>
    </w:p>
    <w:p>
      <w:pPr>
        <w:ind w:left="240" w:right="139"/>
        <w:spacing w:after="0" w:line="261" w:lineRule="auto"/>
        <w:rPr>
          <w:rFonts w:ascii="Arial" w:cs="Arial" w:eastAsia="Arial" w:hAnsi="Arial"/>
          <w:sz w:val="12"/>
          <w:szCs w:val="12"/>
          <w:color w:val="auto"/>
        </w:rPr>
      </w:pPr>
      <w:r>
        <w:rPr>
          <w:rFonts w:ascii="Arial" w:cs="Arial" w:eastAsia="Arial" w:hAnsi="Arial"/>
          <w:sz w:val="12"/>
          <w:szCs w:val="12"/>
          <w:color w:val="auto"/>
        </w:rPr>
        <w:t xml:space="preserve">In fiscal 2018, we recorded a non-cash impairment charge of $5.1 million, primarily related to the carrying value of four restaurants in Arizona, California and Texas, including a restaurant in Texas that opened in early 2018. Additionally, </w:t>
      </w:r>
      <w:r>
        <w:rPr>
          <w:rFonts w:ascii="Arial" w:cs="Arial" w:eastAsia="Arial" w:hAnsi="Arial"/>
          <w:sz w:val="13"/>
          <w:szCs w:val="13"/>
          <w:color w:val="auto"/>
        </w:rPr>
        <w:t>d</w:t>
      </w:r>
      <w:r>
        <w:rPr>
          <w:rFonts w:ascii="Arial" w:cs="Arial" w:eastAsia="Arial" w:hAnsi="Arial"/>
          <w:sz w:val="12"/>
          <w:szCs w:val="12"/>
          <w:color w:val="auto"/>
        </w:rPr>
        <w:t>uring fiscal 2018, we closed seven restaurants in Texas, California and Arizona. These closures resulted in closed-store reserve expenses of $4.5 million during fiscal 2018.</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49" w:name="page50"/>
    <w:bookmarkEnd w:id="4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right="179" w:hanging="218"/>
        <w:spacing w:after="0" w:line="263"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During fiscal 2019, we completed the sale of four company-operated restaurants within the San Francisco area to an existing franchisee, seven company-operated restaurants in the Phoenix area to another existing franchisee and five company-operated restaurants in Texas to a third franchisee, which resulted in cash proceeds of $4.8 million and a net loss on sale of restaurants of $5.1 million for the year ended December 25, 2019.</w:t>
      </w:r>
    </w:p>
    <w:p>
      <w:pPr>
        <w:spacing w:after="0" w:line="122" w:lineRule="exact"/>
        <w:rPr>
          <w:rFonts w:ascii="Arial" w:cs="Arial" w:eastAsia="Arial" w:hAnsi="Arial"/>
          <w:sz w:val="12"/>
          <w:szCs w:val="12"/>
          <w:color w:val="auto"/>
        </w:rPr>
      </w:pPr>
    </w:p>
    <w:p>
      <w:pPr>
        <w:ind w:left="240" w:right="139" w:hanging="218"/>
        <w:spacing w:after="0" w:line="289" w:lineRule="auto"/>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30, 2020, December 25, 2019 and December 26, 2018, income tax receivable agreement expense (income) consisted of the amortization of interest expense, changes to future forecasted results, changes in estimates for actual tax returns filed and the timing of deductibility of certain timing differences, including for fiscal 2018 the legal settlement accruals, related to our total expected TRA payments.</w:t>
      </w:r>
    </w:p>
    <w:p>
      <w:pPr>
        <w:spacing w:after="0" w:line="110" w:lineRule="exact"/>
        <w:rPr>
          <w:rFonts w:ascii="Arial" w:cs="Arial" w:eastAsia="Arial" w:hAnsi="Arial"/>
          <w:sz w:val="11"/>
          <w:szCs w:val="11"/>
          <w:color w:val="auto"/>
        </w:rPr>
      </w:pPr>
    </w:p>
    <w:p>
      <w:pPr>
        <w:ind w:left="240" w:right="59" w:hanging="218"/>
        <w:spacing w:after="0" w:line="276"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Consists of costs related to the defense of securities lawsuits. See Note 13 “Commitments and Contingencies—Legal Matters" in the accompanying "Notes to Consolidated Financial Statements" in this Annual Report.</w:t>
      </w:r>
    </w:p>
    <w:p>
      <w:pPr>
        <w:spacing w:after="0" w:line="114" w:lineRule="exact"/>
        <w:rPr>
          <w:rFonts w:ascii="Arial" w:cs="Arial" w:eastAsia="Arial" w:hAnsi="Arial"/>
          <w:sz w:val="12"/>
          <w:szCs w:val="12"/>
          <w:color w:val="auto"/>
        </w:rPr>
      </w:pPr>
    </w:p>
    <w:p>
      <w:pPr>
        <w:ind w:left="240" w:right="39" w:hanging="218"/>
        <w:spacing w:after="0" w:line="263"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Fiscal 2020 consists of an expense of $2.6 million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during fiscal 2020.</w:t>
      </w:r>
    </w:p>
    <w:p>
      <w:pPr>
        <w:spacing w:after="0" w:line="122" w:lineRule="exact"/>
        <w:rPr>
          <w:rFonts w:ascii="Arial" w:cs="Arial" w:eastAsia="Arial" w:hAnsi="Arial"/>
          <w:sz w:val="12"/>
          <w:szCs w:val="12"/>
          <w:color w:val="auto"/>
        </w:rPr>
      </w:pPr>
    </w:p>
    <w:p>
      <w:pPr>
        <w:ind w:left="240" w:right="179"/>
        <w:spacing w:after="0" w:line="259" w:lineRule="auto"/>
        <w:rPr>
          <w:rFonts w:ascii="Arial" w:cs="Arial" w:eastAsia="Arial" w:hAnsi="Arial"/>
          <w:sz w:val="12"/>
          <w:szCs w:val="12"/>
          <w:color w:val="auto"/>
        </w:rPr>
      </w:pPr>
      <w:r>
        <w:rPr>
          <w:rFonts w:ascii="Arial" w:cs="Arial" w:eastAsia="Arial" w:hAnsi="Arial"/>
          <w:sz w:val="12"/>
          <w:szCs w:val="12"/>
          <w:color w:val="auto"/>
        </w:rPr>
        <w:t>Legal settlements of $36.3 million in fiscal 2018 included (i) an accrual of an expected settlement amount in fiscal 2018 related to an agreement in principle to settle all claims and allegations for the securities class action and (ii) an accrual of an expected settlement amount in fiscal 2018 related to an agreement in principle to settle all claims and allegations, related to multiple wage and hour class action suits. For additional information on legal settlements, see Note 13 “Commitments and Contingencies—Legal Matters" in the accompanying "Notes to Consolidated Financial Statements" in this Annual Report.</w:t>
      </w:r>
    </w:p>
    <w:p>
      <w:pPr>
        <w:spacing w:after="0" w:line="124" w:lineRule="exact"/>
        <w:rPr>
          <w:rFonts w:ascii="Arial" w:cs="Arial" w:eastAsia="Arial" w:hAnsi="Arial"/>
          <w:sz w:val="12"/>
          <w:szCs w:val="12"/>
          <w:color w:val="auto"/>
        </w:rPr>
      </w:pPr>
    </w:p>
    <w:p>
      <w:pPr>
        <w:jc w:val="both"/>
        <w:ind w:left="240" w:right="79" w:hanging="218"/>
        <w:spacing w:after="0" w:line="340" w:lineRule="auto"/>
        <w:tabs>
          <w:tab w:leader="none" w:pos="240" w:val="left"/>
        </w:tabs>
        <w:numPr>
          <w:ilvl w:val="0"/>
          <w:numId w:val="17"/>
        </w:numPr>
        <w:rPr>
          <w:rFonts w:ascii="Arial" w:cs="Arial" w:eastAsia="Arial" w:hAnsi="Arial"/>
          <w:sz w:val="10"/>
          <w:szCs w:val="10"/>
          <w:color w:val="auto"/>
        </w:rPr>
      </w:pPr>
      <w:r>
        <w:rPr>
          <w:rFonts w:ascii="Arial" w:cs="Arial" w:eastAsia="Arial" w:hAnsi="Arial"/>
          <w:sz w:val="10"/>
          <w:szCs w:val="10"/>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87" w:lineRule="exact"/>
        <w:rPr>
          <w:rFonts w:ascii="Arial" w:cs="Arial" w:eastAsia="Arial" w:hAnsi="Arial"/>
          <w:sz w:val="10"/>
          <w:szCs w:val="10"/>
          <w:color w:val="auto"/>
        </w:rPr>
      </w:pPr>
    </w:p>
    <w:p>
      <w:pPr>
        <w:ind w:left="240" w:right="179" w:hanging="218"/>
        <w:spacing w:after="0" w:line="276"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costs associated with the transition of our CEO, such as executive recruiting costs, stock-based compensation and CEO sign-on bonus associated with the transition of our former CEO in 2018.</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20" w:right="39"/>
        <w:spacing w:after="0" w:line="304" w:lineRule="auto"/>
        <w:rPr>
          <w:sz w:val="20"/>
          <w:szCs w:val="20"/>
          <w:color w:val="auto"/>
        </w:rPr>
      </w:pPr>
      <w:r>
        <w:rPr>
          <w:rFonts w:ascii="Arial" w:cs="Arial" w:eastAsia="Arial" w:hAnsi="Arial"/>
          <w:sz w:val="10"/>
          <w:szCs w:val="10"/>
          <w:color w:val="auto"/>
        </w:rPr>
        <w:t>Our primary sources of liquidity and capital resources have been cash provided from operations, cash and cash equivalents, and the 2018 Revolver.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for at least the next 12 months from the issuance of the consolidated financial statements.</w:t>
      </w:r>
    </w:p>
    <w:p>
      <w:pPr>
        <w:spacing w:after="0" w:line="1" w:lineRule="exact"/>
        <w:rPr>
          <w:sz w:val="20"/>
          <w:szCs w:val="20"/>
          <w:color w:val="auto"/>
        </w:rPr>
      </w:pPr>
    </w:p>
    <w:p>
      <w:pPr>
        <w:ind w:left="20" w:right="99"/>
        <w:spacing w:after="0" w:line="253" w:lineRule="auto"/>
        <w:rPr>
          <w:sz w:val="20"/>
          <w:szCs w:val="20"/>
          <w:color w:val="auto"/>
        </w:rPr>
      </w:pPr>
      <w:r>
        <w:rPr>
          <w:rFonts w:ascii="Arial" w:cs="Arial" w:eastAsia="Arial" w:hAnsi="Arial"/>
          <w:sz w:val="12"/>
          <w:szCs w:val="12"/>
          <w:color w:val="auto"/>
        </w:rPr>
        <w:t xml:space="preserve">However, </w:t>
      </w:r>
      <w:r>
        <w:rPr>
          <w:rFonts w:ascii="Arial" w:cs="Arial" w:eastAsia="Arial" w:hAnsi="Arial"/>
          <w:sz w:val="12"/>
          <w:szCs w:val="12"/>
          <w:color w:val="212529"/>
        </w:rPr>
        <w:t>depending on the severity and longevity of the COVID-19 pandemic, the efforts taken to reduce its spread (including government-mandated closures of our dining rooms) and</w:t>
      </w:r>
      <w:r>
        <w:rPr>
          <w:rFonts w:ascii="Arial" w:cs="Arial" w:eastAsia="Arial" w:hAnsi="Arial"/>
          <w:sz w:val="12"/>
          <w:szCs w:val="12"/>
          <w:color w:val="auto"/>
        </w:rPr>
        <w:t xml:space="preserve"> </w:t>
      </w:r>
      <w:r>
        <w:rPr>
          <w:rFonts w:ascii="Arial" w:cs="Arial" w:eastAsia="Arial" w:hAnsi="Arial"/>
          <w:sz w:val="12"/>
          <w:szCs w:val="12"/>
          <w:color w:val="212529"/>
        </w:rPr>
        <w:t xml:space="preserve">the possibility of a subsequent resurgence of the COVID-19 outbreak after the current outbreak subsides, our </w:t>
      </w:r>
      <w:r>
        <w:rPr>
          <w:rFonts w:ascii="Arial" w:cs="Arial" w:eastAsia="Arial" w:hAnsi="Arial"/>
          <w:sz w:val="12"/>
          <w:szCs w:val="12"/>
          <w:color w:val="000000"/>
        </w:rPr>
        <w:t>financial performance and liquidity could be further impacted and could</w:t>
      </w:r>
      <w:r>
        <w:rPr>
          <w:rFonts w:ascii="Arial" w:cs="Arial" w:eastAsia="Arial" w:hAnsi="Arial"/>
          <w:sz w:val="12"/>
          <w:szCs w:val="12"/>
          <w:color w:val="212529"/>
        </w:rPr>
        <w:t xml:space="preserve"> </w:t>
      </w:r>
      <w:r>
        <w:rPr>
          <w:rFonts w:ascii="Arial" w:cs="Arial" w:eastAsia="Arial" w:hAnsi="Arial"/>
          <w:sz w:val="12"/>
          <w:szCs w:val="12"/>
          <w:color w:val="000000"/>
        </w:rPr>
        <w:t>impact our ability to meet certain financial covenants required in our 2018 Credit Agreement (as defined below), specifically the lease-adjusted coverage ratio and fixed-charge coverage ratio.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0" w:name="page51"/>
    <w:bookmarkEnd w:id="5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summary cash flow information for the years indicated: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 in thousands)</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Fiscal Year</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2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ind w:right="2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ind w:right="244"/>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ind w:right="242"/>
              <w:spacing w:after="0" w:line="88" w:lineRule="exact"/>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33"/>
        </w:trPr>
        <w:tc>
          <w:tcPr>
            <w:tcW w:w="60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(used in)</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60" w:type="dxa"/>
            <w:vAlign w:val="bottom"/>
            <w:gridSpan w:val="2"/>
          </w:tcPr>
          <w:p>
            <w:pPr>
              <w:ind w:left="80"/>
              <w:spacing w:after="0"/>
              <w:rPr>
                <w:sz w:val="20"/>
                <w:szCs w:val="20"/>
                <w:color w:val="auto"/>
              </w:rPr>
            </w:pPr>
            <w:r>
              <w:rPr>
                <w:rFonts w:ascii="Arial" w:cs="Arial" w:eastAsia="Arial" w:hAnsi="Arial"/>
                <w:sz w:val="12"/>
                <w:szCs w:val="12"/>
                <w:color w:val="auto"/>
              </w:rPr>
              <w:t>Operating activities</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40,547</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36,135</w:t>
            </w:r>
          </w:p>
        </w:tc>
        <w:tc>
          <w:tcPr>
            <w:tcW w:w="16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45,442</w:t>
            </w:r>
          </w:p>
        </w:tc>
        <w:tc>
          <w:tcPr>
            <w:tcW w:w="0" w:type="dxa"/>
            <w:vAlign w:val="bottom"/>
          </w:tcPr>
          <w:p>
            <w:pPr>
              <w:spacing w:after="0"/>
              <w:rPr>
                <w:sz w:val="1"/>
                <w:szCs w:val="1"/>
                <w:color w:val="auto"/>
              </w:rPr>
            </w:pPr>
          </w:p>
        </w:tc>
      </w:tr>
      <w:tr>
        <w:trPr>
          <w:trHeight w:val="144"/>
        </w:trPr>
        <w:tc>
          <w:tcPr>
            <w:tcW w:w="62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Investing activities</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(6,690)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(10,669)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(27,802)</w:t>
            </w:r>
          </w:p>
        </w:tc>
        <w:tc>
          <w:tcPr>
            <w:tcW w:w="0" w:type="dxa"/>
            <w:vAlign w:val="bottom"/>
          </w:tcPr>
          <w:p>
            <w:pPr>
              <w:spacing w:after="0"/>
              <w:rPr>
                <w:sz w:val="1"/>
                <w:szCs w:val="1"/>
                <w:color w:val="auto"/>
              </w:rPr>
            </w:pPr>
          </w:p>
        </w:tc>
      </w:tr>
      <w:tr>
        <w:trPr>
          <w:trHeight w:val="144"/>
        </w:trPr>
        <w:tc>
          <w:tcPr>
            <w:tcW w:w="6260" w:type="dxa"/>
            <w:vAlign w:val="bottom"/>
            <w:gridSpan w:val="2"/>
          </w:tcPr>
          <w:p>
            <w:pPr>
              <w:ind w:left="80"/>
              <w:spacing w:after="0"/>
              <w:rPr>
                <w:sz w:val="20"/>
                <w:szCs w:val="20"/>
                <w:color w:val="auto"/>
              </w:rPr>
            </w:pPr>
            <w:r>
              <w:rPr>
                <w:rFonts w:ascii="Arial" w:cs="Arial" w:eastAsia="Arial" w:hAnsi="Arial"/>
                <w:sz w:val="12"/>
                <w:szCs w:val="12"/>
                <w:color w:val="auto"/>
              </w:rPr>
              <w:t>Financing activities</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(28,708)</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(24,365)</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(19,221)</w:t>
            </w:r>
          </w:p>
        </w:tc>
        <w:tc>
          <w:tcPr>
            <w:tcW w:w="0" w:type="dxa"/>
            <w:vAlign w:val="bottom"/>
          </w:tcPr>
          <w:p>
            <w:pPr>
              <w:spacing w:after="0"/>
              <w:rPr>
                <w:sz w:val="1"/>
                <w:szCs w:val="1"/>
                <w:color w:val="auto"/>
              </w:rPr>
            </w:pPr>
          </w:p>
        </w:tc>
      </w:tr>
      <w:tr>
        <w:trPr>
          <w:trHeight w:val="140"/>
        </w:trPr>
        <w:tc>
          <w:tcPr>
            <w:tcW w:w="626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increase (decrease) in cash</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5,149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(1,581)</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0" w:lineRule="exact"/>
        <w:rPr>
          <w:sz w:val="20"/>
          <w:szCs w:val="20"/>
          <w:color w:val="auto"/>
        </w:rPr>
      </w:pPr>
    </w:p>
    <w:p>
      <w:pPr>
        <w:ind w:left="20" w:right="139"/>
        <w:spacing w:after="0" w:line="379" w:lineRule="auto"/>
        <w:rPr>
          <w:sz w:val="20"/>
          <w:szCs w:val="20"/>
          <w:color w:val="auto"/>
        </w:rPr>
      </w:pPr>
      <w:r>
        <w:rPr>
          <w:rFonts w:ascii="Arial" w:cs="Arial" w:eastAsia="Arial" w:hAnsi="Arial"/>
          <w:sz w:val="10"/>
          <w:szCs w:val="10"/>
          <w:color w:val="auto"/>
        </w:rPr>
        <w:t>In fiscal 2020, net cash provided by operating activities increased by $4.4 million compared to fiscal 2019. This increase was due primarily to favorable working capital fluctuations, partially offset by a decline in profitability after non-cash items for the year ended December 30, 2020 compared to the prior year, which we believe related to the COVID-19 pandemic.</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fiscal 2019, net cash provided by operating activities decreased by $9.3 million compared to fiscal 2018. This was due primarily to unfavorable working capital fluctuations.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fiscal 2020, net cash used in investing activities decreased by $4.0 million compared to fiscal 2019. This was due primarily to purchases of property and equipment of $6.7 million in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color w:val="auto"/>
        </w:rPr>
        <w:t>fiscal 2020 compared to $15.4 million in fiscal 2019. This was partially offset by cash proceeds of $4.8 million received during the year ended December 25, 2019 related to the sale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0"/>
          <w:szCs w:val="10"/>
          <w:color w:val="auto"/>
        </w:rPr>
        <w:t>of four company-operated restaurants within the San Francisco area to an existing franchisee and seven company-operated restaurants in the Phoenix area to another existing franchisee.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 expenditures for these periods exclude unpaid purchases of property and equipment.</w:t>
      </w:r>
    </w:p>
    <w:p>
      <w:pPr>
        <w:spacing w:after="0" w:line="141" w:lineRule="exact"/>
        <w:rPr>
          <w:sz w:val="20"/>
          <w:szCs w:val="20"/>
          <w:color w:val="auto"/>
        </w:rPr>
      </w:pPr>
    </w:p>
    <w:p>
      <w:pPr>
        <w:jc w:val="both"/>
        <w:ind w:left="20" w:right="59"/>
        <w:spacing w:after="0" w:line="320" w:lineRule="auto"/>
        <w:rPr>
          <w:sz w:val="20"/>
          <w:szCs w:val="20"/>
          <w:color w:val="auto"/>
        </w:rPr>
      </w:pPr>
      <w:r>
        <w:rPr>
          <w:rFonts w:ascii="Arial" w:cs="Arial" w:eastAsia="Arial" w:hAnsi="Arial"/>
          <w:sz w:val="10"/>
          <w:szCs w:val="10"/>
          <w:color w:val="auto"/>
        </w:rPr>
        <w:t>In fiscal 2019, net cash used in investing activities decreased by $17.1 million compared to fiscal 2018. This was due to a decrease of $12.4 million in capital expenditure spending, due primarily to opening two new company-operated restaurants in fiscal 2019, compared to eight new restaurants in fiscal 2018, and cash proceeds of $4.8 million related to the sale of four company-operated restaurants within the San Francisco area to an existing franchisee and seven company-operated restaurants in the Phoenix area to another existing franchisee. In fiscal 2019, we incurred capital expenditures of approximately $15.4 million, consisting of $6.6 million related to new restaurants, $2.4 million related to the remodeling of existing restaurants, and $6.4 million related to major maintenance and other corporate capital expenditures. Capital expenditures for these periods exclude unpaid purchases of property and equipment.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0" w:lineRule="exact"/>
        <w:rPr>
          <w:sz w:val="20"/>
          <w:szCs w:val="20"/>
          <w:color w:val="auto"/>
        </w:rPr>
      </w:pPr>
    </w:p>
    <w:p>
      <w:pPr>
        <w:ind w:left="20" w:right="259"/>
        <w:spacing w:after="0" w:line="298" w:lineRule="auto"/>
        <w:rPr>
          <w:sz w:val="20"/>
          <w:szCs w:val="20"/>
          <w:color w:val="auto"/>
        </w:rPr>
      </w:pPr>
      <w:r>
        <w:rPr>
          <w:rFonts w:ascii="Arial" w:cs="Arial" w:eastAsia="Arial" w:hAnsi="Arial"/>
          <w:sz w:val="11"/>
          <w:szCs w:val="11"/>
          <w:color w:val="auto"/>
        </w:rPr>
        <w:t>In fiscal 2020, net cash used by financing activities increased by $4.3 million compared to fiscal 2019. This increase was due primarily to $34.2 million of net pay downs on the 2018 Revolver during fiscal 2020, compared to net borrowings of $23.0 million in fiscal 2019. This was partially offset by $48.4 million of cash outflow related to stock buybacks in fiscal 2019 and an increase of $4.4 million of proceeds received from the issuance of common stock upon exercise of stock options in fiscal 2020 compared to fiscal 2019.</w:t>
      </w:r>
    </w:p>
    <w:p>
      <w:pPr>
        <w:spacing w:after="0" w:line="105" w:lineRule="exact"/>
        <w:rPr>
          <w:sz w:val="20"/>
          <w:szCs w:val="20"/>
          <w:color w:val="auto"/>
        </w:rPr>
      </w:pPr>
    </w:p>
    <w:p>
      <w:pPr>
        <w:jc w:val="both"/>
        <w:ind w:left="20" w:right="239"/>
        <w:spacing w:after="0" w:line="263" w:lineRule="auto"/>
        <w:rPr>
          <w:sz w:val="20"/>
          <w:szCs w:val="20"/>
          <w:color w:val="auto"/>
        </w:rPr>
      </w:pPr>
      <w:r>
        <w:rPr>
          <w:rFonts w:ascii="Arial" w:cs="Arial" w:eastAsia="Arial" w:hAnsi="Arial"/>
          <w:sz w:val="12"/>
          <w:szCs w:val="12"/>
          <w:color w:val="auto"/>
        </w:rPr>
        <w:t>In fiscal 2019, net cash used by financing activities increased by $5.1 million compared to fiscal 2018. This was due primarily to an increase in repurchases of common stock of $47.4 million and a decrease in proceeds received from stock option exercises of $0.4 million in fiscal 2019 compared to fiscal 2018, partially offset by an increase in net borrowings on our revolving debt of $42.7 million.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Debt and Other Obligations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Current Credit Agreement</w:t>
      </w:r>
    </w:p>
    <w:p>
      <w:pPr>
        <w:spacing w:after="0" w:line="150" w:lineRule="exact"/>
        <w:rPr>
          <w:sz w:val="20"/>
          <w:szCs w:val="20"/>
          <w:color w:val="auto"/>
        </w:rPr>
      </w:pPr>
    </w:p>
    <w:p>
      <w:pPr>
        <w:ind w:left="20" w:right="39"/>
        <w:spacing w:after="0" w:line="276" w:lineRule="auto"/>
        <w:rPr>
          <w:sz w:val="20"/>
          <w:szCs w:val="20"/>
          <w:color w:val="auto"/>
        </w:rPr>
      </w:pPr>
      <w:r>
        <w:rPr>
          <w:rFonts w:ascii="Arial" w:cs="Arial" w:eastAsia="Arial" w:hAnsi="Arial"/>
          <w:sz w:val="12"/>
          <w:szCs w:val="12"/>
          <w:color w:val="auto"/>
        </w:rPr>
        <w:t>On July 13, 2018, the Company refinanced its credit agreement with Bank of America, N.A., as administrative agent, swingline lender, and letter of credit issuer, the lenders party thereto, and the other parties thereto (the "2014 Revolver")</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1" w:name="page52"/>
    <w:bookmarkEnd w:id="5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pursuant to a credit agreement (the "2018 Credit Agreement") among El Pollo Loco, Inc. ("EPL"), our indirect wholly owned operating subsidiary, as borrower, and the Company and EPL Intermediate, Inc. ("Intermediate"), Holdings’ direct subsidiary,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28" w:lineRule="exact"/>
        <w:rPr>
          <w:sz w:val="20"/>
          <w:szCs w:val="20"/>
          <w:color w:val="auto"/>
        </w:rPr>
      </w:pPr>
    </w:p>
    <w:p>
      <w:pPr>
        <w:jc w:val="both"/>
        <w:ind w:left="20" w:right="319"/>
        <w:spacing w:after="0" w:line="309" w:lineRule="auto"/>
        <w:rPr>
          <w:sz w:val="20"/>
          <w:szCs w:val="20"/>
          <w:color w:val="auto"/>
        </w:rPr>
      </w:pPr>
      <w:r>
        <w:rPr>
          <w:rFonts w:ascii="Arial" w:cs="Arial" w:eastAsia="Arial" w:hAnsi="Arial"/>
          <w:sz w:val="10"/>
          <w:szCs w:val="10"/>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sz w:val="20"/>
          <w:szCs w:val="20"/>
          <w:color w:val="auto"/>
        </w:rPr>
      </w:pPr>
    </w:p>
    <w:p>
      <w:pPr>
        <w:ind w:left="20" w:right="59" w:firstLine="2"/>
        <w:spacing w:after="0" w:line="252" w:lineRule="auto"/>
        <w:tabs>
          <w:tab w:leader="none" w:pos="197" w:val="left"/>
        </w:tabs>
        <w:numPr>
          <w:ilvl w:val="0"/>
          <w:numId w:val="18"/>
        </w:numPr>
        <w:rPr>
          <w:rFonts w:ascii="Arial" w:cs="Arial" w:eastAsia="Arial" w:hAnsi="Arial"/>
          <w:sz w:val="12"/>
          <w:szCs w:val="12"/>
          <w:color w:val="auto"/>
        </w:rPr>
      </w:pPr>
      <w:r>
        <w:rPr>
          <w:rFonts w:ascii="Arial" w:cs="Arial" w:eastAsia="Arial" w:hAnsi="Arial"/>
          <w:sz w:val="12"/>
          <w:szCs w:val="12"/>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 The 2018 Credit Agreement contains certain financial covenants. The Company was in compliance with all such covenants at December 30, 2020.</w:t>
      </w:r>
    </w:p>
    <w:p>
      <w:pPr>
        <w:spacing w:after="0" w:line="129" w:lineRule="exact"/>
        <w:rPr>
          <w:sz w:val="20"/>
          <w:szCs w:val="20"/>
          <w:color w:val="auto"/>
        </w:rPr>
      </w:pPr>
    </w:p>
    <w:p>
      <w:pPr>
        <w:ind w:left="20" w:right="59"/>
        <w:spacing w:after="0" w:line="306" w:lineRule="auto"/>
        <w:rPr>
          <w:sz w:val="20"/>
          <w:szCs w:val="20"/>
          <w:color w:val="auto"/>
        </w:rPr>
      </w:pPr>
      <w:r>
        <w:rPr>
          <w:rFonts w:ascii="Arial" w:cs="Arial" w:eastAsia="Arial" w:hAnsi="Arial"/>
          <w:sz w:val="10"/>
          <w:szCs w:val="10"/>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w:t>
      </w:r>
    </w:p>
    <w:p>
      <w:pPr>
        <w:spacing w:after="0" w:line="1" w:lineRule="exact"/>
        <w:rPr>
          <w:sz w:val="20"/>
          <w:szCs w:val="20"/>
          <w:color w:val="auto"/>
        </w:rPr>
      </w:pPr>
    </w:p>
    <w:p>
      <w:pPr>
        <w:ind w:left="20" w:right="179"/>
        <w:spacing w:after="0" w:line="306" w:lineRule="auto"/>
        <w:rPr>
          <w:sz w:val="20"/>
          <w:szCs w:val="20"/>
          <w:color w:val="auto"/>
        </w:rPr>
      </w:pPr>
      <w:r>
        <w:rPr>
          <w:rFonts w:ascii="Arial" w:cs="Arial" w:eastAsia="Arial" w:hAnsi="Arial"/>
          <w:sz w:val="11"/>
          <w:szCs w:val="11"/>
          <w:color w:val="auto"/>
        </w:rPr>
        <w:t>0.25% to 1.25%. For borrowings under the 2018 Revolver during fiscal 2020, the interest rate range was 1.6% to 3.3%. For borrowings under the 2018 Revolver during fiscal 2019, the interest rate range was 3.2% to 6.0%. The interest rate under the 2018 Revolver was 1.6% at December 30, 2020 and 3.2% under the 2018 Revolver at December 25, 2019.</w:t>
      </w:r>
    </w:p>
    <w:p>
      <w:pPr>
        <w:spacing w:after="0" w:line="101"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At December 30, 2020, $8.4 million of letters of credit and $62.8 million of the revolving line of credit were outstanding. The amount available under the revolving line of credit was $78.8 million at December 30, 2020.</w:t>
      </w:r>
    </w:p>
    <w:p>
      <w:pPr>
        <w:spacing w:after="0" w:line="115" w:lineRule="exact"/>
        <w:rPr>
          <w:sz w:val="20"/>
          <w:szCs w:val="20"/>
          <w:color w:val="auto"/>
        </w:rPr>
      </w:pPr>
    </w:p>
    <w:p>
      <w:pPr>
        <w:jc w:val="both"/>
        <w:ind w:left="20" w:right="99"/>
        <w:spacing w:after="0" w:line="263" w:lineRule="auto"/>
        <w:rPr>
          <w:sz w:val="20"/>
          <w:szCs w:val="20"/>
          <w:color w:val="auto"/>
        </w:rPr>
      </w:pPr>
      <w:r>
        <w:rPr>
          <w:rFonts w:ascii="Arial" w:cs="Arial" w:eastAsia="Arial" w:hAnsi="Arial"/>
          <w:sz w:val="12"/>
          <w:szCs w:val="12"/>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is currently 1.5%. The interest rate swap matures in June 2023.</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Contractual Obligations</w:t>
      </w:r>
    </w:p>
    <w:p>
      <w:pPr>
        <w:spacing w:after="0" w:line="150" w:lineRule="exact"/>
        <w:rPr>
          <w:sz w:val="20"/>
          <w:szCs w:val="20"/>
          <w:color w:val="auto"/>
        </w:rPr>
      </w:pPr>
    </w:p>
    <w:p>
      <w:pPr>
        <w:jc w:val="both"/>
        <w:ind w:left="20" w:right="99"/>
        <w:spacing w:after="0" w:line="276" w:lineRule="auto"/>
        <w:rPr>
          <w:sz w:val="20"/>
          <w:szCs w:val="20"/>
          <w:color w:val="auto"/>
        </w:rPr>
      </w:pPr>
      <w:r>
        <w:rPr>
          <w:rFonts w:ascii="Arial" w:cs="Arial" w:eastAsia="Arial" w:hAnsi="Arial"/>
          <w:sz w:val="12"/>
          <w:szCs w:val="12"/>
          <w:color w:val="auto"/>
        </w:rPr>
        <w:t>The following table represents our contractual commitments to make future payments pursuant to our debt and other obligations disclosed above and pursuant to our restaurant operating leases outstanding as of December 30, 2020:</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5"/>
              </w:rPr>
              <w:t>Payments Due by Period</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jc w:val="right"/>
              <w:ind w:right="204"/>
              <w:spacing w:after="0" w:line="74" w:lineRule="exact"/>
              <w:rPr>
                <w:sz w:val="20"/>
                <w:szCs w:val="20"/>
                <w:color w:val="auto"/>
              </w:rPr>
            </w:pPr>
            <w:r>
              <w:rPr>
                <w:rFonts w:ascii="Arial" w:cs="Arial" w:eastAsia="Arial" w:hAnsi="Arial"/>
                <w:sz w:val="8"/>
                <w:szCs w:val="8"/>
                <w:b w:val="1"/>
                <w:bCs w:val="1"/>
                <w:color w:val="auto"/>
              </w:rPr>
              <w:t>2022 -</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jc w:val="right"/>
              <w:ind w:right="184"/>
              <w:spacing w:after="0" w:line="74" w:lineRule="exact"/>
              <w:rPr>
                <w:sz w:val="20"/>
                <w:szCs w:val="20"/>
                <w:color w:val="auto"/>
              </w:rPr>
            </w:pPr>
            <w:r>
              <w:rPr>
                <w:rFonts w:ascii="Arial" w:cs="Arial" w:eastAsia="Arial" w:hAnsi="Arial"/>
                <w:sz w:val="8"/>
                <w:szCs w:val="8"/>
                <w:b w:val="1"/>
                <w:bCs w:val="1"/>
                <w:color w:val="auto"/>
              </w:rPr>
              <w:t>2024 -</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jc w:val="right"/>
              <w:ind w:right="164"/>
              <w:spacing w:after="0" w:line="74" w:lineRule="exact"/>
              <w:rPr>
                <w:sz w:val="20"/>
                <w:szCs w:val="20"/>
                <w:color w:val="auto"/>
              </w:rPr>
            </w:pPr>
            <w:r>
              <w:rPr>
                <w:rFonts w:ascii="Arial" w:cs="Arial" w:eastAsia="Arial" w:hAnsi="Arial"/>
                <w:sz w:val="8"/>
                <w:szCs w:val="8"/>
                <w:b w:val="1"/>
                <w:bCs w:val="1"/>
                <w:color w:val="auto"/>
              </w:rPr>
              <w:t>2026 and</w:t>
            </w:r>
          </w:p>
        </w:tc>
        <w:tc>
          <w:tcPr>
            <w:tcW w:w="0" w:type="dxa"/>
            <w:vAlign w:val="bottom"/>
          </w:tcPr>
          <w:p>
            <w:pPr>
              <w:spacing w:after="0"/>
              <w:rPr>
                <w:sz w:val="1"/>
                <w:szCs w:val="1"/>
                <w:color w:val="auto"/>
              </w:rPr>
            </w:pPr>
          </w:p>
        </w:tc>
      </w:tr>
      <w:tr>
        <w:trPr>
          <w:trHeight w:val="113"/>
        </w:trPr>
        <w:tc>
          <w:tcPr>
            <w:tcW w:w="22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(Amounts in thousands)</w:t>
            </w:r>
          </w:p>
        </w:tc>
        <w:tc>
          <w:tcPr>
            <w:tcW w:w="222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0"/>
                <w:szCs w:val="10"/>
                <w:b w:val="1"/>
                <w:bCs w:val="1"/>
                <w:color w:val="auto"/>
              </w:rPr>
              <w:t>Total</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4"/>
              <w:spacing w:after="0" w:line="11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4"/>
              <w:spacing w:after="0" w:line="114" w:lineRule="exact"/>
              <w:rPr>
                <w:sz w:val="20"/>
                <w:szCs w:val="20"/>
                <w:color w:val="auto"/>
              </w:rPr>
            </w:pPr>
            <w:r>
              <w:rPr>
                <w:rFonts w:ascii="Arial" w:cs="Arial" w:eastAsia="Arial" w:hAnsi="Arial"/>
                <w:sz w:val="10"/>
                <w:szCs w:val="10"/>
                <w:b w:val="1"/>
                <w:bCs w:val="1"/>
                <w:color w:val="auto"/>
              </w:rPr>
              <w:t>2025</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24"/>
              <w:spacing w:after="0" w:line="114" w:lineRule="exact"/>
              <w:rPr>
                <w:sz w:val="20"/>
                <w:szCs w:val="20"/>
                <w:color w:val="auto"/>
              </w:rPr>
            </w:pPr>
            <w:r>
              <w:rPr>
                <w:rFonts w:ascii="Arial" w:cs="Arial" w:eastAsia="Arial" w:hAnsi="Arial"/>
                <w:sz w:val="10"/>
                <w:szCs w:val="10"/>
                <w:b w:val="1"/>
                <w:bCs w:val="1"/>
                <w:color w:val="auto"/>
                <w:w w:val="99"/>
              </w:rPr>
              <w:t>thereafter</w:t>
            </w:r>
          </w:p>
        </w:tc>
        <w:tc>
          <w:tcPr>
            <w:tcW w:w="0" w:type="dxa"/>
            <w:vAlign w:val="bottom"/>
          </w:tcPr>
          <w:p>
            <w:pPr>
              <w:spacing w:after="0"/>
              <w:rPr>
                <w:sz w:val="1"/>
                <w:szCs w:val="1"/>
                <w:color w:val="auto"/>
              </w:rPr>
            </w:pP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1"/>
                <w:szCs w:val="11"/>
                <w:color w:val="auto"/>
              </w:rPr>
              <w:t xml:space="preserve">Operating leases </w:t>
            </w:r>
            <w:r>
              <w:rPr>
                <w:rFonts w:ascii="Arial" w:cs="Arial" w:eastAsia="Arial" w:hAnsi="Arial"/>
                <w:sz w:val="15"/>
                <w:szCs w:val="15"/>
                <w:color w:val="auto"/>
                <w:vertAlign w:val="superscript"/>
              </w:rPr>
              <w:t>(1)</w:t>
            </w: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245,940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28,952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50,575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41,192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125,221</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20"/>
                <w:szCs w:val="20"/>
                <w:color w:val="auto"/>
              </w:rPr>
            </w:pPr>
            <w:r>
              <w:rPr>
                <w:rFonts w:ascii="Arial" w:cs="Arial" w:eastAsia="Arial" w:hAnsi="Arial"/>
                <w:sz w:val="12"/>
                <w:szCs w:val="12"/>
                <w:color w:val="auto"/>
              </w:rPr>
              <w:t>Finance leases</w:t>
            </w: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Long-term debt </w:t>
            </w:r>
            <w:r>
              <w:rPr>
                <w:rFonts w:ascii="Arial" w:cs="Arial" w:eastAsia="Arial" w:hAnsi="Arial"/>
                <w:sz w:val="16"/>
                <w:szCs w:val="16"/>
                <w:color w:val="auto"/>
                <w:vertAlign w:val="superscript"/>
              </w:rPr>
              <w:t>(2)</w:t>
            </w: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64,866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240" w:type="dxa"/>
            <w:vAlign w:val="bottom"/>
          </w:tcPr>
          <w:p>
            <w:pPr>
              <w:spacing w:after="0"/>
              <w:rPr>
                <w:sz w:val="20"/>
                <w:szCs w:val="20"/>
                <w:color w:val="auto"/>
              </w:rPr>
            </w:pPr>
            <w:r>
              <w:rPr>
                <w:rFonts w:ascii="Arial" w:cs="Arial" w:eastAsia="Arial" w:hAnsi="Arial"/>
                <w:sz w:val="12"/>
                <w:szCs w:val="12"/>
                <w:color w:val="auto"/>
              </w:rPr>
              <w:t>Income tax receivable agreement</w:t>
            </w: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3,228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1,587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Purchasing commitments—chicken</w:t>
            </w: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32,307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32,307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24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349,658</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64,018</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116,742</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41,993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126,905</w:t>
            </w:r>
          </w:p>
        </w:tc>
        <w:tc>
          <w:tcPr>
            <w:tcW w:w="0" w:type="dxa"/>
            <w:vAlign w:val="bottom"/>
          </w:tcPr>
          <w:p>
            <w:pPr>
              <w:spacing w:after="0"/>
              <w:rPr>
                <w:sz w:val="1"/>
                <w:szCs w:val="1"/>
                <w:color w:val="auto"/>
              </w:rPr>
            </w:pPr>
          </w:p>
        </w:tc>
      </w:tr>
      <w:tr>
        <w:trPr>
          <w:trHeight w:val="81"/>
        </w:trPr>
        <w:tc>
          <w:tcPr>
            <w:tcW w:w="2240" w:type="dxa"/>
            <w:vAlign w:val="bottom"/>
            <w:tcBorders>
              <w:bottom w:val="single" w:sz="8" w:color="auto"/>
            </w:tcBorders>
          </w:tcPr>
          <w:p>
            <w:pPr>
              <w:spacing w:after="0"/>
              <w:rPr>
                <w:sz w:val="7"/>
                <w:szCs w:val="7"/>
                <w:color w:val="auto"/>
              </w:rPr>
            </w:pPr>
          </w:p>
        </w:tc>
        <w:tc>
          <w:tcPr>
            <w:tcW w:w="23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2240" w:type="dxa"/>
            <w:vAlign w:val="bottom"/>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52" w:name="page53"/>
    <w:bookmarkEnd w:id="5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right="339" w:hanging="218"/>
        <w:spacing w:after="0" w:line="258" w:lineRule="auto"/>
        <w:tabs>
          <w:tab w:leader="none" w:pos="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the impact of our delay in making April, May and June rent payments on the majority of our leased properties as discussed under the COVID-19 Impact in this section above at December 30, 2020.</w:t>
      </w:r>
    </w:p>
    <w:p>
      <w:pPr>
        <w:ind w:left="240" w:hanging="218"/>
        <w:spacing w:after="0"/>
        <w:tabs>
          <w:tab w:leader="none" w:pos="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expected interest expenses, calculated based on applicable interest rates at December 30, 2020.</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Off-Balance Sheet Arrangements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At both December 30, 2020 and December 25, 2019, we had $8.4 million of borrowing capacity on the 2018 Revolver pledged as collateral to secure outstanding letters of credit.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Critical Accounting Policies and Use of Estimates</w:t>
      </w:r>
    </w:p>
    <w:p>
      <w:pPr>
        <w:spacing w:after="0" w:line="154" w:lineRule="exact"/>
        <w:rPr>
          <w:sz w:val="20"/>
          <w:szCs w:val="20"/>
          <w:color w:val="auto"/>
        </w:rPr>
      </w:pPr>
    </w:p>
    <w:p>
      <w:pPr>
        <w:ind w:left="20" w:right="119"/>
        <w:spacing w:after="0" w:line="289" w:lineRule="auto"/>
        <w:rPr>
          <w:sz w:val="20"/>
          <w:szCs w:val="20"/>
          <w:color w:val="auto"/>
        </w:rPr>
      </w:pPr>
      <w:r>
        <w:rPr>
          <w:rFonts w:ascii="Arial" w:cs="Arial" w:eastAsia="Arial" w:hAnsi="Arial"/>
          <w:sz w:val="11"/>
          <w:szCs w:val="11"/>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11"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“Summary of Significant Accounting Policies" in the accompanying "Notes to Consolidated Financial Statements" in this Annual Report.</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left="20" w:right="139"/>
        <w:spacing w:after="0" w:line="281" w:lineRule="auto"/>
        <w:rPr>
          <w:sz w:val="20"/>
          <w:szCs w:val="20"/>
          <w:color w:val="auto"/>
        </w:rPr>
      </w:pPr>
      <w:r>
        <w:rPr>
          <w:rFonts w:ascii="Arial" w:cs="Arial" w:eastAsia="Arial" w:hAnsi="Arial"/>
          <w:sz w:val="11"/>
          <w:szCs w:val="11"/>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 For additional information regarding the revenue recognition see "Note 2. Summary of Significant Accounting Policies" and "Note 15. Revenue from Contracts with Customers" in our accompanying "Notes to Consolidated Financial Statements" in this Annual Report.</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Goodwill and Indefinite-Lived Intangible Assets, Net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Intangible assets consist primarily of goodwill and trademarks.</w:t>
      </w:r>
    </w:p>
    <w:p>
      <w:pPr>
        <w:spacing w:after="0" w:line="150" w:lineRule="exact"/>
        <w:rPr>
          <w:sz w:val="20"/>
          <w:szCs w:val="20"/>
          <w:color w:val="auto"/>
        </w:rPr>
      </w:pPr>
    </w:p>
    <w:p>
      <w:pPr>
        <w:ind w:left="20" w:right="539"/>
        <w:spacing w:after="0" w:line="276" w:lineRule="auto"/>
        <w:rPr>
          <w:sz w:val="20"/>
          <w:szCs w:val="20"/>
          <w:color w:val="auto"/>
        </w:rPr>
      </w:pPr>
      <w:r>
        <w:rPr>
          <w:rFonts w:ascii="Arial" w:cs="Arial" w:eastAsia="Arial" w:hAnsi="Arial"/>
          <w:sz w:val="12"/>
          <w:szCs w:val="12"/>
          <w:color w:val="auto"/>
        </w:rPr>
        <w:t>We do not amortize our goodwill and indefinite-lived intangible assets. We perform an annual impairment test for goodwill during the fourth fiscal quarter of each year, or more frequently if impairment indicators arise.</w:t>
      </w:r>
    </w:p>
    <w:p>
      <w:pPr>
        <w:spacing w:after="0" w:line="115"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We perform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22" w:lineRule="exact"/>
        <w:rPr>
          <w:sz w:val="20"/>
          <w:szCs w:val="20"/>
          <w:color w:val="auto"/>
        </w:rPr>
      </w:pPr>
    </w:p>
    <w:p>
      <w:pPr>
        <w:jc w:val="both"/>
        <w:ind w:left="20" w:right="319"/>
        <w:spacing w:after="0" w:line="263" w:lineRule="auto"/>
        <w:rPr>
          <w:sz w:val="20"/>
          <w:szCs w:val="20"/>
          <w:color w:val="auto"/>
        </w:rPr>
      </w:pPr>
      <w:r>
        <w:rPr>
          <w:rFonts w:ascii="Arial" w:cs="Arial" w:eastAsia="Arial" w:hAnsi="Arial"/>
          <w:sz w:val="12"/>
          <w:szCs w:val="12"/>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3" w:name="page54"/>
    <w:bookmarkEnd w:id="5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Due to the recent impact of the COVID-19 pandemic to the global economy, including but not limited to the volatility of our stock price as well as that of our competitors and the challenging environment for the restaurant industry generally, we determined that there were indicators of potential impairment of our goodwill and indefinite-lived intangible assets during fiscal 2020. As such, we performed an impairment assessment for both goodwill and indefinite-lived intangible assets and concluded that the fair value of these assets substantially exceeded their carrying values. Accordingly, we did not record any impairment to goodwill or indefinite-lived intangible assets during the year ended December 30, 2020. T</w:t>
      </w:r>
      <w:r>
        <w:rPr>
          <w:rFonts w:ascii="Arial" w:cs="Arial" w:eastAsia="Arial" w:hAnsi="Arial"/>
          <w:sz w:val="12"/>
          <w:szCs w:val="12"/>
          <w:color w:val="212529"/>
        </w:rPr>
        <w:t>he ultimate</w:t>
      </w:r>
      <w:r>
        <w:rPr>
          <w:rFonts w:ascii="Arial" w:cs="Arial" w:eastAsia="Arial" w:hAnsi="Arial"/>
          <w:sz w:val="12"/>
          <w:szCs w:val="12"/>
          <w:color w:val="auto"/>
        </w:rPr>
        <w:t xml:space="preserve"> </w:t>
      </w:r>
      <w:r>
        <w:rPr>
          <w:rFonts w:ascii="Arial" w:cs="Arial" w:eastAsia="Arial" w:hAnsi="Arial"/>
          <w:sz w:val="12"/>
          <w:szCs w:val="12"/>
          <w:color w:val="212529"/>
        </w:rPr>
        <w:t xml:space="preserve">severity and longevity of the COVID-19 pandemic and the extent and duration of any economic downturn is unknown, and therefore, </w:t>
      </w:r>
      <w:r>
        <w:rPr>
          <w:rFonts w:ascii="Arial" w:cs="Arial" w:eastAsia="Arial" w:hAnsi="Arial"/>
          <w:sz w:val="12"/>
          <w:szCs w:val="12"/>
          <w:color w:val="000000"/>
        </w:rPr>
        <w:t>it is possible that impairments could be identified in</w:t>
      </w:r>
      <w:r>
        <w:rPr>
          <w:rFonts w:ascii="Arial" w:cs="Arial" w:eastAsia="Arial" w:hAnsi="Arial"/>
          <w:sz w:val="12"/>
          <w:szCs w:val="12"/>
          <w:color w:val="212529"/>
        </w:rPr>
        <w:t xml:space="preserve"> </w:t>
      </w:r>
      <w:r>
        <w:rPr>
          <w:rFonts w:ascii="Arial" w:cs="Arial" w:eastAsia="Arial" w:hAnsi="Arial"/>
          <w:sz w:val="12"/>
          <w:szCs w:val="12"/>
          <w:color w:val="000000"/>
        </w:rPr>
        <w:t>future periods, and such amounts could be material.</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Long-Lived Assets</w:t>
      </w:r>
    </w:p>
    <w:p>
      <w:pPr>
        <w:spacing w:after="0" w:line="150" w:lineRule="exact"/>
        <w:rPr>
          <w:sz w:val="20"/>
          <w:szCs w:val="20"/>
          <w:color w:val="auto"/>
        </w:rPr>
      </w:pPr>
    </w:p>
    <w:p>
      <w:pPr>
        <w:ind w:left="20" w:right="99"/>
        <w:spacing w:after="0" w:line="255" w:lineRule="auto"/>
        <w:rPr>
          <w:sz w:val="20"/>
          <w:szCs w:val="20"/>
          <w:color w:val="auto"/>
        </w:rPr>
      </w:pPr>
      <w:r>
        <w:rPr>
          <w:rFonts w:ascii="Arial" w:cs="Arial" w:eastAsia="Arial" w:hAnsi="Arial"/>
          <w:sz w:val="12"/>
          <w:szCs w:val="12"/>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28" w:lineRule="exact"/>
        <w:rPr>
          <w:sz w:val="20"/>
          <w:szCs w:val="20"/>
          <w:color w:val="auto"/>
        </w:rPr>
      </w:pPr>
    </w:p>
    <w:p>
      <w:pPr>
        <w:ind w:left="20" w:right="99"/>
        <w:spacing w:after="0" w:line="254" w:lineRule="auto"/>
        <w:rPr>
          <w:sz w:val="20"/>
          <w:szCs w:val="20"/>
          <w:color w:val="auto"/>
        </w:rPr>
      </w:pPr>
      <w:r>
        <w:rPr>
          <w:rFonts w:ascii="Arial" w:cs="Arial" w:eastAsia="Arial" w:hAnsi="Arial"/>
          <w:sz w:val="12"/>
          <w:szCs w:val="12"/>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If actual performance does not achieve the projections, we may recognize impairment charges in future periods, and such charges could be material.</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Insurance Reserves</w:t>
      </w:r>
    </w:p>
    <w:p>
      <w:pPr>
        <w:spacing w:after="0" w:line="150" w:lineRule="exact"/>
        <w:rPr>
          <w:sz w:val="20"/>
          <w:szCs w:val="20"/>
          <w:color w:val="auto"/>
        </w:rPr>
      </w:pPr>
    </w:p>
    <w:p>
      <w:pPr>
        <w:ind w:left="20" w:right="99"/>
        <w:spacing w:after="0" w:line="289" w:lineRule="auto"/>
        <w:rPr>
          <w:sz w:val="20"/>
          <w:szCs w:val="20"/>
          <w:color w:val="auto"/>
        </w:rPr>
      </w:pPr>
      <w:r>
        <w:rPr>
          <w:rFonts w:ascii="Arial" w:cs="Arial" w:eastAsia="Arial" w:hAnsi="Arial"/>
          <w:sz w:val="11"/>
          <w:szCs w:val="11"/>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Accounting for Lease Obligations</w:t>
      </w:r>
    </w:p>
    <w:p>
      <w:pPr>
        <w:spacing w:after="0" w:line="150"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We lease a substantial number of our restaurant properties. 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128"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We make significant assumptions and judgments related to determination of whether a contract contains a lease and the discount rate used for the lease. In determining if any of our contracts contain a lease, we make assumptions and judgments related to our ability to direct the use of any assets stated in the contract and the likelihood of renewing any short-term contracts for a period extending past twelve months. We also make significant assumptions and judgments in determining an appropriate discount rate for property leases. These include using a consistent discount rate for 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4" w:name="page55"/>
    <w:bookmarkEnd w:id="5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portfolio of leases entered into at varying dates, using the full 20-year term of the lease, excluding any options, and using the total minimum lease payments. We utilize a third-party valuation firm to assist in determining the discount rate, based on the above assumptions. For all other leases, we use the discount rate implicit in the lease, or the Company’s incremental borrowing rate.</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Franchise Operations</w:t>
      </w:r>
    </w:p>
    <w:p>
      <w:pPr>
        <w:spacing w:after="0" w:line="150"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ind w:left="20" w:right="179"/>
        <w:spacing w:after="0" w:line="298" w:lineRule="auto"/>
        <w:rPr>
          <w:sz w:val="20"/>
          <w:szCs w:val="20"/>
          <w:color w:val="auto"/>
        </w:rPr>
      </w:pPr>
      <w:r>
        <w:rPr>
          <w:rFonts w:ascii="Arial" w:cs="Arial" w:eastAsia="Arial" w:hAnsi="Arial"/>
          <w:sz w:val="11"/>
          <w:szCs w:val="11"/>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30, 2020, we had no federal and less than $0.1 million state net operating loss (“NOL”) carryforwards. These State NOLs expire beginning 2028.</w:t>
      </w:r>
    </w:p>
    <w:p>
      <w:pPr>
        <w:spacing w:after="0" w:line="105"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122" w:lineRule="exact"/>
        <w:rPr>
          <w:sz w:val="20"/>
          <w:szCs w:val="20"/>
          <w:color w:val="auto"/>
        </w:rPr>
      </w:pPr>
    </w:p>
    <w:p>
      <w:pPr>
        <w:ind w:left="480" w:hanging="224"/>
        <w:spacing w:after="0"/>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future reversals of existing taxable temporary differences;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future taxable income or loss, exclusive of reversing temporary differences and carryforwards;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tax-planning strategies; and</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taxable income in prior carryback years.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will continue to reevaluate the continued need for a valuation allowance. Relevant factors include:</w:t>
      </w:r>
    </w:p>
    <w:p>
      <w:pPr>
        <w:spacing w:after="0" w:line="150" w:lineRule="exact"/>
        <w:rPr>
          <w:sz w:val="20"/>
          <w:szCs w:val="20"/>
          <w:color w:val="auto"/>
        </w:rPr>
      </w:pPr>
    </w:p>
    <w:p>
      <w:pPr>
        <w:ind w:left="480" w:hanging="224"/>
        <w:spacing w:after="0"/>
        <w:tabs>
          <w:tab w:leader="none" w:pos="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current financial performance;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ability to meet short-term and long-term financial and taxable income projections;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overall market environment; and</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volatility and trends in the industry in which we operate.</w:t>
      </w:r>
    </w:p>
    <w:p>
      <w:pPr>
        <w:spacing w:after="0" w:line="150" w:lineRule="exact"/>
        <w:rPr>
          <w:sz w:val="20"/>
          <w:szCs w:val="20"/>
          <w:color w:val="auto"/>
        </w:rPr>
      </w:pPr>
    </w:p>
    <w:p>
      <w:pPr>
        <w:ind w:left="20" w:right="139"/>
        <w:spacing w:after="0" w:line="340" w:lineRule="auto"/>
        <w:rPr>
          <w:sz w:val="20"/>
          <w:szCs w:val="20"/>
          <w:color w:val="auto"/>
        </w:rPr>
      </w:pPr>
      <w:r>
        <w:rPr>
          <w:rFonts w:ascii="Arial" w:cs="Arial" w:eastAsia="Arial" w:hAnsi="Arial"/>
          <w:sz w:val="10"/>
          <w:szCs w:val="10"/>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87" w:lineRule="exact"/>
        <w:rPr>
          <w:sz w:val="20"/>
          <w:szCs w:val="20"/>
          <w:color w:val="auto"/>
        </w:rPr>
      </w:pPr>
    </w:p>
    <w:p>
      <w:pPr>
        <w:ind w:left="20" w:right="119"/>
        <w:spacing w:after="0" w:line="256" w:lineRule="auto"/>
        <w:rPr>
          <w:sz w:val="20"/>
          <w:szCs w:val="20"/>
          <w:color w:val="auto"/>
        </w:rPr>
      </w:pPr>
      <w:r>
        <w:rPr>
          <w:rFonts w:ascii="Arial" w:cs="Arial" w:eastAsia="Arial" w:hAnsi="Arial"/>
          <w:sz w:val="12"/>
          <w:szCs w:val="12"/>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5" w:name="page56"/>
    <w:bookmarkEnd w:id="5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color w:val="auto"/>
        </w:rPr>
        <w:t>recorded amounts and affect our results of operations, financial position, and cash flows. However, we anticipate that any such adjustments would not materially impact our financial statements.</w:t>
      </w:r>
    </w:p>
    <w:p>
      <w:pPr>
        <w:spacing w:after="0" w:line="115"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We are permitted to make TRA payments under the 2018 Revolver. In fiscal 2020, we recognized an expense of $0.1 million as a result of changes to future forecasted results and deduction of 2018 legal settlement accrual in current year. In fiscal 2019, we recognized an expense of less than $0.1 million as a result of changes to future forecasted results. In fiscal 2018, we recognized a benefit of $0.8 million, as a result of changes to future forecasted results and the timing of the deductibility of certain temporary differences including the current year legal settlement accruals.</w:t>
      </w:r>
    </w:p>
    <w:p>
      <w:pPr>
        <w:spacing w:after="0" w:line="113"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In addition, in fiscal 2014, we applied for various tax credits that resulted in $6.7 million of additional deferred tax assets and tax benefits. As of fiscal 2020, the deferred asset balance related to these various tax credits, net of valuation allowance was $2.5 million. The fiscal 2020 provision includes a $6.1 million valuation allowance against our deferred tax asset, resulting from certain tax credits that may not be realizable prior to the time the credits expire. Also, in fiscal 2020, federal work opportunity tax credits (“WOTC”) of approximately $0.3 million were generated.</w:t>
      </w:r>
    </w:p>
    <w:p>
      <w:pPr>
        <w:spacing w:after="0" w:line="124" w:lineRule="exact"/>
        <w:rPr>
          <w:sz w:val="20"/>
          <w:szCs w:val="20"/>
          <w:color w:val="auto"/>
        </w:rPr>
      </w:pPr>
    </w:p>
    <w:p>
      <w:pPr>
        <w:ind w:left="20" w:right="219"/>
        <w:spacing w:after="0" w:line="259" w:lineRule="auto"/>
        <w:rPr>
          <w:sz w:val="20"/>
          <w:szCs w:val="20"/>
          <w:color w:val="auto"/>
        </w:rPr>
      </w:pPr>
      <w:r>
        <w:rPr>
          <w:rFonts w:ascii="Arial" w:cs="Arial" w:eastAsia="Arial" w:hAnsi="Arial"/>
          <w:sz w:val="12"/>
          <w:szCs w:val="12"/>
          <w:color w:val="auto"/>
        </w:rPr>
        <w:t>On March 27, 2020, President Trump signed into a law a stimulus package, the Coronavirus Aid, Relief and Economic Security ("CARES") Act, which contains several tax provisions and deferral of employer Social Security taxes that are otherwise owed for wage payments. The tax provisions include a correction of a previous drafting error related to qualified improvement property ("QIP") and immediate refundability of all remaining alternative minimum tax ("AMT") credits. The new provisions did not have a material impact on our consolidated financial statements.</w:t>
      </w:r>
    </w:p>
    <w:p>
      <w:pPr>
        <w:spacing w:after="0" w:line="124" w:lineRule="exact"/>
        <w:rPr>
          <w:sz w:val="20"/>
          <w:szCs w:val="20"/>
          <w:color w:val="auto"/>
        </w:rPr>
      </w:pPr>
    </w:p>
    <w:p>
      <w:pPr>
        <w:ind w:left="20" w:right="179"/>
        <w:spacing w:after="0" w:line="259" w:lineRule="auto"/>
        <w:rPr>
          <w:sz w:val="20"/>
          <w:szCs w:val="20"/>
          <w:color w:val="auto"/>
        </w:rPr>
      </w:pPr>
      <w:r>
        <w:rPr>
          <w:rFonts w:ascii="Arial" w:cs="Arial" w:eastAsia="Arial" w:hAnsi="Arial"/>
          <w:sz w:val="12"/>
          <w:szCs w:val="12"/>
          <w:color w:val="auto"/>
        </w:rPr>
        <w:t>During the year ended December 30, 2020, we received a Notice of Proposed Adjustment (“NOPA”) for the years ended December 27, 2017 and December 28, 2016, related to our methodology regarding the ordering of utilization of AMT NOLs. This resulted in payment of $0.4 million, and the audit is closed. As a result of the CARES Act, discussed above, this amount is immediately refundable upon filing of a Form 1139, which we filed during the year ended December 30, 2020 and recognized a receivable, included in Accounts and other receivables within the consolidated balance sheet as of December 30, 2020.</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ind w:left="20" w:right="139"/>
        <w:spacing w:after="0" w:line="305" w:lineRule="auto"/>
        <w:rPr>
          <w:sz w:val="20"/>
          <w:szCs w:val="20"/>
          <w:color w:val="auto"/>
        </w:rPr>
      </w:pPr>
      <w:r>
        <w:rPr>
          <w:rFonts w:ascii="Arial" w:cs="Arial" w:eastAsia="Arial" w:hAnsi="Arial"/>
          <w:sz w:val="10"/>
          <w:szCs w:val="10"/>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The Company did not grant any options during fiscal 2020. In fiscal 2020, the Company granted 415,022 restricted stock awards, with an exercise price equal to the fair market value of the common stock on the date of grant. The awards granted in fiscal 2020, 2019 and 2018 had a four-year vesting period for employees and three-year vesting period for directors. Included in the fiscal</w:t>
      </w:r>
    </w:p>
    <w:p>
      <w:pPr>
        <w:ind w:left="20" w:right="59"/>
        <w:spacing w:after="0" w:line="253" w:lineRule="auto"/>
        <w:rPr>
          <w:sz w:val="20"/>
          <w:szCs w:val="20"/>
          <w:color w:val="auto"/>
        </w:rPr>
      </w:pPr>
      <w:r>
        <w:rPr>
          <w:rFonts w:ascii="Arial" w:cs="Arial" w:eastAsia="Arial" w:hAnsi="Arial"/>
          <w:sz w:val="12"/>
          <w:szCs w:val="12"/>
          <w:color w:val="auto"/>
        </w:rPr>
        <w:t>2018 restricted stock award grants were 72,116 performance share units which have a five-year term. Performance share units are granted at fair market value on the date of grant and are subject to service-based and market-based vesting conditions. For stock options that were based on performance requirements, costs were recognized over the periods to which the performance criteria related. In order to calculate our stock options’ fair values and the associated compensation costs for share-based awards, we utilize the Black–Scholes option pricing model.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We use an interest rate swap, a derivative instrument, to hedge interest rate risk and is not used for trading purposes. The derivative contract is entered into with financial institutions.</w:t>
      </w:r>
    </w:p>
    <w:p>
      <w:pPr>
        <w:spacing w:after="0" w:line="162" w:lineRule="exact"/>
        <w:rPr>
          <w:sz w:val="20"/>
          <w:szCs w:val="20"/>
          <w:color w:val="auto"/>
        </w:rPr>
      </w:pPr>
    </w:p>
    <w:p>
      <w:pPr>
        <w:ind w:left="20" w:right="59"/>
        <w:spacing w:after="0" w:line="256" w:lineRule="auto"/>
        <w:rPr>
          <w:sz w:val="20"/>
          <w:szCs w:val="20"/>
          <w:color w:val="auto"/>
        </w:rPr>
      </w:pPr>
      <w:r>
        <w:rPr>
          <w:rFonts w:ascii="Arial" w:cs="Arial" w:eastAsia="Arial" w:hAnsi="Arial"/>
          <w:sz w:val="12"/>
          <w:szCs w:val="12"/>
          <w:color w:val="auto"/>
        </w:rPr>
        <w:t>We record the derivative instrument at fair value within other assets on its consolidated balance sheet. The derivative instrument qualifies as a hedging instrument in a qualifying cash flow hedge relationship, the gain or loss on the derivative instrument is reported as a component of accumulated other comprehensive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into earnings immediately.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6" w:name="page57"/>
    <w:bookmarkEnd w:id="5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79"/>
        <w:spacing w:after="0" w:line="298" w:lineRule="auto"/>
        <w:rPr>
          <w:sz w:val="20"/>
          <w:szCs w:val="20"/>
          <w:color w:val="auto"/>
        </w:rPr>
      </w:pPr>
      <w:r>
        <w:rPr>
          <w:rFonts w:ascii="Arial" w:cs="Arial" w:eastAsia="Arial" w:hAnsi="Arial"/>
          <w:sz w:val="11"/>
          <w:szCs w:val="11"/>
          <w:color w:val="auto"/>
        </w:rPr>
        <w:t>As a result of the use of an interest rate swap, we are exposed to risk that the counterparty will fail to meet their contractual obligations. To mitigate the counterparty credit risk, we will only enter into contracts with major financial institutions, based upon their credit ratings and other factors, and will continue to assess the creditworthiness of the counterparty. As of December 30, 2020, the counterparty to our interest rate swap has performed in accordance with their contractual obligation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ind w:left="20" w:right="259"/>
        <w:spacing w:after="0" w:line="276" w:lineRule="auto"/>
        <w:rPr>
          <w:sz w:val="20"/>
          <w:szCs w:val="20"/>
          <w:color w:val="auto"/>
        </w:rPr>
      </w:pPr>
      <w:r>
        <w:rPr>
          <w:rFonts w:ascii="Arial" w:cs="Arial" w:eastAsia="Arial" w:hAnsi="Arial"/>
          <w:sz w:val="12"/>
          <w:szCs w:val="12"/>
          <w:color w:val="auto"/>
        </w:rPr>
        <w:t>Recent accounting pronouncements are described in Note 2 “Summary of Significant Accounting Policies" in our accompanying "Notes to Consolidated Financial Statements" in this Annual Report.</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57" w:name="page58"/>
    <w:bookmarkEnd w:id="5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20" w:right="39"/>
        <w:spacing w:after="0" w:line="280" w:lineRule="auto"/>
        <w:rPr>
          <w:sz w:val="20"/>
          <w:szCs w:val="20"/>
          <w:color w:val="auto"/>
        </w:rPr>
      </w:pPr>
      <w:r>
        <w:rPr>
          <w:rFonts w:ascii="Arial" w:cs="Arial" w:eastAsia="Arial" w:hAnsi="Arial"/>
          <w:sz w:val="11"/>
          <w:szCs w:val="11"/>
          <w:color w:val="auto"/>
        </w:rPr>
        <w:t>We are exposed to market risk from changes in interest rates on our debt, which bears interest at USD LIBOR plus a margin between 1.25% and 2.25%. As of December 30, 2020, we had outstanding borrowings of $62.8 million related to our 2018 Revolver and another $8.4 million of letters of credit in support of our insurance programs, and the applicable margin on outstanding borrowings under 2018 Revolver was 1.5%. In addition, LIBOR is expected to be phased out beginning after 2021. Organizations are currently working on industry wide and company specific transition plans as it relates to financial and other derivative contracts exposed to LIBOR. When LIBOR ceases to exist, we may need to enter into an amendment to the 2018 Credit Agreement and we cannot predict what alternative index would be negotiated with our lenders. If future rates based upon a successor rate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we effectively had $22.8 million of long-term debt subject to variations in interest rates and a one percent increase in the variable rate of interest would increase annual interest expense by $0.2 million.</w:t>
      </w:r>
    </w:p>
    <w:p>
      <w:pPr>
        <w:spacing w:after="0" w:line="115" w:lineRule="exact"/>
        <w:rPr>
          <w:sz w:val="20"/>
          <w:szCs w:val="20"/>
          <w:color w:val="auto"/>
        </w:rPr>
      </w:pPr>
    </w:p>
    <w:p>
      <w:pPr>
        <w:jc w:val="both"/>
        <w:ind w:left="20" w:right="119"/>
        <w:spacing w:after="0" w:line="259" w:lineRule="auto"/>
        <w:rPr>
          <w:sz w:val="20"/>
          <w:szCs w:val="20"/>
          <w:color w:val="auto"/>
        </w:rPr>
      </w:pPr>
      <w:r>
        <w:rPr>
          <w:rFonts w:ascii="Arial" w:cs="Arial" w:eastAsia="Arial" w:hAnsi="Arial"/>
          <w:sz w:val="12"/>
          <w:szCs w:val="12"/>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is currently 1.5%. The interest rate swap matures in June 2023.</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Inflation</w:t>
      </w:r>
    </w:p>
    <w:p>
      <w:pPr>
        <w:spacing w:after="0" w:line="154" w:lineRule="exact"/>
        <w:rPr>
          <w:sz w:val="20"/>
          <w:szCs w:val="20"/>
          <w:color w:val="auto"/>
        </w:rPr>
      </w:pPr>
    </w:p>
    <w:p>
      <w:pPr>
        <w:ind w:left="20" w:right="179"/>
        <w:spacing w:after="0" w:line="259" w:lineRule="auto"/>
        <w:rPr>
          <w:sz w:val="20"/>
          <w:szCs w:val="20"/>
          <w:color w:val="auto"/>
        </w:rPr>
      </w:pPr>
      <w:r>
        <w:rPr>
          <w:rFonts w:ascii="Arial" w:cs="Arial" w:eastAsia="Arial" w:hAnsi="Arial"/>
          <w:sz w:val="12"/>
          <w:szCs w:val="12"/>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Commodity Price Risk</w:t>
      </w:r>
    </w:p>
    <w:p>
      <w:pPr>
        <w:spacing w:after="0" w:line="154" w:lineRule="exact"/>
        <w:rPr>
          <w:sz w:val="20"/>
          <w:szCs w:val="20"/>
          <w:color w:val="auto"/>
        </w:rPr>
      </w:pPr>
    </w:p>
    <w:p>
      <w:pPr>
        <w:ind w:left="20" w:right="119"/>
        <w:spacing w:after="0" w:line="283" w:lineRule="auto"/>
        <w:rPr>
          <w:sz w:val="20"/>
          <w:szCs w:val="20"/>
          <w:color w:val="auto"/>
        </w:rPr>
      </w:pPr>
      <w:r>
        <w:rPr>
          <w:rFonts w:ascii="Arial" w:cs="Arial" w:eastAsia="Arial" w:hAnsi="Arial"/>
          <w:sz w:val="11"/>
          <w:szCs w:val="11"/>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prices under our purchasing commitments. In rapidly-fluctuating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66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6820" w:type="dxa"/>
            <w:vAlign w:val="bottom"/>
          </w:tcPr>
          <w:p>
            <w:pPr>
              <w:ind w:left="200"/>
              <w:spacing w:after="0"/>
              <w:rPr>
                <w:sz w:val="20"/>
                <w:szCs w:val="20"/>
                <w:color w:val="auto"/>
              </w:rPr>
            </w:pPr>
            <w:r>
              <w:rPr>
                <w:rFonts w:ascii="Arial" w:cs="Arial" w:eastAsia="Arial" w:hAnsi="Arial"/>
                <w:sz w:val="12"/>
                <w:szCs w:val="12"/>
                <w:b w:val="1"/>
                <w:bCs w:val="1"/>
                <w:color w:val="auto"/>
              </w:rPr>
              <w:t>FINANCIAL STATEMENTS AND SUPPLEMENTARY DATA</w:t>
            </w:r>
          </w:p>
        </w:tc>
        <w:tc>
          <w:tcPr>
            <w:tcW w:w="1480" w:type="dxa"/>
            <w:vAlign w:val="bottom"/>
          </w:tcPr>
          <w:p>
            <w:pPr>
              <w:spacing w:after="0"/>
              <w:rPr>
                <w:sz w:val="13"/>
                <w:szCs w:val="13"/>
                <w:color w:val="auto"/>
              </w:rPr>
            </w:pPr>
          </w:p>
        </w:tc>
      </w:tr>
      <w:tr>
        <w:trPr>
          <w:trHeight w:val="288"/>
        </w:trPr>
        <w:tc>
          <w:tcPr>
            <w:tcW w:w="660" w:type="dxa"/>
            <w:vAlign w:val="bottom"/>
          </w:tcPr>
          <w:p>
            <w:pPr>
              <w:spacing w:after="0"/>
              <w:rPr>
                <w:sz w:val="24"/>
                <w:szCs w:val="24"/>
                <w:color w:val="auto"/>
              </w:rPr>
            </w:pPr>
          </w:p>
        </w:tc>
        <w:tc>
          <w:tcPr>
            <w:tcW w:w="6820" w:type="dxa"/>
            <w:vAlign w:val="bottom"/>
          </w:tcPr>
          <w:p>
            <w:pPr>
              <w:jc w:val="center"/>
              <w:ind w:left="780"/>
              <w:spacing w:after="0"/>
              <w:rPr>
                <w:sz w:val="20"/>
                <w:szCs w:val="20"/>
                <w:color w:val="auto"/>
              </w:rPr>
            </w:pPr>
            <w:r>
              <w:rPr>
                <w:rFonts w:ascii="Arial" w:cs="Arial" w:eastAsia="Arial" w:hAnsi="Arial"/>
                <w:sz w:val="12"/>
                <w:szCs w:val="12"/>
                <w:b w:val="1"/>
                <w:bCs w:val="1"/>
                <w:color w:val="auto"/>
              </w:rPr>
              <w:t>EL POLLO LOCO HOLDINGS, INC. AND SUBSIDIARIES</w:t>
            </w:r>
          </w:p>
        </w:tc>
        <w:tc>
          <w:tcPr>
            <w:tcW w:w="1480" w:type="dxa"/>
            <w:vAlign w:val="bottom"/>
          </w:tcPr>
          <w:p>
            <w:pPr>
              <w:spacing w:after="0"/>
              <w:rPr>
                <w:sz w:val="24"/>
                <w:szCs w:val="24"/>
                <w:color w:val="auto"/>
              </w:rPr>
            </w:pPr>
          </w:p>
        </w:tc>
      </w:tr>
      <w:tr>
        <w:trPr>
          <w:trHeight w:val="288"/>
        </w:trPr>
        <w:tc>
          <w:tcPr>
            <w:tcW w:w="7480" w:type="dxa"/>
            <w:vAlign w:val="bottom"/>
            <w:gridSpan w:val="2"/>
          </w:tcPr>
          <w:p>
            <w:pPr>
              <w:spacing w:after="0"/>
              <w:rPr>
                <w:sz w:val="20"/>
                <w:szCs w:val="20"/>
                <w:color w:val="auto"/>
              </w:rPr>
            </w:pPr>
            <w:r>
              <w:rPr>
                <w:rFonts w:ascii="Arial" w:cs="Arial" w:eastAsia="Arial" w:hAnsi="Arial"/>
                <w:sz w:val="12"/>
                <w:szCs w:val="12"/>
                <w:b w:val="1"/>
                <w:bCs w:val="1"/>
                <w:color w:val="auto"/>
              </w:rPr>
              <w:t>INDEX TO THE CONSOLIDATED FINANCIAL STATEMENTS</w:t>
            </w:r>
          </w:p>
        </w:tc>
        <w:tc>
          <w:tcPr>
            <w:tcW w:w="1480" w:type="dxa"/>
            <w:vAlign w:val="bottom"/>
          </w:tcPr>
          <w:p>
            <w:pPr>
              <w:spacing w:after="0"/>
              <w:rPr>
                <w:sz w:val="24"/>
                <w:szCs w:val="24"/>
                <w:color w:val="auto"/>
              </w:rPr>
            </w:pPr>
          </w:p>
        </w:tc>
      </w:tr>
      <w:tr>
        <w:trPr>
          <w:trHeight w:val="279"/>
        </w:trPr>
        <w:tc>
          <w:tcPr>
            <w:tcW w:w="7480" w:type="dxa"/>
            <w:vAlign w:val="bottom"/>
            <w:gridSpan w:val="2"/>
          </w:tcPr>
          <w:p>
            <w:pPr>
              <w:ind w:left="40"/>
              <w:spacing w:after="0"/>
              <w:rPr>
                <w:sz w:val="20"/>
                <w:szCs w:val="20"/>
                <w:color w:val="auto"/>
              </w:rPr>
            </w:pPr>
            <w:r>
              <w:rPr>
                <w:rFonts w:ascii="Arial" w:cs="Arial" w:eastAsia="Arial" w:hAnsi="Arial"/>
                <w:sz w:val="12"/>
                <w:szCs w:val="12"/>
                <w:b w:val="1"/>
                <w:bCs w:val="1"/>
                <w:color w:val="auto"/>
              </w:rPr>
              <w:t>Audited Consolidated Financial Statements</w:t>
            </w:r>
          </w:p>
        </w:tc>
        <w:tc>
          <w:tcPr>
            <w:tcW w:w="1480" w:type="dxa"/>
            <w:vAlign w:val="bottom"/>
          </w:tcPr>
          <w:p>
            <w:pPr>
              <w:spacing w:after="0"/>
              <w:rPr>
                <w:sz w:val="24"/>
                <w:szCs w:val="24"/>
                <w:color w:val="auto"/>
              </w:rPr>
            </w:pPr>
          </w:p>
        </w:tc>
      </w:tr>
      <w:tr>
        <w:trPr>
          <w:trHeight w:val="144"/>
        </w:trPr>
        <w:tc>
          <w:tcPr>
            <w:tcW w:w="7480" w:type="dxa"/>
            <w:vAlign w:val="bottom"/>
            <w:gridSpan w:val="2"/>
          </w:tcPr>
          <w:p>
            <w:pPr>
              <w:ind w:left="40"/>
              <w:spacing w:after="0"/>
              <w:rPr>
                <w:rFonts w:ascii="Arial" w:cs="Arial" w:eastAsia="Arial" w:hAnsi="Arial"/>
                <w:sz w:val="12"/>
                <w:szCs w:val="12"/>
                <w:u w:val="single" w:color="auto"/>
                <w:color w:val="0000EE"/>
              </w:rPr>
            </w:pPr>
            <w:hyperlink w:anchor="page60">
              <w:r>
                <w:rPr>
                  <w:rFonts w:ascii="Arial" w:cs="Arial" w:eastAsia="Arial" w:hAnsi="Arial"/>
                  <w:sz w:val="12"/>
                  <w:szCs w:val="12"/>
                  <w:u w:val="single" w:color="auto"/>
                  <w:color w:val="0000EE"/>
                </w:rPr>
                <w:t>Report of Independent Registered Public Accounting Firm</w:t>
              </w:r>
            </w:hyperlink>
          </w:p>
        </w:tc>
        <w:tc>
          <w:tcPr>
            <w:tcW w:w="14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7480" w:type="dxa"/>
            <w:vAlign w:val="bottom"/>
            <w:gridSpan w:val="2"/>
          </w:tcPr>
          <w:p>
            <w:pPr>
              <w:ind w:left="40"/>
              <w:spacing w:after="0"/>
              <w:rPr>
                <w:rFonts w:ascii="Arial" w:cs="Arial" w:eastAsia="Arial" w:hAnsi="Arial"/>
                <w:sz w:val="12"/>
                <w:szCs w:val="12"/>
                <w:u w:val="single" w:color="auto"/>
                <w:color w:val="0000EE"/>
              </w:rPr>
            </w:pPr>
            <w:hyperlink w:anchor="page63">
              <w:r>
                <w:rPr>
                  <w:rFonts w:ascii="Arial" w:cs="Arial" w:eastAsia="Arial" w:hAnsi="Arial"/>
                  <w:sz w:val="12"/>
                  <w:szCs w:val="12"/>
                  <w:u w:val="single" w:color="auto"/>
                  <w:color w:val="0000EE"/>
                </w:rPr>
                <w:t>Consolidated Balance Sheets – December 30, 2020 and December 25, 2019</w:t>
              </w:r>
            </w:hyperlink>
          </w:p>
        </w:tc>
        <w:tc>
          <w:tcPr>
            <w:tcW w:w="14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53"/>
        </w:trPr>
        <w:tc>
          <w:tcPr>
            <w:tcW w:w="7480" w:type="dxa"/>
            <w:vAlign w:val="bottom"/>
            <w:gridSpan w:val="2"/>
          </w:tcPr>
          <w:p>
            <w:pPr>
              <w:ind w:left="40"/>
              <w:spacing w:after="0"/>
              <w:rPr>
                <w:rFonts w:ascii="Arial" w:cs="Arial" w:eastAsia="Arial" w:hAnsi="Arial"/>
                <w:sz w:val="12"/>
                <w:szCs w:val="12"/>
                <w:u w:val="single" w:color="auto"/>
                <w:color w:val="0000EE"/>
              </w:rPr>
            </w:pPr>
            <w:hyperlink w:anchor="page64">
              <w:r>
                <w:rPr>
                  <w:rFonts w:ascii="Arial" w:cs="Arial" w:eastAsia="Arial" w:hAnsi="Arial"/>
                  <w:sz w:val="12"/>
                  <w:szCs w:val="12"/>
                  <w:u w:val="single" w:color="auto"/>
                  <w:color w:val="0000EE"/>
                </w:rPr>
                <w:t>Consolidated Statements of Operations—For the years ended December 30, 2020, December 25, 2019, and December 26, 2018</w:t>
              </w:r>
            </w:hyperlink>
          </w:p>
        </w:tc>
        <w:tc>
          <w:tcPr>
            <w:tcW w:w="14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432"/>
        </w:trPr>
        <w:tc>
          <w:tcPr>
            <w:tcW w:w="660" w:type="dxa"/>
            <w:vAlign w:val="bottom"/>
          </w:tcPr>
          <w:p>
            <w:pPr>
              <w:spacing w:after="0"/>
              <w:rPr>
                <w:sz w:val="24"/>
                <w:szCs w:val="24"/>
                <w:color w:val="auto"/>
              </w:rPr>
            </w:pPr>
          </w:p>
        </w:tc>
        <w:tc>
          <w:tcPr>
            <w:tcW w:w="6820" w:type="dxa"/>
            <w:vAlign w:val="bottom"/>
          </w:tcPr>
          <w:p>
            <w:pPr>
              <w:jc w:val="right"/>
              <w:ind w:right="2880"/>
              <w:spacing w:after="0"/>
              <w:rPr>
                <w:sz w:val="20"/>
                <w:szCs w:val="20"/>
                <w:color w:val="auto"/>
              </w:rPr>
            </w:pPr>
            <w:r>
              <w:rPr>
                <w:rFonts w:ascii="Arial" w:cs="Arial" w:eastAsia="Arial" w:hAnsi="Arial"/>
                <w:sz w:val="12"/>
                <w:szCs w:val="12"/>
                <w:color w:val="auto"/>
              </w:rPr>
              <w:t>56</w:t>
            </w:r>
          </w:p>
        </w:tc>
        <w:tc>
          <w:tcPr>
            <w:tcW w:w="1480" w:type="dxa"/>
            <w:vAlign w:val="bottom"/>
          </w:tcPr>
          <w:p>
            <w:pPr>
              <w:spacing w:after="0"/>
              <w:rPr>
                <w:sz w:val="24"/>
                <w:szCs w:val="24"/>
                <w:color w:val="auto"/>
              </w:rPr>
            </w:pPr>
          </w:p>
        </w:tc>
      </w:tr>
      <w:tr>
        <w:trPr>
          <w:trHeight w:val="367"/>
        </w:trPr>
        <w:tc>
          <w:tcPr>
            <w:tcW w:w="6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58" w:name="page59"/>
    <w:bookmarkEnd w:id="5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8020" w:type="dxa"/>
            <w:vAlign w:val="bottom"/>
          </w:tcPr>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tc>
        <w:tc>
          <w:tcPr>
            <w:tcW w:w="940" w:type="dxa"/>
            <w:vAlign w:val="bottom"/>
          </w:tcPr>
          <w:p>
            <w:pPr>
              <w:spacing w:after="0"/>
              <w:rPr>
                <w:sz w:val="13"/>
                <w:szCs w:val="13"/>
                <w:color w:val="auto"/>
              </w:rPr>
            </w:pPr>
          </w:p>
        </w:tc>
      </w:tr>
      <w:tr>
        <w:trPr>
          <w:trHeight w:val="846"/>
        </w:trPr>
        <w:tc>
          <w:tcPr>
            <w:tcW w:w="8020" w:type="dxa"/>
            <w:vAlign w:val="bottom"/>
          </w:tcPr>
          <w:p>
            <w:pPr>
              <w:ind w:left="40"/>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Consolidated Statements of Comprehensive Income (Loss)—For the years ended December 30, 2020, December 25, 2019, and December 26, 2018</w:t>
              </w:r>
            </w:hyperlink>
          </w:p>
        </w:tc>
        <w:tc>
          <w:tcPr>
            <w:tcW w:w="9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8020" w:type="dxa"/>
            <w:vAlign w:val="bottom"/>
          </w:tcPr>
          <w:p>
            <w:pPr>
              <w:ind w:left="40"/>
              <w:spacing w:after="0"/>
              <w:rPr>
                <w:rFonts w:ascii="Arial" w:cs="Arial" w:eastAsia="Arial" w:hAnsi="Arial"/>
                <w:sz w:val="12"/>
                <w:szCs w:val="12"/>
                <w:u w:val="single" w:color="auto"/>
                <w:color w:val="0000EE"/>
                <w:w w:val="99"/>
              </w:rPr>
            </w:pPr>
            <w:hyperlink w:anchor="page66">
              <w:r>
                <w:rPr>
                  <w:rFonts w:ascii="Arial" w:cs="Arial" w:eastAsia="Arial" w:hAnsi="Arial"/>
                  <w:sz w:val="12"/>
                  <w:szCs w:val="12"/>
                  <w:u w:val="single" w:color="auto"/>
                  <w:color w:val="0000EE"/>
                  <w:w w:val="99"/>
                </w:rPr>
                <w:t>Consolidated Statements of Changes in Stockholders’ Equity—For the years ended December 30, 2020, December 25, 2019, and December 26, 2018</w:t>
              </w:r>
            </w:hyperlink>
          </w:p>
        </w:tc>
        <w:tc>
          <w:tcPr>
            <w:tcW w:w="9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8020" w:type="dxa"/>
            <w:vAlign w:val="bottom"/>
          </w:tcPr>
          <w:p>
            <w:pPr>
              <w:ind w:left="40"/>
              <w:spacing w:after="0"/>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Consolidated Statements of Cash Flows—For the years ended December 30, 2020, December 25, 2019, and December 26, 2018</w:t>
              </w:r>
            </w:hyperlink>
          </w:p>
        </w:tc>
        <w:tc>
          <w:tcPr>
            <w:tcW w:w="9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53"/>
        </w:trPr>
        <w:tc>
          <w:tcPr>
            <w:tcW w:w="8020" w:type="dxa"/>
            <w:vAlign w:val="bottom"/>
          </w:tcPr>
          <w:p>
            <w:pPr>
              <w:ind w:left="40"/>
              <w:spacing w:after="0"/>
              <w:rPr>
                <w:rFonts w:ascii="Arial" w:cs="Arial" w:eastAsia="Arial" w:hAnsi="Arial"/>
                <w:sz w:val="12"/>
                <w:szCs w:val="12"/>
                <w:u w:val="single" w:color="auto"/>
                <w:color w:val="0000EE"/>
              </w:rPr>
            </w:pPr>
            <w:hyperlink w:anchor="page69">
              <w:r>
                <w:rPr>
                  <w:rFonts w:ascii="Arial" w:cs="Arial" w:eastAsia="Arial" w:hAnsi="Arial"/>
                  <w:sz w:val="12"/>
                  <w:szCs w:val="12"/>
                  <w:u w:val="single" w:color="auto"/>
                  <w:color w:val="0000EE"/>
                </w:rPr>
                <w:t>Notes to Consolidated Financial Statements</w:t>
              </w:r>
            </w:hyperlink>
          </w:p>
        </w:tc>
        <w:tc>
          <w:tcPr>
            <w:tcW w:w="94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729"/>
        </w:trPr>
        <w:tc>
          <w:tcPr>
            <w:tcW w:w="8020" w:type="dxa"/>
            <w:vAlign w:val="bottom"/>
          </w:tcPr>
          <w:p>
            <w:pPr>
              <w:ind w:left="4420"/>
              <w:spacing w:after="0"/>
              <w:rPr>
                <w:sz w:val="20"/>
                <w:szCs w:val="20"/>
                <w:color w:val="auto"/>
              </w:rPr>
            </w:pPr>
            <w:r>
              <w:rPr>
                <w:rFonts w:ascii="Arial" w:cs="Arial" w:eastAsia="Arial" w:hAnsi="Arial"/>
                <w:sz w:val="12"/>
                <w:szCs w:val="12"/>
                <w:color w:val="auto"/>
              </w:rPr>
              <w:t>57</w:t>
            </w:r>
          </w:p>
        </w:tc>
        <w:tc>
          <w:tcPr>
            <w:tcW w:w="940" w:type="dxa"/>
            <w:vAlign w:val="bottom"/>
          </w:tcPr>
          <w:p>
            <w:pPr>
              <w:spacing w:after="0"/>
              <w:rPr>
                <w:sz w:val="24"/>
                <w:szCs w:val="24"/>
                <w:color w:val="auto"/>
              </w:rPr>
            </w:pPr>
          </w:p>
        </w:tc>
      </w:tr>
      <w:tr>
        <w:trPr>
          <w:trHeight w:val="367"/>
        </w:trPr>
        <w:tc>
          <w:tcPr>
            <w:tcW w:w="8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59" w:name="page60"/>
    <w:bookmarkEnd w:id="5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 Pollo Loco Holdings, Inc.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Costa Mesa, California</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Opinion on the Consolidated Financial Statements</w:t>
      </w:r>
    </w:p>
    <w:p>
      <w:pPr>
        <w:spacing w:after="0" w:line="154" w:lineRule="exact"/>
        <w:rPr>
          <w:sz w:val="20"/>
          <w:szCs w:val="20"/>
          <w:color w:val="auto"/>
        </w:rPr>
      </w:pPr>
    </w:p>
    <w:p>
      <w:pPr>
        <w:jc w:val="both"/>
        <w:ind w:left="20" w:right="39"/>
        <w:spacing w:after="0" w:line="256" w:lineRule="auto"/>
        <w:rPr>
          <w:sz w:val="20"/>
          <w:szCs w:val="20"/>
          <w:color w:val="auto"/>
        </w:rPr>
      </w:pPr>
      <w:r>
        <w:rPr>
          <w:rFonts w:ascii="Arial" w:cs="Arial" w:eastAsia="Arial" w:hAnsi="Arial"/>
          <w:sz w:val="12"/>
          <w:szCs w:val="12"/>
          <w:color w:val="auto"/>
        </w:rPr>
        <w:t>We have audited the accompanying consolidated balance sheets of El Pollo Loco Holdings, Inc. (the “Company”) as of December 30, 2020 and December 25, 2019, the related consolidated statements of operations and comprehensive income (loss), stockholders’ equity, and cash flows for each of the three years in the period ended December 30, 2020, and the related notes (collectively referred to as the “consolidated financial statements”). In our opinion, the consolidated financial statements present fairly, in all material respects, the financial position of the Company at December 30, 2020 and December 25, 2019, and the results of its operations and its cash flows for each of the three years in the period ended December 30, 2020, in conformity with accounting principles generally accepted in the United States of America.</w:t>
      </w:r>
    </w:p>
    <w:p>
      <w:pPr>
        <w:spacing w:after="0" w:line="128" w:lineRule="exact"/>
        <w:rPr>
          <w:sz w:val="20"/>
          <w:szCs w:val="20"/>
          <w:color w:val="auto"/>
        </w:rPr>
      </w:pPr>
    </w:p>
    <w:p>
      <w:pPr>
        <w:jc w:val="both"/>
        <w:ind w:left="20" w:right="39"/>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30, 2020, based on criteria established in Internal Control – Integrated Framework (2013) issued by the Committee of Sponsoring Organizations of the Treadway Commission (“COSO”) and our report dated March 15, 2021 expressed an unqualified opinion thereon.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 in Accounting Method Related to Leases</w:t>
      </w:r>
    </w:p>
    <w:p>
      <w:pPr>
        <w:spacing w:after="0" w:line="154" w:lineRule="exact"/>
        <w:rPr>
          <w:sz w:val="20"/>
          <w:szCs w:val="20"/>
          <w:color w:val="auto"/>
        </w:rPr>
      </w:pPr>
    </w:p>
    <w:p>
      <w:pPr>
        <w:jc w:val="both"/>
        <w:ind w:left="20" w:right="39"/>
        <w:spacing w:after="0" w:line="276" w:lineRule="auto"/>
        <w:rPr>
          <w:sz w:val="20"/>
          <w:szCs w:val="20"/>
          <w:color w:val="auto"/>
        </w:rPr>
      </w:pPr>
      <w:r>
        <w:rPr>
          <w:rFonts w:ascii="Arial" w:cs="Arial" w:eastAsia="Arial" w:hAnsi="Arial"/>
          <w:sz w:val="12"/>
          <w:szCs w:val="12"/>
          <w:color w:val="auto"/>
        </w:rPr>
        <w:t>As discussed in Notes 2 and 5 to the consolidated financial statements, the Company has changed its method of accounting for leases in 2019 due to the adoption of Accounting Standards Codification (“ASC”) 842 - Leases.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left="20" w:right="39"/>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left="20" w:right="39"/>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5" w:lineRule="exact"/>
        <w:rPr>
          <w:sz w:val="20"/>
          <w:szCs w:val="20"/>
          <w:color w:val="auto"/>
        </w:rPr>
      </w:pPr>
    </w:p>
    <w:p>
      <w:pPr>
        <w:jc w:val="both"/>
        <w:ind w:left="20" w:right="39"/>
        <w:spacing w:after="0" w:line="259"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Critical Audit Matters</w:t>
      </w:r>
    </w:p>
    <w:p>
      <w:pPr>
        <w:spacing w:after="0" w:line="154" w:lineRule="exact"/>
        <w:rPr>
          <w:sz w:val="20"/>
          <w:szCs w:val="20"/>
          <w:color w:val="auto"/>
        </w:rPr>
      </w:pPr>
    </w:p>
    <w:p>
      <w:pPr>
        <w:jc w:val="both"/>
        <w:ind w:left="20" w:right="39"/>
        <w:spacing w:after="0" w:line="289" w:lineRule="auto"/>
        <w:rPr>
          <w:sz w:val="20"/>
          <w:szCs w:val="20"/>
          <w:color w:val="auto"/>
        </w:rPr>
      </w:pPr>
      <w:r>
        <w:rPr>
          <w:rFonts w:ascii="Arial" w:cs="Arial" w:eastAsia="Arial" w:hAnsi="Arial"/>
          <w:sz w:val="11"/>
          <w:szCs w:val="1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0" w:name="page61"/>
    <w:bookmarkEnd w:id="6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Impairment of Restaurant Property and Equipment</w:t>
      </w:r>
    </w:p>
    <w:p>
      <w:pPr>
        <w:spacing w:after="0" w:line="150" w:lineRule="exact"/>
        <w:rPr>
          <w:sz w:val="20"/>
          <w:szCs w:val="20"/>
          <w:color w:val="auto"/>
        </w:rPr>
      </w:pPr>
    </w:p>
    <w:p>
      <w:pPr>
        <w:jc w:val="both"/>
        <w:ind w:left="20" w:right="39"/>
        <w:spacing w:after="0" w:line="255" w:lineRule="auto"/>
        <w:rPr>
          <w:sz w:val="20"/>
          <w:szCs w:val="20"/>
          <w:color w:val="auto"/>
        </w:rPr>
      </w:pPr>
      <w:r>
        <w:rPr>
          <w:rFonts w:ascii="Arial" w:cs="Arial" w:eastAsia="Arial" w:hAnsi="Arial"/>
          <w:sz w:val="12"/>
          <w:szCs w:val="12"/>
          <w:color w:val="auto"/>
        </w:rPr>
        <w:t>As discussed in Notes 2 and 3 to the consolidated financial statements, the Company reviews its long-lived assets related to restaurants held and used in the business, including property and equipment, for impairment whenever events or changes in circumstances indicate that the carrying value may not be recoverable. For certain restaurants, indicators of impairment of the related property and equipment were present. As such, for these restaurants, management compared the projected undiscounted cash flow to the carrying value, concluding that their carrying values were not recoverable. To determine the loss for impairment, the Company was required to estimate the fair value of certain restaurants. Total property and equipment, net of accumulated depreciation was $79.6 million as of December 30, 2020. For the year ended December 30, 2020, the Company recorded an impairment loss of $3.0 million on restaurant property and equipment.</w:t>
      </w:r>
    </w:p>
    <w:p>
      <w:pPr>
        <w:spacing w:after="0" w:line="128" w:lineRule="exact"/>
        <w:rPr>
          <w:sz w:val="20"/>
          <w:szCs w:val="20"/>
          <w:color w:val="auto"/>
        </w:rPr>
      </w:pPr>
    </w:p>
    <w:p>
      <w:pPr>
        <w:jc w:val="both"/>
        <w:ind w:left="20" w:right="39"/>
        <w:spacing w:after="0" w:line="256" w:lineRule="auto"/>
        <w:rPr>
          <w:sz w:val="20"/>
          <w:szCs w:val="20"/>
          <w:color w:val="auto"/>
        </w:rPr>
      </w:pPr>
      <w:r>
        <w:rPr>
          <w:rFonts w:ascii="Arial" w:cs="Arial" w:eastAsia="Arial" w:hAnsi="Arial"/>
          <w:sz w:val="12"/>
          <w:szCs w:val="12"/>
          <w:color w:val="auto"/>
        </w:rPr>
        <w:t>We identified the Company’s evaluation of impairment of restaurant property and equipment as a critical audit matter. The undiscounted future cash flows used in the Company's restaurant property and equipment impairment analysis requires management to develop estimates and assumptions about future revenue transaction growth rates, pricing changes, and restaurant operating margins, which are made more uncertain by the significant and evolving impact of COVID-19 on the Company’s business. For those restaurants where the carrying value of the related property and equipment were not deemed recoverable, management estimated the fair value of the assets. Auditing these significant judgments and assumptions involved especially challenging auditor judgment and increased effort in performing procedures.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primary procedures we performed to address this critical audit matter included:</w:t>
      </w:r>
    </w:p>
    <w:p>
      <w:pPr>
        <w:spacing w:after="0" w:line="150" w:lineRule="exact"/>
        <w:rPr>
          <w:sz w:val="20"/>
          <w:szCs w:val="20"/>
          <w:color w:val="auto"/>
        </w:rPr>
      </w:pPr>
    </w:p>
    <w:p>
      <w:pPr>
        <w:ind w:left="480" w:right="39" w:hanging="224"/>
        <w:spacing w:after="0" w:line="258"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Evaluating the completeness and accuracy of data used in the projected undiscounted cash flow models, including recalculating the projected undiscounted cash flows for selected restaurants.</w:t>
      </w:r>
    </w:p>
    <w:p>
      <w:pPr>
        <w:jc w:val="both"/>
        <w:ind w:left="480" w:right="39" w:hanging="224"/>
        <w:spacing w:after="0" w:line="250"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Evaluating the reasonableness of management’s assumptions over the future revenue transaction growth rates, pricing changes, and restaurant operating margin assumptions for select restaurants by (i) comparing them to historical information for both company-owned and franchised restaurants in the same market, (ii) comparing them to recent trends by restaurant, considering the changes in the Company’s business model and uncertainties related to the COVID-19 pandemic, and (iii) comparing them to restaurant industry revenue growth rates based on market data to determine if contradictory evidence existed.</w:t>
      </w:r>
    </w:p>
    <w:p>
      <w:pPr>
        <w:spacing w:after="0" w:line="1" w:lineRule="exact"/>
        <w:rPr>
          <w:rFonts w:ascii="Arial" w:cs="Arial" w:eastAsia="Arial" w:hAnsi="Arial"/>
          <w:sz w:val="12"/>
          <w:szCs w:val="12"/>
          <w:color w:val="auto"/>
        </w:rPr>
      </w:pPr>
    </w:p>
    <w:p>
      <w:pPr>
        <w:ind w:left="480" w:right="39" w:hanging="224"/>
        <w:spacing w:after="0" w:line="260"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Evaluating the reasonableness of management’s estimate of the fair value of the assets by comparing the market participant assumptions, including the discount rate applied to the estimated cash flows, to current market data and industry information on the recovery outlook for the restaurant industry.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Impairment of Right of Use Assets for Closed Restaurant Locations</w:t>
      </w:r>
    </w:p>
    <w:p>
      <w:pPr>
        <w:spacing w:after="0" w:line="150" w:lineRule="exact"/>
        <w:rPr>
          <w:sz w:val="20"/>
          <w:szCs w:val="20"/>
          <w:color w:val="auto"/>
        </w:rPr>
      </w:pPr>
    </w:p>
    <w:p>
      <w:pPr>
        <w:jc w:val="both"/>
        <w:ind w:left="20" w:right="39"/>
        <w:spacing w:after="0" w:line="254" w:lineRule="auto"/>
        <w:rPr>
          <w:sz w:val="20"/>
          <w:szCs w:val="20"/>
          <w:color w:val="auto"/>
        </w:rPr>
      </w:pPr>
      <w:r>
        <w:rPr>
          <w:rFonts w:ascii="Arial" w:cs="Arial" w:eastAsia="Arial" w:hAnsi="Arial"/>
          <w:sz w:val="12"/>
          <w:szCs w:val="12"/>
          <w:color w:val="auto"/>
        </w:rPr>
        <w:t>As discussed in Notes 2 and 5 to the consolidated financial statements, the Company reviews its long-lived assets related to restaurants held and used in the business, including right of use (“ROU”) assets, for impairment whenever events or changes in circumstances indicate that the carrying value may not be recoverable, for example, if the leased location has been closed or subleased and future estimated sublease income is less than current lease payments. For some leases, indicators of impairment of operating lease ROU assets were present. As such, for these leases, management compared the projected undiscounted cash flow models to the respective carrying values, concluding that the carrying values were not recoverable. This required the Company to estimate the fair value of the ROU assets for these leases in order to measure the amount of impairment expense. Total operating lease ROU assets, net related to closed or subleased restaurant locations was $27.7 million as of December 30, 2020. For the year ended December 30, 2020, the Company has recorded an impairment loss of $0.5 million on operating lease ROU assets.</w:t>
      </w:r>
    </w:p>
    <w:p>
      <w:pPr>
        <w:spacing w:after="0" w:line="130" w:lineRule="exact"/>
        <w:rPr>
          <w:sz w:val="20"/>
          <w:szCs w:val="20"/>
          <w:color w:val="auto"/>
        </w:rPr>
      </w:pPr>
    </w:p>
    <w:p>
      <w:pPr>
        <w:jc w:val="both"/>
        <w:ind w:left="20" w:right="39"/>
        <w:spacing w:after="0" w:line="259" w:lineRule="auto"/>
        <w:rPr>
          <w:sz w:val="20"/>
          <w:szCs w:val="20"/>
          <w:color w:val="auto"/>
        </w:rPr>
      </w:pPr>
      <w:r>
        <w:rPr>
          <w:rFonts w:ascii="Arial" w:cs="Arial" w:eastAsia="Arial" w:hAnsi="Arial"/>
          <w:sz w:val="12"/>
          <w:szCs w:val="12"/>
          <w:color w:val="auto"/>
        </w:rPr>
        <w:t>We identified the Company’s evaluation of impairment of ROU assets for closed restaurant locations as a critical audit matter. The projected undiscounted cash flow models used in the Company's operating lease ROU asset impairment analysis for closed restaurant locations requires management to make subjective estimates and assumptions about the current market lease-up period and sublease rental rates. Auditing these significant judgments and assumptions involved especially challenging auditor judgment and increased effort in performing procedures, including the involvement of individuals with specialized skills and knowledge.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primary procedures we performed to address this critical audit matter included: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1" w:name="page62"/>
    <w:bookmarkEnd w:id="6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right="39" w:hanging="224"/>
        <w:spacing w:after="0" w:line="258"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Evaluating the completeness and accuracy of data used in the projected undiscounted cash flow models (i.e. the lease-up period and future sublease income), including recalculating the projected undiscounted cash flows for closed restaurant locations.</w:t>
      </w:r>
    </w:p>
    <w:p>
      <w:pPr>
        <w:ind w:left="480" w:right="39" w:hanging="224"/>
        <w:spacing w:after="0" w:line="273" w:lineRule="auto"/>
        <w:tabs>
          <w:tab w:leader="none" w:pos="4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Evaluating the reasonableness of Management’s assumptions about current market conditions such as the lease-up period and sublease rental rates by (i) comparing them to comparable properties and available market data, and (ii) evidence obtained in the audit to consider whether new or contradictory information existed.</w:t>
      </w:r>
    </w:p>
    <w:p>
      <w:pPr>
        <w:ind w:left="480" w:right="39" w:hanging="224"/>
        <w:spacing w:after="0" w:line="260"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Utilizing personnel with specialized knowledge and skill in valuation to assess the reasonableness of the lease-up period and market assumptions by independently developing an expectation using publicly available market data and industry trends.</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have served as the Company’s auditor since 2011.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Costa Mesa, California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March 15, 2021</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2" w:name="page63"/>
    <w:bookmarkEnd w:id="6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data)</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December 30,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246"/>
              <w:spacing w:after="0"/>
              <w:rPr>
                <w:sz w:val="20"/>
                <w:szCs w:val="20"/>
                <w:color w:val="auto"/>
              </w:rPr>
            </w:pPr>
            <w:r>
              <w:rPr>
                <w:rFonts w:ascii="Arial" w:cs="Arial" w:eastAsia="Arial" w:hAnsi="Arial"/>
                <w:sz w:val="10"/>
                <w:szCs w:val="10"/>
                <w:b w:val="1"/>
                <w:bCs w:val="1"/>
                <w:color w:val="auto"/>
              </w:rPr>
              <w:t>December 25,</w:t>
            </w:r>
          </w:p>
        </w:tc>
      </w:tr>
      <w:tr>
        <w:trPr>
          <w:trHeight w:val="113"/>
        </w:trPr>
        <w:tc>
          <w:tcPr>
            <w:tcW w:w="6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26"/>
              <w:spacing w:after="0" w:line="114"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26"/>
              <w:spacing w:after="0" w:line="114" w:lineRule="exact"/>
              <w:rPr>
                <w:sz w:val="20"/>
                <w:szCs w:val="20"/>
                <w:color w:val="auto"/>
              </w:rPr>
            </w:pPr>
            <w:r>
              <w:rPr>
                <w:rFonts w:ascii="Arial" w:cs="Arial" w:eastAsia="Arial" w:hAnsi="Arial"/>
                <w:sz w:val="10"/>
                <w:szCs w:val="10"/>
                <w:b w:val="1"/>
                <w:bCs w:val="1"/>
                <w:color w:val="auto"/>
              </w:rPr>
              <w:t>2019</w:t>
            </w:r>
          </w:p>
        </w:tc>
      </w:tr>
      <w:tr>
        <w:trPr>
          <w:trHeight w:val="124"/>
        </w:trPr>
        <w:tc>
          <w:tcPr>
            <w:tcW w:w="62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620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13,219</w:t>
            </w: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9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8,070</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Accounts and other receivables, 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9,963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8,505</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2,009</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3,865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5,718</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Income tax receivable</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376</w:t>
            </w:r>
          </w:p>
        </w:tc>
      </w:tr>
      <w:tr>
        <w:trPr>
          <w:trHeight w:val="124"/>
        </w:trPr>
        <w:tc>
          <w:tcPr>
            <w:tcW w:w="6200" w:type="dxa"/>
            <w:vAlign w:val="bottom"/>
          </w:tcPr>
          <w:p>
            <w:pPr>
              <w:spacing w:after="0" w:line="121" w:lineRule="exact"/>
              <w:rPr>
                <w:sz w:val="20"/>
                <w:szCs w:val="20"/>
                <w:color w:val="auto"/>
              </w:rPr>
            </w:pPr>
            <w:r>
              <w:rPr>
                <w:rFonts w:ascii="Arial" w:cs="Arial" w:eastAsia="Arial" w:hAnsi="Arial"/>
                <w:sz w:val="11"/>
                <w:szCs w:val="11"/>
                <w:b w:val="1"/>
                <w:bCs w:val="1"/>
                <w:color w:val="auto"/>
              </w:rPr>
              <w:t>Total current assets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1"/>
                <w:szCs w:val="11"/>
                <w:color w:val="auto"/>
              </w:rPr>
              <w:t>31,669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Arial" w:cs="Arial" w:eastAsia="Arial" w:hAnsi="Arial"/>
                <w:sz w:val="11"/>
                <w:szCs w:val="11"/>
                <w:color w:val="auto"/>
              </w:rPr>
              <w:t>24,678</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79,642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91,778</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Property and equipment held under finance lease, 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held under operating leases, net ("ROU asset")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177,129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192,395</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248,674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248,674</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Trademarks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61,888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61,888</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Deferred tax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3,166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3,709</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1,630</w:t>
            </w:r>
          </w:p>
        </w:tc>
      </w:tr>
      <w:tr>
        <w:trPr>
          <w:trHeight w:val="131"/>
        </w:trPr>
        <w:tc>
          <w:tcPr>
            <w:tcW w:w="6200" w:type="dxa"/>
            <w:vAlign w:val="bottom"/>
            <w:tcBorders>
              <w:bottom w:val="single" w:sz="8" w:color="CCEEFF"/>
            </w:tcBorders>
          </w:tcPr>
          <w:p>
            <w:pPr>
              <w:spacing w:after="0" w:line="124" w:lineRule="exact"/>
              <w:rPr>
                <w:sz w:val="20"/>
                <w:szCs w:val="20"/>
                <w:color w:val="auto"/>
              </w:rPr>
            </w:pPr>
            <w:r>
              <w:rPr>
                <w:rFonts w:ascii="Arial" w:cs="Arial" w:eastAsia="Arial" w:hAnsi="Arial"/>
                <w:sz w:val="11"/>
                <w:szCs w:val="11"/>
                <w:b w:val="1"/>
                <w:bCs w:val="1"/>
                <w:color w:val="auto"/>
              </w:rPr>
              <w:t>Total assets</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605,221</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624,752</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5"/>
        </w:trPr>
        <w:tc>
          <w:tcPr>
            <w:tcW w:w="620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Current portion of obligations under finance leases</w:t>
            </w:r>
          </w:p>
        </w:tc>
        <w:tc>
          <w:tcPr>
            <w:tcW w:w="380" w:type="dxa"/>
            <w:vAlign w:val="bottom"/>
            <w:gridSpan w:val="2"/>
            <w:shd w:val="clear" w:color="auto" w:fill="CCEEFF"/>
          </w:tcPr>
          <w:p>
            <w:pPr>
              <w:jc w:val="right"/>
              <w:ind w:right="71"/>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93"/>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Current portion of obligations under operating leases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19,907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16,406</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5,627</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Accrued salaries and vacation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10,166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8,618</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Accrued insurance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9,440</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Accrued interest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302</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Current portion of income tax receivable agreement payable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4,935</w:t>
            </w:r>
          </w:p>
        </w:tc>
      </w:tr>
      <w:tr>
        <w:trPr>
          <w:trHeight w:val="135"/>
        </w:trPr>
        <w:tc>
          <w:tcPr>
            <w:tcW w:w="62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accrued expenses and current liabilities</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16,715</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28,597</w:t>
            </w:r>
          </w:p>
        </w:tc>
      </w:tr>
      <w:tr>
        <w:trPr>
          <w:trHeight w:val="124"/>
        </w:trPr>
        <w:tc>
          <w:tcPr>
            <w:tcW w:w="62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Total current liabilities</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66,412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73,959</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Revolver loan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62,800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97,000</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Obligations under finance leases, net of current portion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Obligations under operating leases, net of current portion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178,658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197,492</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Deferred taxes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1,672</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Income tax receivable agreement payable, net of current portion</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1,562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3,301</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Other noncurrent liabilities</w:t>
            </w: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5,679</w:t>
            </w:r>
          </w:p>
        </w:tc>
      </w:tr>
      <w:tr>
        <w:trPr>
          <w:trHeight w:val="124"/>
        </w:trPr>
        <w:tc>
          <w:tcPr>
            <w:tcW w:w="620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b w:val="1"/>
                <w:bCs w:val="1"/>
                <w:color w:val="auto"/>
              </w:rPr>
              <w:t>Total liabilities</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327,643</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379,186</w:t>
            </w:r>
          </w:p>
        </w:tc>
      </w:tr>
      <w:tr>
        <w:trPr>
          <w:trHeight w:val="124"/>
        </w:trPr>
        <w:tc>
          <w:tcPr>
            <w:tcW w:w="62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Commitments and contingencies (Note 13)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620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$0.01 par value, 100,000,000 shares authorized; none issued or outstanding</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0"/>
        </w:trPr>
        <w:tc>
          <w:tcPr>
            <w:tcW w:w="6200" w:type="dxa"/>
            <w:vAlign w:val="bottom"/>
          </w:tcPr>
          <w:p>
            <w:pPr>
              <w:spacing w:after="0"/>
              <w:rPr>
                <w:sz w:val="20"/>
                <w:szCs w:val="20"/>
                <w:color w:val="auto"/>
              </w:rPr>
            </w:pPr>
            <w:r>
              <w:rPr>
                <w:rFonts w:ascii="Arial" w:cs="Arial" w:eastAsia="Arial" w:hAnsi="Arial"/>
                <w:sz w:val="11"/>
                <w:szCs w:val="11"/>
                <w:color w:val="auto"/>
                <w:w w:val="89"/>
              </w:rPr>
              <w:t>Common stock, $0.01 par value, 200,000,000 shares authorized; 36,423,505 and 35,126,582 shares issued and outstanding as of December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6"/>
        </w:trPr>
        <w:tc>
          <w:tcPr>
            <w:tcW w:w="6200" w:type="dxa"/>
            <w:vAlign w:val="bottom"/>
          </w:tcPr>
          <w:p>
            <w:pPr>
              <w:spacing w:after="0"/>
              <w:rPr>
                <w:sz w:val="20"/>
                <w:szCs w:val="20"/>
                <w:color w:val="auto"/>
              </w:rPr>
            </w:pPr>
            <w:r>
              <w:rPr>
                <w:rFonts w:ascii="Arial" w:cs="Arial" w:eastAsia="Arial" w:hAnsi="Arial"/>
                <w:sz w:val="11"/>
                <w:szCs w:val="11"/>
                <w:color w:val="auto"/>
              </w:rPr>
              <w:t>30, 2020 and December 25, 2019, respectively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364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351</w:t>
            </w:r>
          </w:p>
        </w:tc>
      </w:tr>
      <w:tr>
        <w:trPr>
          <w:trHeight w:val="139"/>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paid-in-capital</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339,561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330,950</w:t>
            </w:r>
          </w:p>
        </w:tc>
      </w:tr>
      <w:tr>
        <w:trPr>
          <w:trHeight w:val="135"/>
        </w:trPr>
        <w:tc>
          <w:tcPr>
            <w:tcW w:w="6200" w:type="dxa"/>
            <w:vAlign w:val="bottom"/>
          </w:tcPr>
          <w:p>
            <w:pPr>
              <w:spacing w:after="0"/>
              <w:rPr>
                <w:sz w:val="20"/>
                <w:szCs w:val="20"/>
                <w:color w:val="auto"/>
              </w:rPr>
            </w:pPr>
            <w:r>
              <w:rPr>
                <w:rFonts w:ascii="Arial" w:cs="Arial" w:eastAsia="Arial" w:hAnsi="Arial"/>
                <w:sz w:val="11"/>
                <w:szCs w:val="11"/>
                <w:color w:val="auto"/>
              </w:rPr>
              <w:t>Accumulated deficit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(61,514)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(85,988)</w:t>
            </w:r>
          </w:p>
        </w:tc>
      </w:tr>
      <w:tr>
        <w:trPr>
          <w:trHeight w:val="135"/>
        </w:trPr>
        <w:tc>
          <w:tcPr>
            <w:tcW w:w="620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(833)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r>
      <w:tr>
        <w:trPr>
          <w:trHeight w:val="124"/>
        </w:trPr>
        <w:tc>
          <w:tcPr>
            <w:tcW w:w="620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b w:val="1"/>
                <w:bCs w:val="1"/>
                <w:color w:val="auto"/>
              </w:rPr>
              <w:t>Total stockholders’ equity</w:t>
            </w:r>
          </w:p>
        </w:tc>
        <w:tc>
          <w:tcPr>
            <w:tcW w:w="2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277,578</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245,566</w:t>
            </w:r>
          </w:p>
        </w:tc>
      </w:tr>
      <w:tr>
        <w:trPr>
          <w:trHeight w:val="131"/>
        </w:trPr>
        <w:tc>
          <w:tcPr>
            <w:tcW w:w="620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Total liabilities and stockholders’ equity</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605,221</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624,752</w:t>
            </w:r>
          </w:p>
        </w:tc>
      </w:tr>
    </w:tbl>
    <w:p>
      <w:pPr>
        <w:jc w:val="center"/>
        <w:ind w:right="19"/>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3" w:name="page64"/>
    <w:bookmarkEnd w:id="6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data)</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w w:val="88"/>
              </w:rPr>
              <w:t>For the Fiscal Years Ended</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tcPr>
          <w:p>
            <w:pPr>
              <w:jc w:val="right"/>
              <w:ind w:right="280"/>
              <w:spacing w:after="0" w:line="88" w:lineRule="exact"/>
              <w:rPr>
                <w:sz w:val="20"/>
                <w:szCs w:val="20"/>
                <w:color w:val="auto"/>
              </w:rPr>
            </w:pPr>
            <w:r>
              <w:rPr>
                <w:rFonts w:ascii="Arial" w:cs="Arial" w:eastAsia="Arial" w:hAnsi="Arial"/>
                <w:sz w:val="10"/>
                <w:szCs w:val="10"/>
                <w:b w:val="1"/>
                <w:bCs w:val="1"/>
                <w:color w:val="auto"/>
                <w:w w:val="93"/>
              </w:rPr>
              <w:t>December 30, 2020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tcPr>
          <w:p>
            <w:pPr>
              <w:jc w:val="right"/>
              <w:ind w:right="300"/>
              <w:spacing w:after="0" w:line="88" w:lineRule="exact"/>
              <w:rPr>
                <w:sz w:val="20"/>
                <w:szCs w:val="20"/>
                <w:color w:val="auto"/>
              </w:rPr>
            </w:pPr>
            <w:r>
              <w:rPr>
                <w:rFonts w:ascii="Arial" w:cs="Arial" w:eastAsia="Arial" w:hAnsi="Arial"/>
                <w:sz w:val="10"/>
                <w:szCs w:val="10"/>
                <w:b w:val="1"/>
                <w:bCs w:val="1"/>
                <w:color w:val="auto"/>
                <w:w w:val="93"/>
              </w:rPr>
              <w:t>December 25, 2019</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jc w:val="right"/>
              <w:ind w:right="140"/>
              <w:spacing w:after="0" w:line="88" w:lineRule="exact"/>
              <w:rPr>
                <w:sz w:val="20"/>
                <w:szCs w:val="20"/>
                <w:color w:val="auto"/>
              </w:rPr>
            </w:pPr>
            <w:r>
              <w:rPr>
                <w:rFonts w:ascii="Arial" w:cs="Arial" w:eastAsia="Arial" w:hAnsi="Arial"/>
                <w:sz w:val="10"/>
                <w:szCs w:val="10"/>
                <w:b w:val="1"/>
                <w:bCs w:val="1"/>
                <w:color w:val="auto"/>
                <w:w w:val="93"/>
              </w:rPr>
              <w:t>December 26, 2018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Company-operated restaurant revenue</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374,064</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391,112</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388,835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Franchise revenue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29,418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28,819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Franchise advertising fee revenue</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revenue</w:t>
            </w:r>
          </w:p>
        </w:tc>
        <w:tc>
          <w:tcPr>
            <w:tcW w:w="5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426,087</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442,330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435,828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Cost of operations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Food and paper cost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98,774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109,264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111,142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Labor and related expenses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114,455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Occupancy and other operating expenses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92,422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92,005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91,385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Gain on recovery of insurance proceeds, lost profits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2"/>
                <w:szCs w:val="12"/>
                <w:b w:val="1"/>
                <w:bCs w:val="1"/>
                <w:color w:val="auto"/>
              </w:rPr>
              <w:t>Company restaurant expenses</w:t>
            </w:r>
          </w:p>
        </w:tc>
        <w:tc>
          <w:tcPr>
            <w:tcW w:w="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303,651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317,972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314,944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Legal settlements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Franchise expenses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16,878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17,855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Loss on disposal of assets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Recovery of securities lawsuits related legal expenses and other insurance claims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Impairment and closed-store reserves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Loss on disposition of restaurants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expenses</w:t>
            </w: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392,531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404,004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445,289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tcPr>
          <w:p>
            <w:pPr>
              <w:spacing w:after="0" w:line="133" w:lineRule="exact"/>
              <w:rPr>
                <w:sz w:val="20"/>
                <w:szCs w:val="20"/>
                <w:color w:val="auto"/>
              </w:rPr>
            </w:pPr>
            <w:r>
              <w:rPr>
                <w:rFonts w:ascii="Arial" w:cs="Arial" w:eastAsia="Arial" w:hAnsi="Arial"/>
                <w:sz w:val="12"/>
                <w:szCs w:val="12"/>
                <w:b w:val="1"/>
                <w:bCs w:val="1"/>
                <w:color w:val="auto"/>
              </w:rPr>
              <w:t>Income (loss) from operations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33,556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38,326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(9,461)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receivable agreement expense (income)</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Income (loss) before provision (benefit) for income taxes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30,125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34,582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Provision (benefit) for income taxes</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9,682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income (loss)</w:t>
            </w: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24,474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24,900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4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Net income (loss) per share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7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Diluted</w:t>
            </w:r>
          </w:p>
        </w:tc>
        <w:tc>
          <w:tcPr>
            <w:tcW w:w="70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0.68</w:t>
            </w:r>
          </w:p>
        </w:tc>
        <w:tc>
          <w:tcPr>
            <w:tcW w:w="80" w:type="dxa"/>
            <w:vAlign w:val="bottom"/>
          </w:tcPr>
          <w:p>
            <w:pPr>
              <w:spacing w:after="0"/>
              <w:rPr>
                <w:sz w:val="12"/>
                <w:szCs w:val="12"/>
                <w:color w:val="auto"/>
              </w:rPr>
            </w:pPr>
          </w:p>
        </w:tc>
        <w:tc>
          <w:tcPr>
            <w:tcW w:w="2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0.67</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shares used in computing net income (loss) per share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Basic</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35,193,325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36,739,209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35,796,406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37,441,503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4" w:name="page65"/>
    <w:bookmarkEnd w:id="6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85"/>
              </w:rPr>
              <w:t>For the Fiscal Years Ended</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74"/>
        </w:trPr>
        <w:tc>
          <w:tcPr>
            <w:tcW w:w="4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December 30,</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tcPr>
          <w:p>
            <w:pPr>
              <w:jc w:val="center"/>
              <w:ind w:right="360"/>
              <w:spacing w:after="0" w:line="74" w:lineRule="exact"/>
              <w:rPr>
                <w:sz w:val="20"/>
                <w:szCs w:val="20"/>
                <w:color w:val="auto"/>
              </w:rPr>
            </w:pPr>
            <w:r>
              <w:rPr>
                <w:rFonts w:ascii="Arial" w:cs="Arial" w:eastAsia="Arial" w:hAnsi="Arial"/>
                <w:sz w:val="8"/>
                <w:szCs w:val="8"/>
                <w:b w:val="1"/>
                <w:bCs w:val="1"/>
                <w:color w:val="auto"/>
              </w:rPr>
              <w:t>December 25,</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jc w:val="right"/>
              <w:ind w:right="164"/>
              <w:spacing w:after="0" w:line="74" w:lineRule="exact"/>
              <w:rPr>
                <w:sz w:val="20"/>
                <w:szCs w:val="20"/>
                <w:color w:val="auto"/>
              </w:rPr>
            </w:pPr>
            <w:r>
              <w:rPr>
                <w:rFonts w:ascii="Arial" w:cs="Arial" w:eastAsia="Arial" w:hAnsi="Arial"/>
                <w:sz w:val="8"/>
                <w:szCs w:val="8"/>
                <w:b w:val="1"/>
                <w:bCs w:val="1"/>
                <w:color w:val="auto"/>
              </w:rPr>
              <w:t>December 26,</w:t>
            </w:r>
          </w:p>
        </w:tc>
        <w:tc>
          <w:tcPr>
            <w:tcW w:w="20" w:type="dxa"/>
            <w:vAlign w:val="bottom"/>
          </w:tcPr>
          <w:p>
            <w:pPr>
              <w:spacing w:after="0"/>
              <w:rPr>
                <w:sz w:val="6"/>
                <w:szCs w:val="6"/>
                <w:color w:val="auto"/>
              </w:rPr>
            </w:pPr>
          </w:p>
        </w:tc>
      </w:tr>
      <w:tr>
        <w:trPr>
          <w:trHeight w:val="113"/>
        </w:trPr>
        <w:tc>
          <w:tcPr>
            <w:tcW w:w="470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4"/>
              <w:spacing w:after="0" w:line="114" w:lineRule="exact"/>
              <w:rPr>
                <w:sz w:val="20"/>
                <w:szCs w:val="20"/>
                <w:color w:val="auto"/>
              </w:rPr>
            </w:pPr>
            <w:r>
              <w:rPr>
                <w:rFonts w:ascii="Arial" w:cs="Arial" w:eastAsia="Arial" w:hAnsi="Arial"/>
                <w:sz w:val="10"/>
                <w:szCs w:val="10"/>
                <w:b w:val="1"/>
                <w:bCs w:val="1"/>
                <w:color w:val="auto"/>
                <w:w w:val="89"/>
              </w:rPr>
              <w:t>2019</w:t>
            </w:r>
          </w:p>
        </w:tc>
        <w:tc>
          <w:tcPr>
            <w:tcW w:w="2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9"/>
                <w:szCs w:val="9"/>
                <w:color w:val="auto"/>
              </w:rPr>
            </w:pPr>
          </w:p>
        </w:tc>
      </w:tr>
      <w:tr>
        <w:trPr>
          <w:trHeight w:val="133"/>
        </w:trPr>
        <w:tc>
          <w:tcPr>
            <w:tcW w:w="4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24,474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24,900</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(8,994)</w:t>
            </w:r>
          </w:p>
        </w:tc>
        <w:tc>
          <w:tcPr>
            <w:tcW w:w="20" w:type="dxa"/>
            <w:vAlign w:val="bottom"/>
          </w:tcPr>
          <w:p>
            <w:pPr>
              <w:spacing w:after="0"/>
              <w:rPr>
                <w:sz w:val="11"/>
                <w:szCs w:val="11"/>
                <w:color w:val="auto"/>
              </w:rPr>
            </w:pPr>
          </w:p>
        </w:tc>
      </w:tr>
      <w:tr>
        <w:trPr>
          <w:trHeight w:val="144"/>
        </w:trPr>
        <w:tc>
          <w:tcPr>
            <w:tcW w:w="4700" w:type="dxa"/>
            <w:vAlign w:val="bottom"/>
          </w:tcPr>
          <w:p>
            <w:pPr>
              <w:spacing w:after="0"/>
              <w:rPr>
                <w:sz w:val="20"/>
                <w:szCs w:val="20"/>
                <w:color w:val="auto"/>
              </w:rPr>
            </w:pPr>
            <w:r>
              <w:rPr>
                <w:rFonts w:ascii="Arial" w:cs="Arial" w:eastAsia="Arial" w:hAnsi="Arial"/>
                <w:sz w:val="12"/>
                <w:szCs w:val="12"/>
                <w:color w:val="auto"/>
              </w:rPr>
              <w:t>Other comprehensive (loss) income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Changes in derivative instruments</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700" w:type="dxa"/>
            <w:vAlign w:val="bottom"/>
          </w:tcPr>
          <w:p>
            <w:pPr>
              <w:ind w:left="140"/>
              <w:spacing w:after="0"/>
              <w:rPr>
                <w:sz w:val="20"/>
                <w:szCs w:val="20"/>
                <w:color w:val="auto"/>
              </w:rPr>
            </w:pPr>
            <w:r>
              <w:rPr>
                <w:rFonts w:ascii="Arial" w:cs="Arial" w:eastAsia="Arial" w:hAnsi="Arial"/>
                <w:sz w:val="12"/>
                <w:szCs w:val="12"/>
                <w:color w:val="auto"/>
              </w:rPr>
              <w:t>Unrealized net (losses) gains arising during the period from interest rate swap</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(1,762)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4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Reclassifications of losses (gains) into net income</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 tax benefit (expense)</w:t>
            </w: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33"/>
        </w:trPr>
        <w:tc>
          <w:tcPr>
            <w:tcW w:w="4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Other comprehensive (loss) income, net of taxes</w:t>
            </w:r>
          </w:p>
        </w:tc>
        <w:tc>
          <w:tcPr>
            <w:tcW w:w="8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(1,086)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253</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40"/>
        </w:trPr>
        <w:tc>
          <w:tcPr>
            <w:tcW w:w="4700" w:type="dxa"/>
            <w:vAlign w:val="bottom"/>
          </w:tcPr>
          <w:p>
            <w:pPr>
              <w:spacing w:after="0" w:line="133" w:lineRule="exact"/>
              <w:rPr>
                <w:sz w:val="20"/>
                <w:szCs w:val="20"/>
                <w:color w:val="auto"/>
              </w:rPr>
            </w:pPr>
            <w:r>
              <w:rPr>
                <w:rFonts w:ascii="Arial" w:cs="Arial" w:eastAsia="Arial" w:hAnsi="Arial"/>
                <w:sz w:val="12"/>
                <w:szCs w:val="12"/>
                <w:color w:val="auto"/>
              </w:rPr>
              <w:t>Comprehensive income (loss)</w:t>
            </w:r>
          </w:p>
        </w:tc>
        <w:tc>
          <w:tcPr>
            <w:tcW w:w="82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25,153</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(8,994)</w:t>
            </w:r>
          </w:p>
        </w:tc>
        <w:tc>
          <w:tcPr>
            <w:tcW w:w="20" w:type="dxa"/>
            <w:vAlign w:val="bottom"/>
            <w:tcBorders>
              <w:bottom w:val="single" w:sz="8" w:color="auto"/>
            </w:tcBorders>
          </w:tcPr>
          <w:p>
            <w:pPr>
              <w:spacing w:after="0"/>
              <w:rPr>
                <w:sz w:val="12"/>
                <w:szCs w:val="12"/>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Accumulated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3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Other</w:t>
            </w:r>
          </w:p>
        </w:tc>
        <w:tc>
          <w:tcPr>
            <w:tcW w:w="120" w:type="dxa"/>
            <w:vAlign w:val="bottom"/>
          </w:tcPr>
          <w:p>
            <w:pPr>
              <w:spacing w:after="0"/>
              <w:rPr>
                <w:sz w:val="8"/>
                <w:szCs w:val="8"/>
                <w:color w:val="auto"/>
              </w:rPr>
            </w:pPr>
          </w:p>
        </w:tc>
        <w:tc>
          <w:tcPr>
            <w:tcW w:w="8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3"/>
              </w:rPr>
              <w:t>Total</w:t>
            </w:r>
          </w:p>
        </w:tc>
      </w:tr>
      <w:tr>
        <w:trPr>
          <w:trHeight w:val="113"/>
        </w:trPr>
        <w:tc>
          <w:tcPr>
            <w:tcW w:w="3420" w:type="dxa"/>
            <w:vAlign w:val="bottom"/>
          </w:tcPr>
          <w:p>
            <w:pPr>
              <w:spacing w:after="0"/>
              <w:rPr>
                <w:sz w:val="9"/>
                <w:szCs w:val="9"/>
                <w:color w:val="auto"/>
              </w:rPr>
            </w:pPr>
          </w:p>
        </w:tc>
        <w:tc>
          <w:tcPr>
            <w:tcW w:w="1600" w:type="dxa"/>
            <w:vAlign w:val="bottom"/>
            <w:tcBorders>
              <w:bottom w:val="single" w:sz="8" w:color="auto"/>
            </w:tcBorders>
            <w:gridSpan w:val="3"/>
          </w:tcPr>
          <w:p>
            <w:pPr>
              <w:jc w:val="right"/>
              <w:ind w:right="31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460"/>
              <w:spacing w:after="0" w:line="114"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9"/>
                <w:szCs w:val="9"/>
                <w:color w:val="auto"/>
              </w:rPr>
            </w:pPr>
          </w:p>
        </w:tc>
        <w:tc>
          <w:tcPr>
            <w:tcW w:w="9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9"/>
                <w:szCs w:val="9"/>
                <w:color w:val="auto"/>
              </w:rPr>
            </w:pPr>
          </w:p>
        </w:tc>
        <w:tc>
          <w:tcPr>
            <w:tcW w:w="9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120" w:type="dxa"/>
            <w:vAlign w:val="bottom"/>
          </w:tcPr>
          <w:p>
            <w:pPr>
              <w:spacing w:after="0"/>
              <w:rPr>
                <w:sz w:val="9"/>
                <w:szCs w:val="9"/>
                <w:color w:val="auto"/>
              </w:rPr>
            </w:pPr>
          </w:p>
        </w:tc>
        <w:tc>
          <w:tcPr>
            <w:tcW w:w="8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Stockholders’</w:t>
            </w:r>
          </w:p>
        </w:tc>
      </w:tr>
      <w:tr>
        <w:trPr>
          <w:trHeight w:val="88"/>
        </w:trPr>
        <w:tc>
          <w:tcPr>
            <w:tcW w:w="3420" w:type="dxa"/>
            <w:vAlign w:val="bottom"/>
          </w:tcPr>
          <w:p>
            <w:pPr>
              <w:spacing w:after="0"/>
              <w:rPr>
                <w:sz w:val="7"/>
                <w:szCs w:val="7"/>
                <w:color w:val="auto"/>
              </w:rPr>
            </w:pPr>
          </w:p>
        </w:tc>
        <w:tc>
          <w:tcPr>
            <w:tcW w:w="960" w:type="dxa"/>
            <w:vAlign w:val="bottom"/>
            <w:gridSpan w:val="2"/>
          </w:tcPr>
          <w:p>
            <w:pPr>
              <w:jc w:val="right"/>
              <w:ind w:right="420"/>
              <w:spacing w:after="0" w:line="88" w:lineRule="exact"/>
              <w:rPr>
                <w:sz w:val="20"/>
                <w:szCs w:val="20"/>
                <w:color w:val="auto"/>
              </w:rPr>
            </w:pPr>
            <w:r>
              <w:rPr>
                <w:rFonts w:ascii="Arial" w:cs="Arial" w:eastAsia="Arial" w:hAnsi="Arial"/>
                <w:sz w:val="10"/>
                <w:szCs w:val="10"/>
                <w:b w:val="1"/>
                <w:bCs w:val="1"/>
                <w:color w:val="auto"/>
              </w:rPr>
              <w:t>Shares</w:t>
            </w:r>
          </w:p>
        </w:tc>
        <w:tc>
          <w:tcPr>
            <w:tcW w:w="64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tcPr>
          <w:p>
            <w:pPr>
              <w:jc w:val="right"/>
              <w:ind w:right="460"/>
              <w:spacing w:after="0" w:line="88"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7"/>
                <w:szCs w:val="7"/>
                <w:color w:val="auto"/>
              </w:rPr>
            </w:pPr>
          </w:p>
        </w:tc>
        <w:tc>
          <w:tcPr>
            <w:tcW w:w="92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84"/>
              </w:rPr>
              <w:t>Deficit</w:t>
            </w:r>
          </w:p>
        </w:tc>
        <w:tc>
          <w:tcPr>
            <w:tcW w:w="100" w:type="dxa"/>
            <w:vAlign w:val="bottom"/>
          </w:tcPr>
          <w:p>
            <w:pPr>
              <w:spacing w:after="0"/>
              <w:rPr>
                <w:sz w:val="7"/>
                <w:szCs w:val="7"/>
                <w:color w:val="auto"/>
              </w:rPr>
            </w:pPr>
          </w:p>
        </w:tc>
        <w:tc>
          <w:tcPr>
            <w:tcW w:w="96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w w:val="82"/>
              </w:rPr>
              <w:t>Income (Loss)</w:t>
            </w:r>
          </w:p>
        </w:tc>
        <w:tc>
          <w:tcPr>
            <w:tcW w:w="120" w:type="dxa"/>
            <w:vAlign w:val="bottom"/>
          </w:tcPr>
          <w:p>
            <w:pPr>
              <w:spacing w:after="0"/>
              <w:rPr>
                <w:sz w:val="7"/>
                <w:szCs w:val="7"/>
                <w:color w:val="auto"/>
              </w:rPr>
            </w:pPr>
          </w:p>
        </w:tc>
        <w:tc>
          <w:tcPr>
            <w:tcW w:w="80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91"/>
              </w:rPr>
              <w:t>Equity</w:t>
            </w:r>
          </w:p>
        </w:tc>
      </w:tr>
      <w:tr>
        <w:trPr>
          <w:trHeight w:val="133"/>
        </w:trPr>
        <w:tc>
          <w:tcPr>
            <w:tcW w:w="3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December 28, 2017</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38,661,850</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387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372,990</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(98,427)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274,950</w:t>
            </w:r>
          </w:p>
        </w:tc>
        <w:tc>
          <w:tcPr>
            <w:tcW w:w="20" w:type="dxa"/>
            <w:vAlign w:val="bottom"/>
          </w:tcPr>
          <w:p>
            <w:pPr>
              <w:spacing w:after="0"/>
              <w:rPr>
                <w:sz w:val="11"/>
                <w:szCs w:val="1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Cumulative effect of accounting change (see Note 2)</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(3,467)</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(3,467)</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2,005</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Issuance of common stock related to restricted shares, net</w:t>
            </w:r>
          </w:p>
        </w:tc>
        <w:tc>
          <w:tcPr>
            <w:tcW w:w="800" w:type="dxa"/>
            <w:vAlign w:val="bottom"/>
          </w:tcPr>
          <w:p>
            <w:pPr>
              <w:jc w:val="right"/>
              <w:spacing w:after="0"/>
              <w:rPr>
                <w:sz w:val="20"/>
                <w:szCs w:val="20"/>
                <w:color w:val="auto"/>
              </w:rPr>
            </w:pPr>
            <w:r>
              <w:rPr>
                <w:rFonts w:ascii="Arial" w:cs="Arial" w:eastAsia="Arial" w:hAnsi="Arial"/>
                <w:sz w:val="12"/>
                <w:szCs w:val="12"/>
                <w:color w:val="auto"/>
              </w:rPr>
              <w:t>155,229</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269,549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1,837</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Shares repurchased for employee tax withholdings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(10,768)</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common stock</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(66,409)</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(980)</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(8,994)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(8,994)</w:t>
            </w:r>
          </w:p>
        </w:tc>
        <w:tc>
          <w:tcPr>
            <w:tcW w:w="2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December 26, 2018</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39,009,451</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390</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375,734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(110,888)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265,236</w:t>
            </w:r>
          </w:p>
        </w:tc>
        <w:tc>
          <w:tcPr>
            <w:tcW w:w="20" w:type="dxa"/>
            <w:vAlign w:val="bottom"/>
          </w:tcPr>
          <w:p>
            <w:pPr>
              <w:spacing w:after="0"/>
              <w:rPr>
                <w:sz w:val="11"/>
                <w:szCs w:val="1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2,474</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related to restricted shares, net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309,404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234,728</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1,450</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Shares repurchased for employee tax withholdings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(31,397)</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Repurchase of common stock</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(4,395,604)</w:t>
            </w:r>
          </w:p>
        </w:tc>
        <w:tc>
          <w:tcPr>
            <w:tcW w:w="6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(43)</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(48,339)</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(48,382)</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 net of income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24,900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24,900</w:t>
            </w:r>
          </w:p>
        </w:tc>
        <w:tc>
          <w:tcPr>
            <w:tcW w:w="2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December 25, 2019</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35,126,582</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351</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330,950</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(85,988)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253</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245,566</w:t>
            </w:r>
          </w:p>
        </w:tc>
        <w:tc>
          <w:tcPr>
            <w:tcW w:w="20" w:type="dxa"/>
            <w:vAlign w:val="bottom"/>
          </w:tcPr>
          <w:p>
            <w:pPr>
              <w:spacing w:after="0"/>
              <w:rPr>
                <w:sz w:val="11"/>
                <w:szCs w:val="1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3,093</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related to restricted shares, net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439,061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00" w:type="dxa"/>
            <w:vAlign w:val="bottom"/>
          </w:tcPr>
          <w:p>
            <w:pPr>
              <w:jc w:val="right"/>
              <w:spacing w:after="0"/>
              <w:rPr>
                <w:sz w:val="20"/>
                <w:szCs w:val="20"/>
                <w:color w:val="auto"/>
              </w:rPr>
            </w:pPr>
            <w:r>
              <w:rPr>
                <w:rFonts w:ascii="Arial" w:cs="Arial" w:eastAsia="Arial" w:hAnsi="Arial"/>
                <w:sz w:val="12"/>
                <w:szCs w:val="12"/>
                <w:color w:val="auto"/>
              </w:rPr>
              <w:t>970,736</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5,866</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Shares repurchased for employee tax withholdings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(23,407)</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(335)</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Forfeiture of common stock related to restricted shares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(89,467)</w:t>
            </w:r>
          </w:p>
        </w:tc>
        <w:tc>
          <w:tcPr>
            <w:tcW w:w="6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loss, net of income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(1,086)</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w:t>
            </w: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24,474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24,474</w:t>
            </w:r>
          </w:p>
        </w:tc>
        <w:tc>
          <w:tcPr>
            <w:tcW w:w="20" w:type="dxa"/>
            <w:vAlign w:val="bottom"/>
          </w:tcPr>
          <w:p>
            <w:pPr>
              <w:spacing w:after="0"/>
              <w:rPr>
                <w:sz w:val="12"/>
                <w:szCs w:val="12"/>
                <w:color w:val="auto"/>
              </w:rPr>
            </w:pPr>
          </w:p>
        </w:tc>
      </w:tr>
      <w:tr>
        <w:trPr>
          <w:trHeight w:val="140"/>
        </w:trPr>
        <w:tc>
          <w:tcPr>
            <w:tcW w:w="34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December 30, 2020</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36,423,505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364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339,561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(61,514)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277,578</w:t>
            </w:r>
          </w:p>
        </w:tc>
        <w:tc>
          <w:tcPr>
            <w:tcW w:w="20" w:type="dxa"/>
            <w:vAlign w:val="bottom"/>
          </w:tcPr>
          <w:p>
            <w:pPr>
              <w:spacing w:after="0"/>
              <w:rPr>
                <w:sz w:val="12"/>
                <w:szCs w:val="12"/>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238125</wp:posOffset>
            </wp:positionV>
            <wp:extent cx="60350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500"/>
          </w:cols>
          <w:pgMar w:left="1200" w:top="392" w:right="1199" w:bottom="1440" w:gutter="0" w:footer="0" w:header="0"/>
        </w:sectPr>
      </w:pPr>
    </w:p>
    <w:bookmarkStart w:id="66" w:name="page67"/>
    <w:bookmarkEnd w:id="6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For the Fiscal Years Ended</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5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December 30,</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w w:val="86"/>
              </w:rPr>
              <w:t>December 25,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106"/>
              <w:spacing w:after="0" w:line="88" w:lineRule="exact"/>
              <w:rPr>
                <w:sz w:val="20"/>
                <w:szCs w:val="20"/>
                <w:color w:val="auto"/>
              </w:rPr>
            </w:pPr>
            <w:r>
              <w:rPr>
                <w:rFonts w:ascii="Arial" w:cs="Arial" w:eastAsia="Arial" w:hAnsi="Arial"/>
                <w:sz w:val="10"/>
                <w:szCs w:val="10"/>
                <w:b w:val="1"/>
                <w:bCs w:val="1"/>
                <w:color w:val="auto"/>
                <w:w w:val="89"/>
              </w:rPr>
              <w:t>December 26,</w:t>
            </w:r>
          </w:p>
        </w:tc>
        <w:tc>
          <w:tcPr>
            <w:tcW w:w="20" w:type="dxa"/>
            <w:vAlign w:val="bottom"/>
          </w:tcPr>
          <w:p>
            <w:pPr>
              <w:spacing w:after="0"/>
              <w:rPr>
                <w:sz w:val="7"/>
                <w:szCs w:val="7"/>
                <w:color w:val="auto"/>
              </w:rPr>
            </w:pPr>
          </w:p>
        </w:tc>
      </w:tr>
      <w:tr>
        <w:trPr>
          <w:trHeight w:val="99"/>
        </w:trPr>
        <w:tc>
          <w:tcPr>
            <w:tcW w:w="50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ind w:right="286"/>
              <w:spacing w:after="0" w:line="99" w:lineRule="exact"/>
              <w:rPr>
                <w:sz w:val="20"/>
                <w:szCs w:val="20"/>
                <w:color w:val="auto"/>
              </w:rPr>
            </w:pPr>
            <w:r>
              <w:rPr>
                <w:rFonts w:ascii="Arial" w:cs="Arial" w:eastAsia="Arial" w:hAnsi="Arial"/>
                <w:sz w:val="10"/>
                <w:szCs w:val="10"/>
                <w:b w:val="1"/>
                <w:bCs w:val="1"/>
                <w:color w:val="auto"/>
              </w:rPr>
              <w:t>2020</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center"/>
              <w:ind w:right="26"/>
              <w:spacing w:after="0" w:line="99" w:lineRule="exact"/>
              <w:rPr>
                <w:sz w:val="20"/>
                <w:szCs w:val="20"/>
                <w:color w:val="auto"/>
              </w:rPr>
            </w:pPr>
            <w:r>
              <w:rPr>
                <w:rFonts w:ascii="Arial" w:cs="Arial" w:eastAsia="Arial" w:hAnsi="Arial"/>
                <w:sz w:val="10"/>
                <w:szCs w:val="10"/>
                <w:b w:val="1"/>
                <w:bCs w:val="1"/>
                <w:color w:val="auto"/>
                <w:w w:val="89"/>
              </w:rPr>
              <w:t>2019</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ind w:right="286"/>
              <w:spacing w:after="0" w:line="99"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r>
      <w:tr>
        <w:trPr>
          <w:trHeight w:val="129"/>
        </w:trPr>
        <w:tc>
          <w:tcPr>
            <w:tcW w:w="504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9"/>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Net income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24,474</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24,900</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(8,994)</w:t>
            </w:r>
          </w:p>
        </w:tc>
        <w:tc>
          <w:tcPr>
            <w:tcW w:w="20" w:type="dxa"/>
            <w:vAlign w:val="bottom"/>
          </w:tcPr>
          <w:p>
            <w:pPr>
              <w:spacing w:after="0"/>
              <w:rPr>
                <w:sz w:val="12"/>
                <w:szCs w:val="12"/>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Adjustments to reconcile net income (loss) to net cash flows provided by operating activities: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16,878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17,855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17,825</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Bad debt expense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Income tax receivable agreement expense (income)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(761)</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Loss on disposition of restaurants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Loss on disposal of assets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278</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Impairment of property and equipment</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5,147</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Closed-store reserve expense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4,503</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Amortization of deferred financing costs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Amortization of favorable and unfavorable leases, net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Deferred income taxes, net</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9,578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(3,428)</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Changes in operating assets and liabilities: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Accounts and other receivables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(2,387)</w:t>
            </w:r>
          </w:p>
        </w:tc>
        <w:tc>
          <w:tcPr>
            <w:tcW w:w="20" w:type="dxa"/>
            <w:vAlign w:val="bottom"/>
          </w:tcPr>
          <w:p>
            <w:pPr>
              <w:spacing w:after="0"/>
              <w:rPr>
                <w:sz w:val="11"/>
                <w:szCs w:val="11"/>
                <w:color w:val="auto"/>
              </w:rPr>
            </w:pPr>
          </w:p>
        </w:tc>
      </w:tr>
      <w:tr>
        <w:trPr>
          <w:trHeight w:val="135"/>
        </w:trPr>
        <w:tc>
          <w:tcPr>
            <w:tcW w:w="5040" w:type="dxa"/>
            <w:vAlign w:val="bottom"/>
          </w:tcPr>
          <w:p>
            <w:pPr>
              <w:ind w:left="80"/>
              <w:spacing w:after="0"/>
              <w:rPr>
                <w:sz w:val="20"/>
                <w:szCs w:val="20"/>
                <w:color w:val="auto"/>
              </w:rPr>
            </w:pPr>
            <w:r>
              <w:rPr>
                <w:rFonts w:ascii="Arial" w:cs="Arial" w:eastAsia="Arial" w:hAnsi="Arial"/>
                <w:sz w:val="11"/>
                <w:szCs w:val="11"/>
                <w:color w:val="auto"/>
              </w:rPr>
              <w:t>Inventories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(190)</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expenses and other current assets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(2,727)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tcPr>
          <w:p>
            <w:pPr>
              <w:spacing w:after="0"/>
              <w:rPr>
                <w:sz w:val="11"/>
                <w:szCs w:val="11"/>
                <w:color w:val="auto"/>
              </w:rPr>
            </w:pPr>
          </w:p>
        </w:tc>
      </w:tr>
      <w:tr>
        <w:trPr>
          <w:trHeight w:val="135"/>
        </w:trPr>
        <w:tc>
          <w:tcPr>
            <w:tcW w:w="5040" w:type="dxa"/>
            <w:vAlign w:val="bottom"/>
          </w:tcPr>
          <w:p>
            <w:pPr>
              <w:ind w:left="80"/>
              <w:spacing w:after="0"/>
              <w:rPr>
                <w:sz w:val="20"/>
                <w:szCs w:val="20"/>
                <w:color w:val="auto"/>
              </w:rPr>
            </w:pPr>
            <w:r>
              <w:rPr>
                <w:rFonts w:ascii="Arial" w:cs="Arial" w:eastAsia="Arial" w:hAnsi="Arial"/>
                <w:sz w:val="11"/>
                <w:szCs w:val="11"/>
                <w:color w:val="auto"/>
              </w:rPr>
              <w:t>Income taxes receivable/payable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(2,145)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(448)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assets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(412)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20" w:type="dxa"/>
            <w:vAlign w:val="bottom"/>
          </w:tcPr>
          <w:p>
            <w:pPr>
              <w:spacing w:after="0"/>
              <w:rPr>
                <w:sz w:val="11"/>
                <w:szCs w:val="11"/>
                <w:color w:val="auto"/>
              </w:rPr>
            </w:pPr>
          </w:p>
        </w:tc>
      </w:tr>
      <w:tr>
        <w:trPr>
          <w:trHeight w:val="135"/>
        </w:trPr>
        <w:tc>
          <w:tcPr>
            <w:tcW w:w="5040" w:type="dxa"/>
            <w:vAlign w:val="bottom"/>
          </w:tcPr>
          <w:p>
            <w:pPr>
              <w:ind w:left="80"/>
              <w:spacing w:after="0"/>
              <w:rPr>
                <w:sz w:val="20"/>
                <w:szCs w:val="20"/>
                <w:color w:val="auto"/>
              </w:rPr>
            </w:pPr>
            <w:r>
              <w:rPr>
                <w:rFonts w:ascii="Arial" w:cs="Arial" w:eastAsia="Arial" w:hAnsi="Arial"/>
                <w:sz w:val="11"/>
                <w:szCs w:val="11"/>
                <w:color w:val="auto"/>
              </w:rPr>
              <w:t>Accounts payable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666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(3,192)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482</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Accrued salaries and vacation</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w:t>
            </w:r>
          </w:p>
        </w:tc>
        <w:tc>
          <w:tcPr>
            <w:tcW w:w="20" w:type="dxa"/>
            <w:vAlign w:val="bottom"/>
          </w:tcPr>
          <w:p>
            <w:pPr>
              <w:spacing w:after="0"/>
              <w:rPr>
                <w:sz w:val="11"/>
                <w:szCs w:val="11"/>
                <w:color w:val="auto"/>
              </w:rPr>
            </w:pPr>
          </w:p>
        </w:tc>
      </w:tr>
      <w:tr>
        <w:trPr>
          <w:trHeight w:val="135"/>
        </w:trPr>
        <w:tc>
          <w:tcPr>
            <w:tcW w:w="5040" w:type="dxa"/>
            <w:vAlign w:val="bottom"/>
          </w:tcPr>
          <w:p>
            <w:pPr>
              <w:ind w:left="80"/>
              <w:spacing w:after="0"/>
              <w:rPr>
                <w:sz w:val="20"/>
                <w:szCs w:val="20"/>
                <w:color w:val="auto"/>
              </w:rPr>
            </w:pPr>
            <w:r>
              <w:rPr>
                <w:rFonts w:ascii="Arial" w:cs="Arial" w:eastAsia="Arial" w:hAnsi="Arial"/>
                <w:sz w:val="11"/>
                <w:szCs w:val="11"/>
                <w:color w:val="auto"/>
              </w:rPr>
              <w:t>Accrued insurance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2,364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1,225</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Payment related to tax receivable agreement</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(5,237)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(5,764)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(7,272)</w:t>
            </w:r>
          </w:p>
        </w:tc>
        <w:tc>
          <w:tcPr>
            <w:tcW w:w="20" w:type="dxa"/>
            <w:vAlign w:val="bottom"/>
          </w:tcPr>
          <w:p>
            <w:pPr>
              <w:spacing w:after="0"/>
              <w:rPr>
                <w:sz w:val="11"/>
                <w:szCs w:val="11"/>
                <w:color w:val="auto"/>
              </w:rPr>
            </w:pPr>
          </w:p>
        </w:tc>
      </w:tr>
      <w:tr>
        <w:trPr>
          <w:trHeight w:val="135"/>
        </w:trPr>
        <w:tc>
          <w:tcPr>
            <w:tcW w:w="5040" w:type="dxa"/>
            <w:vAlign w:val="bottom"/>
          </w:tcPr>
          <w:p>
            <w:pPr>
              <w:ind w:left="80"/>
              <w:spacing w:after="0"/>
              <w:rPr>
                <w:sz w:val="20"/>
                <w:szCs w:val="20"/>
                <w:color w:val="auto"/>
              </w:rPr>
            </w:pPr>
            <w:r>
              <w:rPr>
                <w:rFonts w:ascii="Arial" w:cs="Arial" w:eastAsia="Arial" w:hAnsi="Arial"/>
                <w:sz w:val="11"/>
                <w:szCs w:val="11"/>
                <w:color w:val="auto"/>
              </w:rPr>
              <w:t>Other accrued expenses and liabilities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(8,575)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(20,160)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36,701</w:t>
            </w:r>
          </w:p>
        </w:tc>
        <w:tc>
          <w:tcPr>
            <w:tcW w:w="20" w:type="dxa"/>
            <w:vAlign w:val="bottom"/>
          </w:tcPr>
          <w:p>
            <w:pPr>
              <w:spacing w:after="0"/>
              <w:rPr>
                <w:sz w:val="11"/>
                <w:szCs w:val="11"/>
                <w:color w:val="auto"/>
              </w:rPr>
            </w:pPr>
          </w:p>
        </w:tc>
      </w:tr>
      <w:tr>
        <w:trPr>
          <w:trHeight w:val="124"/>
        </w:trPr>
        <w:tc>
          <w:tcPr>
            <w:tcW w:w="50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Net cash flows provided by operating activities</w:t>
            </w:r>
          </w:p>
        </w:tc>
        <w:tc>
          <w:tcPr>
            <w:tcW w:w="10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40,547</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36,135</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45,442</w:t>
            </w:r>
          </w:p>
        </w:tc>
        <w:tc>
          <w:tcPr>
            <w:tcW w:w="20" w:type="dxa"/>
            <w:vAlign w:val="bottom"/>
          </w:tcPr>
          <w:p>
            <w:pPr>
              <w:spacing w:after="0"/>
              <w:rPr>
                <w:sz w:val="10"/>
                <w:szCs w:val="10"/>
                <w:color w:val="auto"/>
              </w:rPr>
            </w:pPr>
          </w:p>
        </w:tc>
      </w:tr>
      <w:tr>
        <w:trPr>
          <w:trHeight w:val="120"/>
        </w:trPr>
        <w:tc>
          <w:tcPr>
            <w:tcW w:w="5040" w:type="dxa"/>
            <w:vAlign w:val="bottom"/>
          </w:tcPr>
          <w:p>
            <w:pPr>
              <w:spacing w:after="0" w:line="121" w:lineRule="exact"/>
              <w:rPr>
                <w:sz w:val="20"/>
                <w:szCs w:val="20"/>
                <w:color w:val="auto"/>
              </w:rPr>
            </w:pPr>
            <w:r>
              <w:rPr>
                <w:rFonts w:ascii="Arial" w:cs="Arial" w:eastAsia="Arial" w:hAnsi="Arial"/>
                <w:sz w:val="11"/>
                <w:szCs w:val="11"/>
                <w:b w:val="1"/>
                <w:bCs w:val="1"/>
                <w:color w:val="auto"/>
              </w:rPr>
              <w:t>Cash flows from investing activities: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9"/>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disposition of restaurants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Purchase of property and equipment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(6,690)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(15,439)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(27,802)</w:t>
            </w:r>
          </w:p>
        </w:tc>
        <w:tc>
          <w:tcPr>
            <w:tcW w:w="20" w:type="dxa"/>
            <w:vAlign w:val="bottom"/>
          </w:tcPr>
          <w:p>
            <w:pPr>
              <w:spacing w:after="0"/>
              <w:rPr>
                <w:sz w:val="11"/>
                <w:szCs w:val="11"/>
                <w:color w:val="auto"/>
              </w:rPr>
            </w:pPr>
          </w:p>
        </w:tc>
      </w:tr>
      <w:tr>
        <w:trPr>
          <w:trHeight w:val="124"/>
        </w:trPr>
        <w:tc>
          <w:tcPr>
            <w:tcW w:w="504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1"/>
                <w:szCs w:val="11"/>
                <w:color w:val="auto"/>
              </w:rPr>
              <w:t>Net cash flows used in investing activities</w:t>
            </w:r>
          </w:p>
        </w:tc>
        <w:tc>
          <w:tcPr>
            <w:tcW w:w="10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(6,690)</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(10,669)</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(27,802)</w:t>
            </w:r>
          </w:p>
        </w:tc>
        <w:tc>
          <w:tcPr>
            <w:tcW w:w="20" w:type="dxa"/>
            <w:vAlign w:val="bottom"/>
          </w:tcPr>
          <w:p>
            <w:pPr>
              <w:spacing w:after="0"/>
              <w:rPr>
                <w:sz w:val="10"/>
                <w:szCs w:val="10"/>
                <w:color w:val="auto"/>
              </w:rPr>
            </w:pPr>
          </w:p>
        </w:tc>
      </w:tr>
      <w:tr>
        <w:trPr>
          <w:trHeight w:val="120"/>
        </w:trPr>
        <w:tc>
          <w:tcPr>
            <w:tcW w:w="5040" w:type="dxa"/>
            <w:vAlign w:val="bottom"/>
          </w:tcPr>
          <w:p>
            <w:pPr>
              <w:spacing w:after="0" w:line="121" w:lineRule="exact"/>
              <w:rPr>
                <w:sz w:val="20"/>
                <w:szCs w:val="20"/>
                <w:color w:val="auto"/>
              </w:rPr>
            </w:pPr>
            <w:r>
              <w:rPr>
                <w:rFonts w:ascii="Arial" w:cs="Arial" w:eastAsia="Arial" w:hAnsi="Arial"/>
                <w:sz w:val="11"/>
                <w:szCs w:val="11"/>
                <w:b w:val="1"/>
                <w:bCs w:val="1"/>
                <w:color w:val="auto"/>
              </w:rPr>
              <w:t>Cash flows from financing activities:</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9"/>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borrowings on revolver and swingline loans</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59,500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13,307</w:t>
            </w:r>
          </w:p>
        </w:tc>
        <w:tc>
          <w:tcPr>
            <w:tcW w:w="20" w:type="dxa"/>
            <w:vAlign w:val="bottom"/>
          </w:tcPr>
          <w:p>
            <w:pPr>
              <w:spacing w:after="0"/>
              <w:rPr>
                <w:sz w:val="12"/>
                <w:szCs w:val="12"/>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Payments on revolver and swingline loan</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(93,700)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(19,000)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(33,000)</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Minimum tax withholdings related to net share settlements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(365)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Proceeds from issuance of common stock upon exercise of stock options, net of expenses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5,866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1,450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1,837</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Payment of obligations under finance leases</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tcPr>
          <w:p>
            <w:pPr>
              <w:spacing w:after="0"/>
              <w:rPr>
                <w:sz w:val="11"/>
                <w:szCs w:val="11"/>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Deferred financing costs for revolver loan</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1"/>
                <w:szCs w:val="11"/>
                <w:color w:val="auto"/>
              </w:rPr>
            </w:pP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Repurchases of common stock</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(48,382)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(981)</w:t>
            </w:r>
          </w:p>
        </w:tc>
        <w:tc>
          <w:tcPr>
            <w:tcW w:w="20" w:type="dxa"/>
            <w:vAlign w:val="bottom"/>
          </w:tcPr>
          <w:p>
            <w:pPr>
              <w:spacing w:after="0"/>
              <w:rPr>
                <w:sz w:val="11"/>
                <w:szCs w:val="11"/>
                <w:color w:val="auto"/>
              </w:rPr>
            </w:pPr>
          </w:p>
        </w:tc>
      </w:tr>
      <w:tr>
        <w:trPr>
          <w:trHeight w:val="124"/>
        </w:trPr>
        <w:tc>
          <w:tcPr>
            <w:tcW w:w="5040" w:type="dxa"/>
            <w:vAlign w:val="bottom"/>
            <w:tcBorders>
              <w:bottom w:val="single" w:sz="8" w:color="CCEEFF"/>
            </w:tcBorders>
          </w:tcPr>
          <w:p>
            <w:pPr>
              <w:spacing w:after="0" w:line="120" w:lineRule="exact"/>
              <w:rPr>
                <w:sz w:val="20"/>
                <w:szCs w:val="20"/>
                <w:color w:val="auto"/>
              </w:rPr>
            </w:pPr>
            <w:r>
              <w:rPr>
                <w:rFonts w:ascii="Arial" w:cs="Arial" w:eastAsia="Arial" w:hAnsi="Arial"/>
                <w:sz w:val="11"/>
                <w:szCs w:val="11"/>
                <w:color w:val="auto"/>
              </w:rPr>
              <w:t>Net cash flows used in financing activities</w:t>
            </w:r>
          </w:p>
        </w:tc>
        <w:tc>
          <w:tcPr>
            <w:tcW w:w="10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(28,708)</w:t>
            </w: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(24,365)</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(19,221)</w:t>
            </w:r>
          </w:p>
        </w:tc>
        <w:tc>
          <w:tcPr>
            <w:tcW w:w="20" w:type="dxa"/>
            <w:vAlign w:val="bottom"/>
          </w:tcPr>
          <w:p>
            <w:pPr>
              <w:spacing w:after="0"/>
              <w:rPr>
                <w:sz w:val="10"/>
                <w:szCs w:val="10"/>
                <w:color w:val="auto"/>
              </w:rPr>
            </w:pPr>
          </w:p>
        </w:tc>
      </w:tr>
      <w:tr>
        <w:trPr>
          <w:trHeight w:val="124"/>
        </w:trPr>
        <w:tc>
          <w:tcPr>
            <w:tcW w:w="504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Increase (decrease) in cash and cash equivalents</w:t>
            </w: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5,149</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1,101</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(1,581)</w:t>
            </w:r>
          </w:p>
        </w:tc>
        <w:tc>
          <w:tcPr>
            <w:tcW w:w="20" w:type="dxa"/>
            <w:vAlign w:val="bottom"/>
          </w:tcPr>
          <w:p>
            <w:pPr>
              <w:spacing w:after="0"/>
              <w:rPr>
                <w:sz w:val="10"/>
                <w:szCs w:val="10"/>
                <w:color w:val="auto"/>
              </w:rPr>
            </w:pPr>
          </w:p>
        </w:tc>
      </w:tr>
      <w:tr>
        <w:trPr>
          <w:trHeight w:val="135"/>
        </w:trPr>
        <w:tc>
          <w:tcPr>
            <w:tcW w:w="504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 xml:space="preserve">Cash and cash equivalents, </w:t>
            </w:r>
            <w:r>
              <w:rPr>
                <w:rFonts w:ascii="Arial" w:cs="Arial" w:eastAsia="Arial" w:hAnsi="Arial"/>
                <w:sz w:val="11"/>
                <w:szCs w:val="11"/>
                <w:color w:val="auto"/>
              </w:rPr>
              <w:t>beginning of period</w:t>
            </w:r>
          </w:p>
        </w:tc>
        <w:tc>
          <w:tcPr>
            <w:tcW w:w="10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8,070</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6,969</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8,550</w:t>
            </w:r>
          </w:p>
        </w:tc>
        <w:tc>
          <w:tcPr>
            <w:tcW w:w="20" w:type="dxa"/>
            <w:vAlign w:val="bottom"/>
          </w:tcPr>
          <w:p>
            <w:pPr>
              <w:spacing w:after="0"/>
              <w:rPr>
                <w:sz w:val="11"/>
                <w:szCs w:val="11"/>
                <w:color w:val="auto"/>
              </w:rPr>
            </w:pPr>
          </w:p>
        </w:tc>
      </w:tr>
      <w:tr>
        <w:trPr>
          <w:trHeight w:val="131"/>
        </w:trPr>
        <w:tc>
          <w:tcPr>
            <w:tcW w:w="50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 xml:space="preserve">Cash and cash equivalents, </w:t>
            </w:r>
            <w:r>
              <w:rPr>
                <w:rFonts w:ascii="Arial" w:cs="Arial" w:eastAsia="Arial" w:hAnsi="Arial"/>
                <w:sz w:val="11"/>
                <w:szCs w:val="11"/>
                <w:color w:val="auto"/>
              </w:rPr>
              <w:t>end of period</w:t>
            </w: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13,219</w:t>
            </w: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8,070</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6,969</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7" w:name="page68"/>
    <w:bookmarkEnd w:id="6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For the Fiscal Years Ended</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74"/>
        </w:trPr>
        <w:tc>
          <w:tcPr>
            <w:tcW w:w="5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jc w:val="right"/>
              <w:ind w:right="128"/>
              <w:spacing w:after="0" w:line="74" w:lineRule="exact"/>
              <w:rPr>
                <w:sz w:val="20"/>
                <w:szCs w:val="20"/>
                <w:color w:val="auto"/>
              </w:rPr>
            </w:pPr>
            <w:r>
              <w:rPr>
                <w:rFonts w:ascii="Arial" w:cs="Arial" w:eastAsia="Arial" w:hAnsi="Arial"/>
                <w:sz w:val="8"/>
                <w:szCs w:val="8"/>
                <w:b w:val="1"/>
                <w:bCs w:val="1"/>
                <w:color w:val="auto"/>
              </w:rPr>
              <w:t>December 30,</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December 25,</w:t>
            </w:r>
          </w:p>
        </w:tc>
        <w:tc>
          <w:tcPr>
            <w:tcW w:w="120" w:type="dxa"/>
            <w:vAlign w:val="bottom"/>
          </w:tcPr>
          <w:p>
            <w:pPr>
              <w:spacing w:after="0"/>
              <w:rPr>
                <w:sz w:val="6"/>
                <w:szCs w:val="6"/>
                <w:color w:val="auto"/>
              </w:rPr>
            </w:pPr>
          </w:p>
        </w:tc>
        <w:tc>
          <w:tcPr>
            <w:tcW w:w="820" w:type="dxa"/>
            <w:vAlign w:val="bottom"/>
          </w:tcPr>
          <w:p>
            <w:pPr>
              <w:jc w:val="right"/>
              <w:ind w:right="128"/>
              <w:spacing w:after="0" w:line="74" w:lineRule="exact"/>
              <w:rPr>
                <w:sz w:val="20"/>
                <w:szCs w:val="20"/>
                <w:color w:val="auto"/>
              </w:rPr>
            </w:pPr>
            <w:r>
              <w:rPr>
                <w:rFonts w:ascii="Arial" w:cs="Arial" w:eastAsia="Arial" w:hAnsi="Arial"/>
                <w:sz w:val="8"/>
                <w:szCs w:val="8"/>
                <w:b w:val="1"/>
                <w:bCs w:val="1"/>
                <w:color w:val="auto"/>
              </w:rPr>
              <w:t>December 26,</w:t>
            </w:r>
          </w:p>
        </w:tc>
      </w:tr>
      <w:tr>
        <w:trPr>
          <w:trHeight w:val="113"/>
        </w:trPr>
        <w:tc>
          <w:tcPr>
            <w:tcW w:w="57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8"/>
              <w:spacing w:after="0" w:line="114"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8"/>
              <w:spacing w:after="0" w:line="114" w:lineRule="exact"/>
              <w:rPr>
                <w:sz w:val="20"/>
                <w:szCs w:val="20"/>
                <w:color w:val="auto"/>
              </w:rPr>
            </w:pPr>
            <w:r>
              <w:rPr>
                <w:rFonts w:ascii="Arial" w:cs="Arial" w:eastAsia="Arial" w:hAnsi="Arial"/>
                <w:sz w:val="10"/>
                <w:szCs w:val="10"/>
                <w:b w:val="1"/>
                <w:bCs w:val="1"/>
                <w:color w:val="auto"/>
                <w:w w:val="89"/>
              </w:rPr>
              <w:t>2019</w:t>
            </w: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28"/>
              <w:spacing w:after="0" w:line="114" w:lineRule="exact"/>
              <w:rPr>
                <w:sz w:val="20"/>
                <w:szCs w:val="20"/>
                <w:color w:val="auto"/>
              </w:rPr>
            </w:pPr>
            <w:r>
              <w:rPr>
                <w:rFonts w:ascii="Arial" w:cs="Arial" w:eastAsia="Arial" w:hAnsi="Arial"/>
                <w:sz w:val="10"/>
                <w:szCs w:val="10"/>
                <w:b w:val="1"/>
                <w:bCs w:val="1"/>
                <w:color w:val="auto"/>
              </w:rPr>
              <w:t>2018</w:t>
            </w:r>
          </w:p>
        </w:tc>
      </w:tr>
      <w:tr>
        <w:trPr>
          <w:trHeight w:val="124"/>
        </w:trPr>
        <w:tc>
          <w:tcPr>
            <w:tcW w:w="578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Supplemental cash flow information</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780" w:type="dxa"/>
            <w:vAlign w:val="bottom"/>
          </w:tcPr>
          <w:p>
            <w:pPr>
              <w:spacing w:after="0"/>
              <w:rPr>
                <w:sz w:val="20"/>
                <w:szCs w:val="20"/>
                <w:color w:val="auto"/>
              </w:rPr>
            </w:pPr>
            <w:r>
              <w:rPr>
                <w:rFonts w:ascii="Arial" w:cs="Arial" w:eastAsia="Arial" w:hAnsi="Arial"/>
                <w:sz w:val="11"/>
                <w:szCs w:val="11"/>
                <w:color w:val="auto"/>
              </w:rPr>
              <w:t>Cash paid during the period for interest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2,956</w:t>
            </w:r>
          </w:p>
        </w:tc>
        <w:tc>
          <w:tcPr>
            <w:tcW w:w="3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3,649</w:t>
            </w:r>
          </w:p>
        </w:tc>
        <w:tc>
          <w:tcPr>
            <w:tcW w:w="2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3,393</w:t>
            </w:r>
          </w:p>
        </w:tc>
      </w:tr>
      <w:tr>
        <w:trPr>
          <w:trHeight w:val="155"/>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paid during the period for income taxes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w:t>
            </w:r>
          </w:p>
        </w:tc>
      </w:tr>
      <w:tr>
        <w:trPr>
          <w:trHeight w:val="129"/>
        </w:trPr>
        <w:tc>
          <w:tcPr>
            <w:tcW w:w="578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Unpaid purchases of property and equipment</w:t>
            </w: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1,925</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746</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1,543</w:t>
            </w:r>
          </w:p>
        </w:tc>
      </w:tr>
      <w:tr>
        <w:trPr>
          <w:trHeight w:val="144"/>
        </w:trPr>
        <w:tc>
          <w:tcPr>
            <w:tcW w:w="57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Schedule of non-cash transactions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4"/>
        </w:trPr>
        <w:tc>
          <w:tcPr>
            <w:tcW w:w="5780" w:type="dxa"/>
            <w:vAlign w:val="bottom"/>
          </w:tcPr>
          <w:p>
            <w:pPr>
              <w:spacing w:after="0"/>
              <w:rPr>
                <w:sz w:val="20"/>
                <w:szCs w:val="20"/>
                <w:color w:val="auto"/>
              </w:rPr>
            </w:pPr>
            <w:r>
              <w:rPr>
                <w:rFonts w:ascii="Arial" w:cs="Arial" w:eastAsia="Arial" w:hAnsi="Arial"/>
                <w:sz w:val="12"/>
                <w:szCs w:val="12"/>
                <w:color w:val="auto"/>
              </w:rPr>
              <w:t>Borrowing on revolver for financing fees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693</w:t>
            </w: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8" w:name="page69"/>
    <w:bookmarkEnd w:id="6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ind w:left="20" w:right="79"/>
        <w:spacing w:after="0" w:line="253" w:lineRule="auto"/>
        <w:rPr>
          <w:sz w:val="20"/>
          <w:szCs w:val="20"/>
          <w:color w:val="auto"/>
        </w:rPr>
      </w:pPr>
      <w:r>
        <w:rPr>
          <w:rFonts w:ascii="Arial" w:cs="Arial" w:eastAsia="Arial" w:hAnsi="Arial"/>
          <w:sz w:val="12"/>
          <w:szCs w:val="12"/>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Utah and Louisiana, specialize in fire-grilling citrus-marinated chicken in a wide variety of contemporary Mexican and LA-inspired entrees, including specialty chicken burritos, chicken quesadillas, chicken tostada salads, chicken tortilla soup, variations on our Pollo Bowl®, Pollo Salads and our Pollo Fit entrees. At December 30, 2020, the Company operated 196 (143 in the greater Los Angeles area) and franchised 283 (136 in the greater Los Angeles area) El Pollo Loco restaurants. In addition, the Company currently licenses one restaurant in the Philippines. The Company’s largest stockholder is Trimaran Pollo Partners, L.L.C. (“LLC”), which is controlled by affiliates of Trimaran Capital, L.L.C. LLC acquired Chicken Acquisition Corp. (“CAC”), a predecessor of Holdings, on November 17, 2005 (the “Acquisition”) and has a 46.0% ownership interest as of December 30, 2020. LLC’s only material asset is its investment in Holdings.</w:t>
      </w:r>
    </w:p>
    <w:p>
      <w:pPr>
        <w:spacing w:after="0" w:line="131" w:lineRule="exact"/>
        <w:rPr>
          <w:sz w:val="20"/>
          <w:szCs w:val="20"/>
          <w:color w:val="auto"/>
        </w:rPr>
      </w:pPr>
    </w:p>
    <w:p>
      <w:pPr>
        <w:jc w:val="both"/>
        <w:ind w:left="20" w:right="59"/>
        <w:spacing w:after="0" w:line="263" w:lineRule="auto"/>
        <w:rPr>
          <w:sz w:val="20"/>
          <w:szCs w:val="20"/>
          <w:color w:val="auto"/>
        </w:rPr>
      </w:pPr>
      <w:r>
        <w:rPr>
          <w:rFonts w:ascii="Arial" w:cs="Arial" w:eastAsia="Arial" w:hAnsi="Arial"/>
          <w:sz w:val="12"/>
          <w:szCs w:val="12"/>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22" w:lineRule="exact"/>
        <w:rPr>
          <w:sz w:val="20"/>
          <w:szCs w:val="20"/>
          <w:color w:val="auto"/>
        </w:rPr>
      </w:pPr>
    </w:p>
    <w:p>
      <w:pPr>
        <w:ind w:left="20" w:right="259"/>
        <w:spacing w:after="0" w:line="263" w:lineRule="auto"/>
        <w:rPr>
          <w:sz w:val="20"/>
          <w:szCs w:val="20"/>
          <w:color w:val="auto"/>
        </w:rPr>
      </w:pPr>
      <w:r>
        <w:rPr>
          <w:rFonts w:ascii="Arial" w:cs="Arial" w:eastAsia="Arial" w:hAnsi="Arial"/>
          <w:sz w:val="12"/>
          <w:szCs w:val="12"/>
          <w:color w:val="auto"/>
        </w:rPr>
        <w:t>Holdings has no material assets or operations. Holdings and Holdings’ direct subsidiary, EPL Intermediate, Inc. (“Intermediate”), guarantee EPL’s 2018 Revolver (see Note 6, “Long-Term Debt”)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operates in one operating segment. All significant revenues relate to retail sales of food and beverages through either company or franchised restaurants.</w:t>
      </w:r>
    </w:p>
    <w:p>
      <w:pPr>
        <w:spacing w:after="0" w:line="146" w:lineRule="exact"/>
        <w:rPr>
          <w:sz w:val="20"/>
          <w:szCs w:val="20"/>
          <w:color w:val="auto"/>
        </w:rPr>
      </w:pPr>
    </w:p>
    <w:p>
      <w:pPr>
        <w:ind w:left="20" w:right="5739" w:firstLine="2"/>
        <w:spacing w:after="0" w:line="504" w:lineRule="auto"/>
        <w:tabs>
          <w:tab w:leader="none" w:pos="140"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Liquidity</w:t>
      </w:r>
    </w:p>
    <w:p>
      <w:pPr>
        <w:ind w:left="20" w:right="79"/>
        <w:spacing w:after="0" w:line="311" w:lineRule="auto"/>
        <w:rPr>
          <w:sz w:val="20"/>
          <w:szCs w:val="20"/>
          <w:color w:val="auto"/>
        </w:rPr>
      </w:pPr>
      <w:r>
        <w:rPr>
          <w:rFonts w:ascii="Arial" w:cs="Arial" w:eastAsia="Arial" w:hAnsi="Arial"/>
          <w:sz w:val="10"/>
          <w:szCs w:val="10"/>
          <w:color w:val="auto"/>
        </w:rPr>
        <w:t xml:space="preserve">The Company’s principal liquidity and capital requirements are new restaurants, existing restaurant capital investments (remodel and maintenance), interest payments on its debt, lease obligations and working capital and general corporate needs. At December 30, 2020, the Company’s total debt was $62.8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$13.2 million at December 30, 2020, and available borrowings under the 2018 Revolver (See Note 6 “Long-Term Debt”) will be adequate to meet the Company’s liquidity needs for the next twelve months from the issuance of the consolidated financial statements. However, </w:t>
      </w:r>
      <w:r>
        <w:rPr>
          <w:rFonts w:ascii="Arial" w:cs="Arial" w:eastAsia="Arial" w:hAnsi="Arial"/>
          <w:sz w:val="10"/>
          <w:szCs w:val="10"/>
          <w:color w:val="212529"/>
        </w:rPr>
        <w:t>depending on the severity and longevity of the</w:t>
      </w:r>
      <w:r>
        <w:rPr>
          <w:rFonts w:ascii="Arial" w:cs="Arial" w:eastAsia="Arial" w:hAnsi="Arial"/>
          <w:sz w:val="10"/>
          <w:szCs w:val="10"/>
          <w:color w:val="auto"/>
        </w:rPr>
        <w:t xml:space="preserve"> </w:t>
      </w:r>
      <w:r>
        <w:rPr>
          <w:rFonts w:ascii="Arial" w:cs="Arial" w:eastAsia="Arial" w:hAnsi="Arial"/>
          <w:sz w:val="10"/>
          <w:szCs w:val="10"/>
          <w:color w:val="212529"/>
        </w:rPr>
        <w:t xml:space="preserve">COVID-19 pandemic and the extent and duration of any economic downturn, </w:t>
      </w:r>
      <w:r>
        <w:rPr>
          <w:rFonts w:ascii="Arial" w:cs="Arial" w:eastAsia="Arial" w:hAnsi="Arial"/>
          <w:sz w:val="10"/>
          <w:szCs w:val="10"/>
          <w:color w:val="000000"/>
        </w:rPr>
        <w:t>the Company’s financial performance and liquidity could be further impacted and could impact the</w:t>
      </w:r>
      <w:r>
        <w:rPr>
          <w:rFonts w:ascii="Arial" w:cs="Arial" w:eastAsia="Arial" w:hAnsi="Arial"/>
          <w:sz w:val="10"/>
          <w:szCs w:val="10"/>
          <w:color w:val="212529"/>
        </w:rPr>
        <w:t xml:space="preserve"> </w:t>
      </w:r>
      <w:r>
        <w:rPr>
          <w:rFonts w:ascii="Arial" w:cs="Arial" w:eastAsia="Arial" w:hAnsi="Arial"/>
          <w:sz w:val="10"/>
          <w:szCs w:val="10"/>
          <w:color w:val="000000"/>
        </w:rPr>
        <w:t>Company’s ability to meet certain covenants required in its 2018 Credit Agreement (as defined in Note 6), specifically the lease-adjusted coverage ratio and fixed-charge coverage ratio.</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ind w:left="20" w:right="139"/>
        <w:spacing w:after="0" w:line="323" w:lineRule="auto"/>
        <w:rPr>
          <w:sz w:val="20"/>
          <w:szCs w:val="20"/>
          <w:color w:val="auto"/>
        </w:rPr>
      </w:pPr>
      <w:r>
        <w:rPr>
          <w:rFonts w:ascii="Arial" w:cs="Arial" w:eastAsia="Arial" w:hAnsi="Arial"/>
          <w:sz w:val="11"/>
          <w:szCs w:val="11"/>
          <w:color w:val="auto"/>
        </w:rPr>
        <w:t>The Company uses a 52- or 53-week fiscal year ending on the last Wednesday of each calendar year. Fiscal 2020, 2019, and 2018 ended on December 30, 2020, December 25, 2019 and December 26, 2018, respectively. In a 52-week fiscal year, each quarter includes 13 weeks of operations. In a 53-week fiscal year, the first, second and third quarters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69" w:name="page70"/>
    <w:bookmarkEnd w:id="6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each include 13 weeks of operations and the fourth quarter includes 14 weeks of operations. Approximately every six or seven years a 53-week fiscal year occurs. Fiscal 2019 and 2018 were 52-week fiscal years. Fiscal 2020 was a 53-week fiscal year. 53-week years may cause revenues, expenses, and other results of operations to be higher due to the additional week of operations.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Principles of Consolidation</w:t>
      </w:r>
    </w:p>
    <w:p>
      <w:pPr>
        <w:spacing w:after="0" w:line="154" w:lineRule="exact"/>
        <w:rPr>
          <w:sz w:val="20"/>
          <w:szCs w:val="20"/>
          <w:color w:val="auto"/>
        </w:rPr>
      </w:pPr>
    </w:p>
    <w:p>
      <w:pPr>
        <w:ind w:left="20" w:right="539"/>
        <w:spacing w:after="0" w:line="276" w:lineRule="auto"/>
        <w:rPr>
          <w:sz w:val="20"/>
          <w:szCs w:val="20"/>
          <w:color w:val="auto"/>
        </w:rPr>
      </w:pPr>
      <w:r>
        <w:rPr>
          <w:rFonts w:ascii="Arial" w:cs="Arial" w:eastAsia="Arial" w:hAnsi="Arial"/>
          <w:sz w:val="12"/>
          <w:szCs w:val="12"/>
          <w:color w:val="auto"/>
        </w:rPr>
        <w:t>The accompanying consolidated financial statements include the accounts of Holdings and its wholly owned subsidiaries. All intercompany balances and transactions have been eliminated in consolidation.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Use of Estimates</w:t>
      </w:r>
    </w:p>
    <w:p>
      <w:pPr>
        <w:spacing w:after="0" w:line="154" w:lineRule="exact"/>
        <w:rPr>
          <w:sz w:val="20"/>
          <w:szCs w:val="20"/>
          <w:color w:val="auto"/>
        </w:rPr>
      </w:pPr>
    </w:p>
    <w:p>
      <w:pPr>
        <w:ind w:left="20" w:right="199"/>
        <w:spacing w:after="0" w:line="256" w:lineRule="auto"/>
        <w:rPr>
          <w:sz w:val="20"/>
          <w:szCs w:val="20"/>
          <w:color w:val="auto"/>
        </w:rPr>
      </w:pPr>
      <w:r>
        <w:rPr>
          <w:rFonts w:ascii="Arial" w:cs="Arial" w:eastAsia="Arial" w:hAnsi="Arial"/>
          <w:sz w:val="12"/>
          <w:szCs w:val="12"/>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accounting matters, stock-based compensation, tax receivable agreement (the “TRA”) liability, contingent liabilities and income tax valuation allowances.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COVID-19</w:t>
      </w:r>
    </w:p>
    <w:p>
      <w:pPr>
        <w:spacing w:after="0" w:line="15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On January 30, 2020, the World Health Organization (“WHO”) announced a global health emergency because of a new strain of coronavirus originating in Wuhan, China ("COVID-19") and the risks to the international community as the virus spreads globally beyond its point of origin. On March 11, 2020, the WHO classified the COVID-19 outbreak as a pandemic, based on the rapid increase in exposure globally.</w:t>
      </w:r>
    </w:p>
    <w:p>
      <w:pPr>
        <w:spacing w:after="0" w:line="122" w:lineRule="exact"/>
        <w:rPr>
          <w:sz w:val="20"/>
          <w:szCs w:val="20"/>
          <w:color w:val="auto"/>
        </w:rPr>
      </w:pPr>
    </w:p>
    <w:p>
      <w:pPr>
        <w:ind w:left="20" w:right="39"/>
        <w:spacing w:after="0" w:line="308" w:lineRule="auto"/>
        <w:rPr>
          <w:sz w:val="20"/>
          <w:szCs w:val="20"/>
          <w:color w:val="auto"/>
        </w:rPr>
      </w:pPr>
      <w:r>
        <w:rPr>
          <w:rFonts w:ascii="Arial" w:cs="Arial" w:eastAsia="Arial" w:hAnsi="Arial"/>
          <w:sz w:val="10"/>
          <w:szCs w:val="10"/>
          <w:color w:val="auto"/>
        </w:rPr>
        <w:t xml:space="preserve">The COVID-19 pandemic has significantly disrupted consumer demand, as well as the Company’s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Many state and local governments continue to implement certain restrictions to try and contain the spread of the virus. As of December 30, 2020 most of the Company’s markets outside of California have dining rooms open at a limited capacity, while the majority of the Company’s restaurants in California are continuing to operate on a take-away, mobile pick-up and delivery basis, as well as maintaining drive-thru operations where available, </w:t>
      </w:r>
      <w:r>
        <w:rPr>
          <w:rFonts w:ascii="Arial" w:cs="Arial" w:eastAsia="Arial" w:hAnsi="Arial"/>
          <w:sz w:val="10"/>
          <w:szCs w:val="10"/>
          <w:color w:val="212529"/>
        </w:rPr>
        <w:t>in order to</w:t>
      </w:r>
      <w:r>
        <w:rPr>
          <w:rFonts w:ascii="Arial" w:cs="Arial" w:eastAsia="Arial" w:hAnsi="Arial"/>
          <w:sz w:val="10"/>
          <w:szCs w:val="10"/>
          <w:color w:val="auto"/>
        </w:rPr>
        <w:t xml:space="preserve"> comply with the government mandates. Additionally, the Los Angeles market was heavily impacted by a spike in COVID-19 cases near the end of fiscal 2020. Due to the Company’s high concentration in this market the Company was disproportionately impacted by this spike. Due to the impact of the COVID-19 pandemic, during the year ended December 30, 2020, the Company temporarily closed 154 restaurants, of which all but seven have reopened as of December 30, 2020. Similarly, during the year ended December 30, 2020, the Company’s franchisees temporarily closed 69 restaurants, of which all but three have reopened as of December 30, 2020. For both franchise- and company-operated restaurants, this represents total closures and may include more than one closure for the same restaurant. These closures typically lasted from one to three days. As of December 30, 2020, the Company had not permanently closed any restaurants due to the COVID-19 pandemic.</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During fiscal 2020, the Company incurred $4.9 million in COVID-19 related expenses, primarily due to leaves of absence and overtime pay.</w:t>
      </w:r>
    </w:p>
    <w:p>
      <w:pPr>
        <w:spacing w:after="0" w:line="150" w:lineRule="exact"/>
        <w:rPr>
          <w:sz w:val="20"/>
          <w:szCs w:val="20"/>
          <w:color w:val="auto"/>
        </w:rPr>
      </w:pPr>
    </w:p>
    <w:p>
      <w:pPr>
        <w:ind w:left="20" w:right="139"/>
        <w:spacing w:after="0" w:line="259" w:lineRule="auto"/>
        <w:rPr>
          <w:sz w:val="20"/>
          <w:szCs w:val="20"/>
          <w:color w:val="auto"/>
        </w:rPr>
      </w:pPr>
      <w:r>
        <w:rPr>
          <w:rFonts w:ascii="Arial" w:cs="Arial" w:eastAsia="Arial" w:hAnsi="Arial"/>
          <w:sz w:val="12"/>
          <w:szCs w:val="12"/>
          <w:color w:val="auto"/>
        </w:rPr>
        <w:t>The full impact of the COVID-19 outbreak continues to evolve as of the date of this report. Management has taken precautionary actions, such as initially drawing on its 2018 Revolver, which has since been paid down (see Note 6 “Long-Term Debt”), temporarily suspending all but essential capital spending and share repurchase activity, reevaluating essential support center general and administrative expenses and fine-tuning its restaurant labor model based on indoor dining room restrictions, limited dining room capacity in restaurants located in geographies where indoor dining is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0" w:name="page71"/>
    <w:bookmarkEnd w:id="7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39"/>
        <w:spacing w:after="0" w:line="278" w:lineRule="auto"/>
        <w:rPr>
          <w:sz w:val="20"/>
          <w:szCs w:val="20"/>
          <w:color w:val="auto"/>
        </w:rPr>
      </w:pPr>
      <w:r>
        <w:rPr>
          <w:rFonts w:ascii="Arial" w:cs="Arial" w:eastAsia="Arial" w:hAnsi="Arial"/>
          <w:sz w:val="11"/>
          <w:szCs w:val="11"/>
          <w:color w:val="auto"/>
        </w:rPr>
        <w:t>permitted, dining room closures and fluctuating sales volumes. Additionally, management delayed making April, May and June rent payments on the majority of its leased properties and has reached agreements for rent abatement and/or deferment with the Company’s landlords for those properties. See Note 7 “Other Accrued Expenses and Current Liabilities” and Note 8 “Other Noncurrent Liabilities” for details of these balances. For the franchisees, the Company deferred 50% of their April royalties until July 1, 2020, when such royalties began to be repaid in even monthly installments over the remainder of fiscal 2020. As of December 30, 2020, all deferred royalty balances have been repaid. In addition, the Company deferred 100% of the franchisees’ 2020 remodel and new restaurant build requirements until the beginning of 2021. Management is continually evaluating the impact of the global crisis on its financial condition, liquidity, operations, suppliers, industry, and workforce and will take additional actions as necessary. The disruption in operations led to the Company considering the impact of the COVID-19 pandemic on its liquidity, debt covenant compliance, and recoverability of long-lived and ROU assets, goodwill and intangible assets, among others. If these disruptions to the Company’s operations from the COVID-19 pandemic continue or worsen, they may have a material negative impact on the Company’s consolidated financial condition, future results of operations and liquidity. The extent of such negative impact will depend, in part, on the longevity and severity of the COVID-19 pandemic, including the severity and transmission rates of COVID-19 variants, resurgences of COVID-19 that may continue to occur, the availability, distribution and efficacy of COVID-19 vaccines and how quickly and to what extent normal economic and operating conditions improve.</w:t>
      </w:r>
    </w:p>
    <w:p>
      <w:pPr>
        <w:spacing w:after="0" w:line="116" w:lineRule="exact"/>
        <w:rPr>
          <w:sz w:val="20"/>
          <w:szCs w:val="20"/>
          <w:color w:val="auto"/>
        </w:rPr>
      </w:pPr>
    </w:p>
    <w:p>
      <w:pPr>
        <w:jc w:val="both"/>
        <w:ind w:left="20" w:right="219"/>
        <w:spacing w:after="0" w:line="263" w:lineRule="auto"/>
        <w:rPr>
          <w:sz w:val="20"/>
          <w:szCs w:val="20"/>
          <w:color w:val="auto"/>
        </w:rPr>
      </w:pPr>
      <w:r>
        <w:rPr>
          <w:rFonts w:ascii="Arial" w:cs="Arial" w:eastAsia="Arial" w:hAnsi="Arial"/>
          <w:sz w:val="12"/>
          <w:szCs w:val="12"/>
          <w:color w:val="auto"/>
        </w:rPr>
        <w:t>Due to the rapid development and fluidity of this situation, the Company cannot determine the ultimate impact that the COVID-19 pandemic will have on the Company’s consolidated financial condition, liquidity, and future results of operations, and therefore any prediction as to the ultimate materiality of the adverse impact on the Company’s consolidated financial condition, liquidity, and future results of operations is uncertain.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considers all liquid instruments with a maturity of three months or less at the date of purchase to be cash equivalents.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Subsequent Events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Subsequent to December 30, 2020, the Company elected to pay down $7.0 million of outstanding borrowings on its 2018 Revolver. As of March 15, 2021, the Company had</w:t>
      </w:r>
    </w:p>
    <w:p>
      <w:pPr>
        <w:spacing w:after="0" w:line="26" w:lineRule="exact"/>
        <w:rPr>
          <w:sz w:val="20"/>
          <w:szCs w:val="20"/>
          <w:color w:val="auto"/>
        </w:rPr>
      </w:pPr>
    </w:p>
    <w:p>
      <w:pPr>
        <w:ind w:left="20" w:right="319"/>
        <w:spacing w:after="0" w:line="260" w:lineRule="auto"/>
        <w:rPr>
          <w:sz w:val="20"/>
          <w:szCs w:val="20"/>
          <w:color w:val="auto"/>
        </w:rPr>
      </w:pPr>
      <w:r>
        <w:rPr>
          <w:rFonts w:ascii="Arial" w:cs="Arial" w:eastAsia="Arial" w:hAnsi="Arial"/>
          <w:sz w:val="12"/>
          <w:szCs w:val="12"/>
          <w:color w:val="auto"/>
        </w:rPr>
        <w:t>$55.8 million in outstanding borrowings under the 2018 Revolver and $85.8 million in borrowing availability. Further, the Company increased the borrowing capacity on its letter of credit by $1.6 million totaling $9.9 million as of March 15, 2021.</w:t>
      </w:r>
    </w:p>
    <w:p>
      <w:pPr>
        <w:spacing w:after="0" w:line="124" w:lineRule="exact"/>
        <w:rPr>
          <w:sz w:val="20"/>
          <w:szCs w:val="20"/>
          <w:color w:val="auto"/>
        </w:rPr>
      </w:pPr>
    </w:p>
    <w:p>
      <w:pPr>
        <w:ind w:left="20" w:right="239"/>
        <w:spacing w:after="0" w:line="276" w:lineRule="auto"/>
        <w:rPr>
          <w:sz w:val="20"/>
          <w:szCs w:val="20"/>
          <w:color w:val="auto"/>
        </w:rPr>
      </w:pPr>
      <w:r>
        <w:rPr>
          <w:rFonts w:ascii="Arial" w:cs="Arial" w:eastAsia="Arial" w:hAnsi="Arial"/>
          <w:sz w:val="12"/>
          <w:szCs w:val="12"/>
          <w:color w:val="auto"/>
        </w:rPr>
        <w:t>The Company evaluated subsequent events that have occurred after December 30, 2020, and determined that there were no other events or transactions occurring during this reporting period that require recognition or disclosure in the consolidated financial statements.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Concentration of Risk</w:t>
      </w:r>
    </w:p>
    <w:p>
      <w:pPr>
        <w:spacing w:after="0" w:line="15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Cash and cash equivalents are maintained at financial institutions and, at times, balances may exceed federally-insured limits. The Company has never experienced any losses related to these balances.</w:t>
      </w:r>
    </w:p>
    <w:p>
      <w:pPr>
        <w:spacing w:after="0" w:line="115"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The Company had two suppliers for which amounts due at December 30, 2020 totaled 24.2% and 11.4% of the Company’s accounts payable. As of December 25, 2019, the Company had one supplier for which amounts due totaled 11.7% of the Company’s accounts payable. Purchases from the Company’s largest supplier totaled 26.9% of the Company’s purchases for fiscal 2020, 29.0% for fiscal 2019 and 28.8% for fiscal 2018 with no amounts payable at December 30, 2020 or December 25, 2019.</w:t>
      </w:r>
    </w:p>
    <w:p>
      <w:pPr>
        <w:spacing w:after="0" w:line="122" w:lineRule="exact"/>
        <w:rPr>
          <w:sz w:val="20"/>
          <w:szCs w:val="20"/>
          <w:color w:val="auto"/>
        </w:rPr>
      </w:pPr>
    </w:p>
    <w:p>
      <w:pPr>
        <w:ind w:left="20" w:right="399"/>
        <w:spacing w:after="0" w:line="263" w:lineRule="auto"/>
        <w:rPr>
          <w:sz w:val="20"/>
          <w:szCs w:val="20"/>
          <w:color w:val="auto"/>
        </w:rPr>
      </w:pPr>
      <w:r>
        <w:rPr>
          <w:rFonts w:ascii="Arial" w:cs="Arial" w:eastAsia="Arial" w:hAnsi="Arial"/>
          <w:sz w:val="12"/>
          <w:szCs w:val="12"/>
          <w:color w:val="auto"/>
        </w:rPr>
        <w:t>In fiscal 2020, 2019 and 2018, Company-operated and franchised restaurants in the greater Los Angeles area generated, in the aggregate, approximately 71.3%, 70.5%, and 69.2%, respectively, of total revenue. One franchisee accounted for 11.5% of total accounts receivable as of December 30, 2020, and one franchisee accounted for 10% of total accounts receivable as of December 25,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1" w:name="page72"/>
    <w:bookmarkEnd w:id="7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Management believes the loss of the significant supplier or franchisee could have a material adverse effect on the Company’s consolidated results of operations and financial condition.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Accounts and Other Receivables, Net</w:t>
      </w:r>
    </w:p>
    <w:p>
      <w:pPr>
        <w:spacing w:after="0" w:line="154" w:lineRule="exact"/>
        <w:rPr>
          <w:sz w:val="20"/>
          <w:szCs w:val="20"/>
          <w:color w:val="auto"/>
        </w:rPr>
      </w:pPr>
    </w:p>
    <w:p>
      <w:pPr>
        <w:jc w:val="both"/>
        <w:ind w:left="20" w:right="79"/>
        <w:spacing w:after="0" w:line="289" w:lineRule="auto"/>
        <w:rPr>
          <w:sz w:val="20"/>
          <w:szCs w:val="20"/>
          <w:color w:val="auto"/>
        </w:rPr>
      </w:pPr>
      <w:r>
        <w:rPr>
          <w:rFonts w:ascii="Arial" w:cs="Arial" w:eastAsia="Arial" w:hAnsi="Arial"/>
          <w:sz w:val="11"/>
          <w:szCs w:val="11"/>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 Bad debt expense was $0.2 million for the year ended December 30, 2020. There was no bad debt expense for the years ended December 25, 2019 and December 26, 2018.</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Inventories consist principally of food, beverages and supplies and are valued at the lower of average cost or net realizable value.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Property and Equipment, Net</w:t>
      </w:r>
    </w:p>
    <w:p>
      <w:pPr>
        <w:spacing w:after="0" w:line="154" w:lineRule="exact"/>
        <w:rPr>
          <w:sz w:val="20"/>
          <w:szCs w:val="20"/>
          <w:color w:val="auto"/>
        </w:rPr>
      </w:pPr>
    </w:p>
    <w:p>
      <w:pPr>
        <w:ind w:left="20" w:right="219"/>
        <w:spacing w:after="0" w:line="283" w:lineRule="auto"/>
        <w:rPr>
          <w:sz w:val="20"/>
          <w:szCs w:val="20"/>
          <w:color w:val="auto"/>
        </w:rPr>
      </w:pPr>
      <w:r>
        <w:rPr>
          <w:rFonts w:ascii="Arial" w:cs="Arial" w:eastAsia="Arial" w:hAnsi="Arial"/>
          <w:sz w:val="11"/>
          <w:szCs w:val="11"/>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 Leasehold improvements and property held under finance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4820" w:type="dxa"/>
            <w:vAlign w:val="bottom"/>
            <w:gridSpan w:val="2"/>
          </w:tcPr>
          <w:p>
            <w:pPr>
              <w:spacing w:after="0"/>
              <w:rPr>
                <w:sz w:val="20"/>
                <w:szCs w:val="20"/>
                <w:color w:val="auto"/>
              </w:rPr>
            </w:pPr>
            <w:r>
              <w:rPr>
                <w:rFonts w:ascii="Arial" w:cs="Arial" w:eastAsia="Arial" w:hAnsi="Arial"/>
                <w:sz w:val="12"/>
                <w:szCs w:val="12"/>
                <w:color w:val="auto"/>
              </w:rPr>
              <w:t>The estimated useful service lives are as follows:</w:t>
            </w:r>
          </w:p>
        </w:tc>
        <w:tc>
          <w:tcPr>
            <w:tcW w:w="4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8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Buildings</w:t>
            </w:r>
          </w:p>
        </w:tc>
        <w:tc>
          <w:tcPr>
            <w:tcW w:w="4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Land improvements</w:t>
            </w:r>
          </w:p>
        </w:tc>
        <w:tc>
          <w:tcPr>
            <w:tcW w:w="4140" w:type="dxa"/>
            <w:vAlign w:val="bottom"/>
          </w:tcPr>
          <w:p>
            <w:pPr>
              <w:jc w:val="right"/>
              <w:spacing w:after="0"/>
              <w:rPr>
                <w:sz w:val="20"/>
                <w:szCs w:val="20"/>
                <w:color w:val="auto"/>
              </w:rPr>
            </w:pPr>
            <w:r>
              <w:rPr>
                <w:rFonts w:ascii="Arial" w:cs="Arial" w:eastAsia="Arial" w:hAnsi="Arial"/>
                <w:sz w:val="12"/>
                <w:szCs w:val="12"/>
                <w:color w:val="auto"/>
              </w:rPr>
              <w:t>3—30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Building improvements</w:t>
            </w:r>
          </w:p>
        </w:tc>
        <w:tc>
          <w:tcPr>
            <w:tcW w:w="4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Restaurant equipment</w:t>
            </w:r>
          </w:p>
        </w:tc>
        <w:tc>
          <w:tcPr>
            <w:tcW w:w="4140" w:type="dxa"/>
            <w:vAlign w:val="bottom"/>
          </w:tcPr>
          <w:p>
            <w:pPr>
              <w:jc w:val="right"/>
              <w:spacing w:after="0"/>
              <w:rPr>
                <w:sz w:val="20"/>
                <w:szCs w:val="20"/>
                <w:color w:val="auto"/>
              </w:rPr>
            </w:pPr>
            <w:r>
              <w:rPr>
                <w:rFonts w:ascii="Arial" w:cs="Arial" w:eastAsia="Arial" w:hAnsi="Arial"/>
                <w:sz w:val="12"/>
                <w:szCs w:val="12"/>
                <w:color w:val="auto"/>
              </w:rPr>
              <w:t>3—10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Other equipment</w:t>
            </w:r>
          </w:p>
        </w:tc>
        <w:tc>
          <w:tcPr>
            <w:tcW w:w="4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Property/equipment held under finance leases</w:t>
            </w:r>
          </w:p>
        </w:tc>
        <w:tc>
          <w:tcPr>
            <w:tcW w:w="4140" w:type="dxa"/>
            <w:vAlign w:val="bottom"/>
          </w:tcPr>
          <w:p>
            <w:pPr>
              <w:jc w:val="right"/>
              <w:spacing w:after="0"/>
              <w:rPr>
                <w:sz w:val="20"/>
                <w:szCs w:val="20"/>
                <w:color w:val="auto"/>
              </w:rPr>
            </w:pPr>
            <w:r>
              <w:rPr>
                <w:rFonts w:ascii="Arial" w:cs="Arial" w:eastAsia="Arial" w:hAnsi="Arial"/>
                <w:sz w:val="12"/>
                <w:szCs w:val="12"/>
                <w:color w:val="auto"/>
              </w:rPr>
              <w:t>Shorter of useful life or lease term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4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Shorter of useful life or lease term</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right="39"/>
        <w:spacing w:after="0" w:line="254" w:lineRule="auto"/>
        <w:rPr>
          <w:sz w:val="20"/>
          <w:szCs w:val="20"/>
          <w:color w:val="auto"/>
        </w:rPr>
      </w:pPr>
      <w:r>
        <w:rPr>
          <w:rFonts w:ascii="Arial" w:cs="Arial" w:eastAsia="Arial" w:hAnsi="Arial"/>
          <w:sz w:val="12"/>
          <w:szCs w:val="12"/>
          <w:color w:val="auto"/>
        </w:rPr>
        <w:t>The Company capitalizes certain directly attributable internal costs in conjunction with the acquisition, development and construction of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operations, and were less than $0.1 million for each of the years ended December 30, 2020 and December 25, 2019, and $0.3 million for the year ended December 26, 2018. The Company capitalized internal costs related to site selection and construction activities of $1.0 million, $1.1 million and $1.3 million for the years ended December 30, 2020, December 25, 2019, and December 26, 2018, respectively. Capitalized internal interest costs related to site selection and construction activities were less than $0.1 million, $0.1 million and $0.2 million for the years ended December 30, 2020, December 25, 2019, and December 26, 2018,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2" w:name="page73"/>
    <w:bookmarkEnd w:id="7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Impairment of Long-Lived and ROU Assets</w:t>
      </w:r>
    </w:p>
    <w:p>
      <w:pPr>
        <w:spacing w:after="0" w:line="154" w:lineRule="exact"/>
        <w:rPr>
          <w:sz w:val="20"/>
          <w:szCs w:val="20"/>
          <w:color w:val="auto"/>
        </w:rPr>
      </w:pPr>
    </w:p>
    <w:p>
      <w:pPr>
        <w:ind w:left="20" w:right="59"/>
        <w:spacing w:after="0" w:line="307" w:lineRule="auto"/>
        <w:rPr>
          <w:sz w:val="20"/>
          <w:szCs w:val="20"/>
          <w:color w:val="auto"/>
        </w:rPr>
      </w:pPr>
      <w:r>
        <w:rPr>
          <w:rFonts w:ascii="Arial" w:cs="Arial" w:eastAsia="Arial" w:hAnsi="Arial"/>
          <w:sz w:val="10"/>
          <w:szCs w:val="10"/>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As of December 30, 2020 and December 25, 2019, ROU assets related to closed or subleased restaurant locations totaled $27.7 million and $31.8 million, respectively.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primarily related to the impact of the COVID-19 pandemic, occurred for certain stores during the year ended December 30, 2020 that required an impairment review of the Company’s long-lived and ROU assets. Based on the results of this analysis, the Company recorded non-cash impairment charges of $3.5 million for the year ended December 30, 2020, primarily related to the carrying value of the ROU assets of one restaurant in Texas and the long-lived assets of four restaurants in California.</w:t>
      </w:r>
    </w:p>
    <w:p>
      <w:pPr>
        <w:spacing w:after="0" w:line="251" w:lineRule="exact"/>
        <w:rPr>
          <w:sz w:val="20"/>
          <w:szCs w:val="20"/>
          <w:color w:val="auto"/>
        </w:rPr>
      </w:pPr>
    </w:p>
    <w:p>
      <w:pPr>
        <w:ind w:left="20" w:right="219"/>
        <w:spacing w:after="0" w:line="255" w:lineRule="auto"/>
        <w:rPr>
          <w:sz w:val="20"/>
          <w:szCs w:val="20"/>
          <w:color w:val="auto"/>
        </w:rPr>
      </w:pPr>
      <w:r>
        <w:rPr>
          <w:rFonts w:ascii="Arial" w:cs="Arial" w:eastAsia="Arial" w:hAnsi="Arial"/>
          <w:sz w:val="12"/>
          <w:szCs w:val="12"/>
          <w:color w:val="auto"/>
        </w:rPr>
        <w:t>In fiscal 2019, the Company recorded non-cash impairment charges of $3.6 million primarily related to the carrying value of the ROU assets of four restaurants sold to franchisees and one restaurant closed during fiscal 2019, and the long-lived assets of one restaurant in California. In fiscal 2018, the Company recorded a non-cash impairment charge of $5.1 million, primarily related to the carrying value of four restaurants in Arizona, California and Texas, including a restaurant in Texas that opened in early 2018.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Closed-Store Reserves</w:t>
      </w:r>
    </w:p>
    <w:p>
      <w:pPr>
        <w:spacing w:after="0" w:line="154"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Prior to the adoption of Accounting Standards Codification ASC Topic 842 “Leases” (“Topic 842”), when the Company closed a restaurant, it reviewed the future minimum lease payments and related ancillary costs from the date of the restaurant closure to the end of the remaining lease term and recorded a lease charge for the lease liabilities to be incurred, net of any estimated sublease recoveries. The estimates of future closed-store reserves were re-evaluated and adjusted each period based on information available as of the period. In addition, an impairment charge was recognized for any remaining carrying value of certain restaurant assets. During fiscal 2018, the Company closed seven restaurants in Arizona, California and Texas. These closures resulted in closed-store reserve expenses of $4.5 million during fiscal 2018.</w:t>
      </w:r>
    </w:p>
    <w:p>
      <w:pPr>
        <w:spacing w:after="0" w:line="113"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Subsequent to the adoption of Topic 842, the Company no longer recognizes a closed-store reserve when the Company closes a restaurant, as there is already a lease liability on its books related to the future lease payments. Rather, 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w:t>
      </w:r>
    </w:p>
    <w:p>
      <w:pPr>
        <w:spacing w:after="0" w:line="124" w:lineRule="exact"/>
        <w:rPr>
          <w:sz w:val="20"/>
          <w:szCs w:val="20"/>
          <w:color w:val="auto"/>
        </w:rPr>
      </w:pPr>
    </w:p>
    <w:p>
      <w:pPr>
        <w:ind w:left="20" w:right="279"/>
        <w:spacing w:after="0" w:line="276" w:lineRule="auto"/>
        <w:rPr>
          <w:sz w:val="20"/>
          <w:szCs w:val="20"/>
          <w:color w:val="auto"/>
        </w:rPr>
      </w:pPr>
      <w:r>
        <w:rPr>
          <w:rFonts w:ascii="Arial" w:cs="Arial" w:eastAsia="Arial" w:hAnsi="Arial"/>
          <w:sz w:val="12"/>
          <w:szCs w:val="12"/>
          <w:color w:val="auto"/>
        </w:rPr>
        <w:t>During fiscal 2020, the Company recognized $1.2 million of closed-store reserve expense related to the amortization of ROU assets, property taxes and CAM payments for its closed locations.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3" w:name="page74"/>
    <w:bookmarkEnd w:id="7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During fiscal 2019, the Company closed two restaurants in California and two in Texas and recognized $1.3 million of closed-store reserve expense, primarily related to the amortization of ROU assets, property taxes and CAM payments for its closed locations.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Goodwill and Indefinite-Lived Intangible Assets</w:t>
      </w:r>
    </w:p>
    <w:p>
      <w:pPr>
        <w:spacing w:after="0" w:line="154"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122"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in fiscal 2020, 2019 and 2018.</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performs annual impairment tests for goodwill during the fourth fiscal quarter of each year, or more frequently if impairment indicators arise.</w:t>
      </w:r>
    </w:p>
    <w:p>
      <w:pPr>
        <w:spacing w:after="0" w:line="150" w:lineRule="exact"/>
        <w:rPr>
          <w:sz w:val="20"/>
          <w:szCs w:val="20"/>
          <w:color w:val="auto"/>
        </w:rPr>
      </w:pPr>
    </w:p>
    <w:p>
      <w:pPr>
        <w:ind w:left="20" w:right="119"/>
        <w:spacing w:after="0" w:line="255" w:lineRule="auto"/>
        <w:rPr>
          <w:sz w:val="20"/>
          <w:szCs w:val="20"/>
          <w:color w:val="auto"/>
        </w:rPr>
      </w:pPr>
      <w:r>
        <w:rPr>
          <w:rFonts w:ascii="Arial" w:cs="Arial" w:eastAsia="Arial" w:hAnsi="Arial"/>
          <w:sz w:val="12"/>
          <w:szCs w:val="12"/>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28" w:lineRule="exact"/>
        <w:rPr>
          <w:sz w:val="20"/>
          <w:szCs w:val="20"/>
          <w:color w:val="auto"/>
        </w:rPr>
      </w:pPr>
    </w:p>
    <w:p>
      <w:pPr>
        <w:ind w:left="20" w:right="199"/>
        <w:spacing w:after="0" w:line="263" w:lineRule="auto"/>
        <w:rPr>
          <w:sz w:val="20"/>
          <w:szCs w:val="20"/>
          <w:color w:val="auto"/>
        </w:rPr>
      </w:pPr>
      <w:r>
        <w:rPr>
          <w:rFonts w:ascii="Arial" w:cs="Arial" w:eastAsia="Arial" w:hAnsi="Arial"/>
          <w:sz w:val="12"/>
          <w:szCs w:val="12"/>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22" w:lineRule="exact"/>
        <w:rPr>
          <w:sz w:val="20"/>
          <w:szCs w:val="20"/>
          <w:color w:val="auto"/>
        </w:rPr>
      </w:pPr>
    </w:p>
    <w:p>
      <w:pPr>
        <w:ind w:left="20" w:right="79"/>
        <w:spacing w:after="0" w:line="323" w:lineRule="auto"/>
        <w:rPr>
          <w:sz w:val="20"/>
          <w:szCs w:val="20"/>
          <w:color w:val="auto"/>
        </w:rPr>
      </w:pPr>
      <w:r>
        <w:rPr>
          <w:rFonts w:ascii="Arial" w:cs="Arial" w:eastAsia="Arial" w:hAnsi="Arial"/>
          <w:sz w:val="11"/>
          <w:szCs w:val="11"/>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92"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Due to the recent impact of the COVID-19 pandemic to the Company’s business and the global economy, including but not limited to the volatility of the Company’s stock price as well as that of its competitors and the challenging environment for the restaurant industry generally, the Company determined that there were indicators of potential impairment of its goodwill and indefinite-lived intangible assets during fiscal 2020. As such, the Company performed an impairment assessment for both goodwill and indefinite-lived intangible assets and concluded that the fair value of these assets substantially exceeded their carrying values. Accordingly, the Company did not record any impairment to its goodwill or indefinite-lived intangible assets during the year ended December 30, 2020. T</w:t>
      </w:r>
      <w:r>
        <w:rPr>
          <w:rFonts w:ascii="Arial" w:cs="Arial" w:eastAsia="Arial" w:hAnsi="Arial"/>
          <w:sz w:val="11"/>
          <w:szCs w:val="11"/>
          <w:color w:val="212529"/>
        </w:rPr>
        <w:t>he ultimate severity and longevity of the COVID-19 pandemic and the extent and duration of any economic downturn is</w:t>
      </w:r>
      <w:r>
        <w:rPr>
          <w:rFonts w:ascii="Arial" w:cs="Arial" w:eastAsia="Arial" w:hAnsi="Arial"/>
          <w:sz w:val="11"/>
          <w:szCs w:val="11"/>
          <w:color w:val="auto"/>
        </w:rPr>
        <w:t xml:space="preserve"> </w:t>
      </w:r>
      <w:r>
        <w:rPr>
          <w:rFonts w:ascii="Arial" w:cs="Arial" w:eastAsia="Arial" w:hAnsi="Arial"/>
          <w:sz w:val="11"/>
          <w:szCs w:val="11"/>
          <w:color w:val="212529"/>
        </w:rPr>
        <w:t xml:space="preserve">unknown, and therefore, </w:t>
      </w:r>
      <w:r>
        <w:rPr>
          <w:rFonts w:ascii="Arial" w:cs="Arial" w:eastAsia="Arial" w:hAnsi="Arial"/>
          <w:sz w:val="11"/>
          <w:szCs w:val="11"/>
          <w:color w:val="000000"/>
        </w:rPr>
        <w:t>it is possible that impairments could be identified in future periods, and such amounts could be material.</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Deferred Financing Costs</w:t>
      </w:r>
    </w:p>
    <w:p>
      <w:pPr>
        <w:spacing w:after="0" w:line="154"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Deferred financing costs are capitalized and amortized over the period of the loan on a straight-line basis, which approximates the effective interest method. Transaction costs of $0.8 million were incurred in connection with the July 13, 2018 refinancing and were capitalized during fiscal 2018. Included in other assets are deferred financing costs (net of accumulated amortization), related to the revolver, of $0.6 million and $0.8 million as of December 30, 2020 and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4" w:name="page75"/>
    <w:bookmarkEnd w:id="7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799"/>
        <w:spacing w:after="0" w:line="323" w:lineRule="auto"/>
        <w:rPr>
          <w:sz w:val="20"/>
          <w:szCs w:val="20"/>
          <w:color w:val="auto"/>
        </w:rPr>
      </w:pPr>
      <w:r>
        <w:rPr>
          <w:rFonts w:ascii="Arial" w:cs="Arial" w:eastAsia="Arial" w:hAnsi="Arial"/>
          <w:sz w:val="11"/>
          <w:szCs w:val="11"/>
          <w:color w:val="auto"/>
        </w:rPr>
        <w:t>December 25, 2019, respectively. Amortization expense for deferred financing costs was approximately $0.3 million for each of the three years ended December 30, 2020, December 25, 2019, and December 26, 2018, and is reflected as a component of interest expense in the accompanying consolidated statements of operations.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Insurance Reserves</w:t>
      </w:r>
    </w:p>
    <w:p>
      <w:pPr>
        <w:spacing w:after="0" w:line="154" w:lineRule="exact"/>
        <w:rPr>
          <w:sz w:val="20"/>
          <w:szCs w:val="20"/>
          <w:color w:val="auto"/>
        </w:rPr>
      </w:pPr>
    </w:p>
    <w:p>
      <w:pPr>
        <w:ind w:left="20" w:right="99"/>
        <w:spacing w:after="0" w:line="285" w:lineRule="auto"/>
        <w:rPr>
          <w:sz w:val="20"/>
          <w:szCs w:val="20"/>
          <w:color w:val="auto"/>
        </w:rPr>
      </w:pPr>
      <w:r>
        <w:rPr>
          <w:rFonts w:ascii="Arial" w:cs="Arial" w:eastAsia="Arial" w:hAnsi="Arial"/>
          <w:sz w:val="11"/>
          <w:szCs w:val="11"/>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30, 2020 and December 25, 2019, the Company had accrued $10.4 million and $9.4 million, respectively, and such amounts are reflected as accrued insurance in the accompanying consolidated balance sheets. The expense for such reserves for the years ended December 30, 2020, December 25, 2019 and December 26, 2018, totaled $8.4 million, $9.6 million, and $8.0 million, respectively. These amounts are included in labor and related expenses and general and administrative expenses on the accompanying consolidated statements of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Restaurant Revenue</w:t>
      </w:r>
    </w:p>
    <w:p>
      <w:pPr>
        <w:spacing w:after="0" w:line="154" w:lineRule="exact"/>
        <w:rPr>
          <w:sz w:val="20"/>
          <w:szCs w:val="20"/>
          <w:color w:val="auto"/>
        </w:rPr>
      </w:pPr>
    </w:p>
    <w:p>
      <w:pPr>
        <w:ind w:left="20" w:right="159"/>
        <w:spacing w:after="0" w:line="263" w:lineRule="auto"/>
        <w:rPr>
          <w:sz w:val="20"/>
          <w:szCs w:val="20"/>
          <w:color w:val="auto"/>
        </w:rPr>
      </w:pPr>
      <w:r>
        <w:rPr>
          <w:rFonts w:ascii="Arial" w:cs="Arial" w:eastAsia="Arial" w:hAnsi="Arial"/>
          <w:sz w:val="12"/>
          <w:szCs w:val="12"/>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$7.5 million, $8.0 million and $8.8 million during the years ended December 30, 2020, December 25, 2019, and December 26, 2018, respectively.</w:t>
      </w:r>
    </w:p>
    <w:p>
      <w:pPr>
        <w:spacing w:after="0" w:line="122" w:lineRule="exact"/>
        <w:rPr>
          <w:sz w:val="20"/>
          <w:szCs w:val="20"/>
          <w:color w:val="auto"/>
        </w:rPr>
      </w:pPr>
    </w:p>
    <w:p>
      <w:pPr>
        <w:ind w:left="20" w:right="39"/>
        <w:spacing w:after="0" w:line="279" w:lineRule="auto"/>
        <w:rPr>
          <w:sz w:val="20"/>
          <w:szCs w:val="20"/>
          <w:color w:val="auto"/>
        </w:rPr>
      </w:pPr>
      <w:r>
        <w:rPr>
          <w:rFonts w:ascii="Arial" w:cs="Arial" w:eastAsia="Arial" w:hAnsi="Arial"/>
          <w:sz w:val="11"/>
          <w:szCs w:val="11"/>
          <w:color w:val="auto"/>
        </w:rPr>
        <w:t>The Company offers a loyalty rewards program, which awards a customer points for dollars spent.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December 30, 2020 and December 25, 2019, the revenue allocated to loyalty points that have not been redeemed are $0.9 million and $1.1 million, respectively, which are reflected in the Company’s accompanying consolidated balance sheets within other accrued expenses and current liabilities. The Company expects the loyalty points to be redeemed and recognized over a one-year period.</w:t>
      </w:r>
    </w:p>
    <w:p>
      <w:pPr>
        <w:spacing w:after="0" w:line="117" w:lineRule="exact"/>
        <w:rPr>
          <w:sz w:val="20"/>
          <w:szCs w:val="20"/>
          <w:color w:val="auto"/>
        </w:rPr>
      </w:pPr>
    </w:p>
    <w:p>
      <w:pPr>
        <w:ind w:left="20" w:right="39"/>
        <w:spacing w:after="0" w:line="289" w:lineRule="auto"/>
        <w:rPr>
          <w:sz w:val="20"/>
          <w:szCs w:val="20"/>
          <w:color w:val="auto"/>
        </w:rPr>
      </w:pPr>
      <w:r>
        <w:rPr>
          <w:rFonts w:ascii="Arial" w:cs="Arial" w:eastAsia="Arial" w:hAnsi="Arial"/>
          <w:sz w:val="11"/>
          <w:szCs w:val="11"/>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consolidated balance sheets.</w:t>
      </w:r>
    </w:p>
    <w:p>
      <w:pPr>
        <w:spacing w:after="0" w:line="111"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The Company applied Topic 606 using the modified retrospective method by recognizing the cumulative effect of initially applying Topic 606 as an adjustment to the opening balance of equity at December 28, 2017. The cumulative catch-up adjustment recorded to accumulated deficit was approximately $3.5 million, net of taxes, related to franchise and development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Franchise Revenue</w:t>
      </w:r>
    </w:p>
    <w:p>
      <w:pPr>
        <w:spacing w:after="0" w:line="154" w:lineRule="exact"/>
        <w:rPr>
          <w:sz w:val="20"/>
          <w:szCs w:val="20"/>
          <w:color w:val="auto"/>
        </w:rPr>
      </w:pPr>
    </w:p>
    <w:p>
      <w:pPr>
        <w:ind w:left="20" w:right="39"/>
        <w:spacing w:after="0" w:line="323" w:lineRule="auto"/>
        <w:rPr>
          <w:sz w:val="20"/>
          <w:szCs w:val="20"/>
          <w:color w:val="auto"/>
        </w:rPr>
      </w:pPr>
      <w:r>
        <w:rPr>
          <w:rFonts w:ascii="Arial" w:cs="Arial" w:eastAsia="Arial" w:hAnsi="Arial"/>
          <w:sz w:val="11"/>
          <w:szCs w:val="11"/>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Under Topic 842, sublease income is recorded on a gross basis within the consolidated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5" w:name="page76"/>
    <w:bookmarkEnd w:id="7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statements of operations. Franchise royalties are based upon a percentage of net sales of the franchisee and are recorded as income as such sales are earned by the franchisees.</w:t>
      </w:r>
    </w:p>
    <w:p>
      <w:pPr>
        <w:spacing w:after="0" w:line="162"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For franchise and development agreement fees,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twenty years. As of December 30, 2020, the Company had executed development agreements that represent commitments to open 48 franchised restaurants at various dates through 2028.</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This revenue stream is made up of the following performance obligations:</w:t>
      </w:r>
    </w:p>
    <w:p>
      <w:pPr>
        <w:spacing w:after="0" w:line="150" w:lineRule="exact"/>
        <w:rPr>
          <w:sz w:val="20"/>
          <w:szCs w:val="20"/>
          <w:color w:val="auto"/>
        </w:rPr>
      </w:pPr>
    </w:p>
    <w:p>
      <w:pPr>
        <w:ind w:left="480" w:hanging="224"/>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Franchise License – inclusive of advertising services, development agreements, training, access to plans and help desk services;</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Discounted renewal option; and</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Hardware services.</w:t>
      </w:r>
    </w:p>
    <w:p>
      <w:pPr>
        <w:spacing w:after="0" w:line="150"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24" w:lineRule="exact"/>
        <w:rPr>
          <w:sz w:val="20"/>
          <w:szCs w:val="20"/>
          <w:color w:val="auto"/>
        </w:rPr>
      </w:pPr>
    </w:p>
    <w:p>
      <w:pPr>
        <w:ind w:left="20" w:right="219"/>
        <w:spacing w:after="0" w:line="259" w:lineRule="auto"/>
        <w:rPr>
          <w:sz w:val="20"/>
          <w:szCs w:val="20"/>
          <w:color w:val="auto"/>
        </w:rPr>
      </w:pPr>
      <w:r>
        <w:rPr>
          <w:rFonts w:ascii="Arial" w:cs="Arial" w:eastAsia="Arial" w:hAnsi="Arial"/>
          <w:sz w:val="12"/>
          <w:szCs w:val="12"/>
          <w:color w:val="auto"/>
        </w:rPr>
        <w:t>The sales-based royalty fee and sales-based advertising fee are considered variable consideration and are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24" w:lineRule="exact"/>
        <w:rPr>
          <w:sz w:val="20"/>
          <w:szCs w:val="20"/>
          <w:color w:val="auto"/>
        </w:rPr>
      </w:pPr>
    </w:p>
    <w:p>
      <w:pPr>
        <w:jc w:val="both"/>
        <w:ind w:left="20" w:right="459"/>
        <w:spacing w:after="0" w:line="298" w:lineRule="auto"/>
        <w:rPr>
          <w:sz w:val="20"/>
          <w:szCs w:val="20"/>
          <w:color w:val="auto"/>
        </w:rPr>
      </w:pPr>
      <w:r>
        <w:rPr>
          <w:rFonts w:ascii="Arial" w:cs="Arial" w:eastAsia="Arial" w:hAnsi="Arial"/>
          <w:sz w:val="11"/>
          <w:szCs w:val="11"/>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105" w:lineRule="exact"/>
        <w:rPr>
          <w:sz w:val="20"/>
          <w:szCs w:val="20"/>
          <w:color w:val="auto"/>
        </w:rPr>
      </w:pPr>
    </w:p>
    <w:p>
      <w:pPr>
        <w:ind w:left="20" w:right="239"/>
        <w:spacing w:after="0" w:line="298" w:lineRule="auto"/>
        <w:rPr>
          <w:sz w:val="20"/>
          <w:szCs w:val="20"/>
          <w:color w:val="auto"/>
        </w:rPr>
      </w:pPr>
      <w:r>
        <w:rPr>
          <w:rFonts w:ascii="Arial" w:cs="Arial" w:eastAsia="Arial" w:hAnsi="Arial"/>
          <w:sz w:val="11"/>
          <w:szCs w:val="11"/>
          <w:color w:val="auto"/>
        </w:rPr>
        <w:t>The Company purchases hardware, such as scanners, printers, cash registers and tablets, from third-party vendors, which it then sells to franchisees. As the Company is considered the principal in this relationship, payment received for the hardware is considered revenue, and is received upon transfer of the goods from the Company to the Franchisee. As of December 30, 2020, there were no performance obligations, related to hardware services that were unsatisfied or partially satisfied.</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Franchise Advertising Fee Revenue</w:t>
      </w:r>
    </w:p>
    <w:p>
      <w:pPr>
        <w:spacing w:after="0" w:line="154" w:lineRule="exact"/>
        <w:rPr>
          <w:sz w:val="20"/>
          <w:szCs w:val="20"/>
          <w:color w:val="auto"/>
        </w:rPr>
      </w:pPr>
    </w:p>
    <w:p>
      <w:pPr>
        <w:ind w:left="20" w:right="519"/>
        <w:spacing w:after="0" w:line="276" w:lineRule="auto"/>
        <w:rPr>
          <w:sz w:val="20"/>
          <w:szCs w:val="20"/>
          <w:color w:val="auto"/>
        </w:rPr>
      </w:pPr>
      <w:r>
        <w:rPr>
          <w:rFonts w:ascii="Arial" w:cs="Arial" w:eastAsia="Arial" w:hAnsi="Arial"/>
          <w:sz w:val="12"/>
          <w:szCs w:val="12"/>
          <w:color w:val="auto"/>
        </w:rPr>
        <w:t>The Company presents advertising contributions received from franchisees as franchise advertising fee revenue and records all expenses of the advertising fund within franchise expenses.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Advertising Costs</w:t>
      </w:r>
    </w:p>
    <w:p>
      <w:pPr>
        <w:spacing w:after="0" w:line="154" w:lineRule="exact"/>
        <w:rPr>
          <w:sz w:val="20"/>
          <w:szCs w:val="20"/>
          <w:color w:val="auto"/>
        </w:rPr>
      </w:pPr>
    </w:p>
    <w:p>
      <w:pPr>
        <w:ind w:left="20" w:right="79"/>
        <w:spacing w:after="0" w:line="323" w:lineRule="auto"/>
        <w:rPr>
          <w:sz w:val="20"/>
          <w:szCs w:val="20"/>
          <w:color w:val="auto"/>
        </w:rPr>
      </w:pPr>
      <w:r>
        <w:rPr>
          <w:rFonts w:ascii="Arial" w:cs="Arial" w:eastAsia="Arial" w:hAnsi="Arial"/>
          <w:sz w:val="11"/>
          <w:szCs w:val="11"/>
          <w:color w:val="auto"/>
        </w:rPr>
        <w:t>Advertising expense is recorded as the obligation to contribute to the advertising fund and is accrued, generally when the associated revenue is recognized. Advertising expense, which is a component of occupancy and other operating expenses, was $15.3 million for the year ended December 30, 2020 and $16.1 million for both years ended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6" w:name="page77"/>
    <w:bookmarkEnd w:id="7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December 25, 2019 and December 26, 2018, and is in addition to $22.6 million, $22.4 million and $21.2 million, respectively, funded by the franchisees’ advertising fees.</w:t>
      </w:r>
    </w:p>
    <w:p>
      <w:pPr>
        <w:spacing w:after="0" w:line="150" w:lineRule="exact"/>
        <w:rPr>
          <w:sz w:val="20"/>
          <w:szCs w:val="20"/>
          <w:color w:val="auto"/>
        </w:rPr>
      </w:pPr>
    </w:p>
    <w:p>
      <w:pPr>
        <w:ind w:left="20" w:right="179"/>
        <w:spacing w:after="0" w:line="256" w:lineRule="auto"/>
        <w:rPr>
          <w:sz w:val="20"/>
          <w:szCs w:val="20"/>
          <w:color w:val="auto"/>
        </w:rPr>
      </w:pPr>
      <w:r>
        <w:rPr>
          <w:rFonts w:ascii="Arial" w:cs="Arial" w:eastAsia="Arial" w:hAnsi="Arial"/>
          <w:sz w:val="12"/>
          <w:szCs w:val="12"/>
          <w:color w:val="auto"/>
        </w:rPr>
        <w:t>Franchisees pay a monthly fee to the Company that ranges from 4% to 5% of their restaurants’ net sales as reimbursement for advertising, public relations and promotional services the Company provides, which is included within franchise advertising fee revenue. Fees received in advance of provided services are included in other accrued expenses and current liabilities and were $0.1 million and $0.5 million at December 30, 2020 and December 25, 2019, respectively. Pursuant to the Company’s Franchise Disclosure Document, company-operated restaurants contribute to the advertising fund on the same basis as franchised restaurants. At December 30, 2020, the Company was obligated to spend $0.1 million more in future periods to comply with this requirement.</w:t>
      </w:r>
    </w:p>
    <w:p>
      <w:pPr>
        <w:spacing w:after="0" w:line="128" w:lineRule="exact"/>
        <w:rPr>
          <w:sz w:val="20"/>
          <w:szCs w:val="20"/>
          <w:color w:val="auto"/>
        </w:rPr>
      </w:pPr>
    </w:p>
    <w:p>
      <w:pPr>
        <w:ind w:left="20" w:right="439"/>
        <w:spacing w:after="0" w:line="323" w:lineRule="auto"/>
        <w:rPr>
          <w:sz w:val="20"/>
          <w:szCs w:val="20"/>
          <w:color w:val="auto"/>
        </w:rPr>
      </w:pPr>
      <w:r>
        <w:rPr>
          <w:rFonts w:ascii="Arial" w:cs="Arial" w:eastAsia="Arial" w:hAnsi="Arial"/>
          <w:sz w:val="11"/>
          <w:szCs w:val="11"/>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operations.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Preopening Costs</w:t>
      </w:r>
    </w:p>
    <w:p>
      <w:pPr>
        <w:spacing w:after="0" w:line="154" w:lineRule="exact"/>
        <w:rPr>
          <w:sz w:val="20"/>
          <w:szCs w:val="20"/>
          <w:color w:val="auto"/>
        </w:rPr>
      </w:pPr>
    </w:p>
    <w:p>
      <w:pPr>
        <w:ind w:left="20" w:right="59"/>
        <w:spacing w:after="0" w:line="263" w:lineRule="auto"/>
        <w:rPr>
          <w:sz w:val="20"/>
          <w:szCs w:val="20"/>
          <w:color w:val="auto"/>
        </w:rPr>
      </w:pPr>
      <w:r>
        <w:rPr>
          <w:rFonts w:ascii="Arial" w:cs="Arial" w:eastAsia="Arial" w:hAnsi="Arial"/>
          <w:sz w:val="12"/>
          <w:szCs w:val="12"/>
          <w:color w:val="auto"/>
        </w:rPr>
        <w:t>Preopening costs incurred in connection with the opening of new restaurants are expensed as incurred. Preopening costs, which are included in general and administrative expenses on the accompanying consolidated statements of operations, were $0.1 million, $0.4 million and $0.8 million for the years ended December 30, 2020, December 25, 2019, and December 26, 2018, respectively.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20" w:right="159"/>
        <w:spacing w:after="0" w:line="281" w:lineRule="auto"/>
        <w:rPr>
          <w:sz w:val="20"/>
          <w:szCs w:val="20"/>
          <w:color w:val="auto"/>
        </w:rPr>
      </w:pPr>
      <w:r>
        <w:rPr>
          <w:rFonts w:ascii="Arial" w:cs="Arial" w:eastAsia="Arial" w:hAnsi="Arial"/>
          <w:sz w:val="11"/>
          <w:szCs w:val="11"/>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more than a defined amount. Initial terms of land and restaurant building leases generally have terms of 20 years, exclusive of options to renew. ROU assets and operating and finance lease liabilities are recognized at the lease commencement date, which is the date the Company takes possession of the property. Operating and finance lease liabilities represent the present value of lease payments not yet paid. ROU assets represent our right to use an underlying asset and are based upon the operating and finance lease liabilities adjusted for prepayments or accrued lease payments, lease incentives, and impairment of ROU assets. To determine the present value of lease payments not yet paid, the Company estimates incremental borrowing rates corresponding to the lease term including reasonably certain renewal periods.</w:t>
      </w:r>
    </w:p>
    <w:p>
      <w:pPr>
        <w:spacing w:after="0" w:line="115" w:lineRule="exact"/>
        <w:rPr>
          <w:sz w:val="20"/>
          <w:szCs w:val="20"/>
          <w:color w:val="auto"/>
        </w:rPr>
      </w:pPr>
    </w:p>
    <w:p>
      <w:pPr>
        <w:ind w:left="20" w:right="279"/>
        <w:spacing w:after="0" w:line="263" w:lineRule="auto"/>
        <w:rPr>
          <w:sz w:val="20"/>
          <w:szCs w:val="20"/>
          <w:color w:val="auto"/>
        </w:rPr>
      </w:pPr>
      <w:r>
        <w:rPr>
          <w:rFonts w:ascii="Arial" w:cs="Arial" w:eastAsia="Arial" w:hAnsi="Arial"/>
          <w:sz w:val="12"/>
          <w:szCs w:val="12"/>
          <w:color w:val="auto"/>
        </w:rPr>
        <w:t>The Company’s leases generally have escalating rents over the term of the lease, and are recorded on a straight-line basis over the expected lease term. Additionally, tenant incentives used to fund leasehold improvements are recognized when earned and reduce the right-of-use asset related to the lease. These are amortized through the operating lease asset as reductions of expense over the lease term.</w:t>
      </w:r>
    </w:p>
    <w:p>
      <w:pPr>
        <w:spacing w:after="0" w:line="122"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Operating and finance lease liabilities that are based on an index or rate are calculated using the prevailing index or rate at lease commencement. Subsequent escalations in the index or rate and contingent rental payments are recognized as variable lease expenses. The Company’s lease agreements do not contain any material residual value guarantees or material restrictive covenants.</w:t>
      </w:r>
    </w:p>
    <w:p>
      <w:pPr>
        <w:spacing w:after="0" w:line="122"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Leases of equipment primarily consist of restaurant equipment, computer systems and vehicles. The Company subleases facilities to certain franchisees and other non-related parties which are recorded on a straight-line basis.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Gain on Recovery of Insurance Proceeds, Lost Profits</w:t>
      </w:r>
    </w:p>
    <w:p>
      <w:pPr>
        <w:spacing w:after="0" w:line="154" w:lineRule="exact"/>
        <w:rPr>
          <w:sz w:val="20"/>
          <w:szCs w:val="20"/>
          <w:color w:val="auto"/>
        </w:rPr>
      </w:pPr>
    </w:p>
    <w:p>
      <w:pPr>
        <w:ind w:left="20" w:right="359"/>
        <w:spacing w:after="0" w:line="276" w:lineRule="auto"/>
        <w:rPr>
          <w:sz w:val="20"/>
          <w:szCs w:val="20"/>
          <w:color w:val="auto"/>
        </w:rPr>
      </w:pPr>
      <w:r>
        <w:rPr>
          <w:rFonts w:ascii="Arial" w:cs="Arial" w:eastAsia="Arial" w:hAnsi="Arial"/>
          <w:sz w:val="12"/>
          <w:szCs w:val="12"/>
          <w:color w:val="auto"/>
        </w:rPr>
        <w:t>During the year ended December 30, 2020, the Company received business interruption insurance proceeds of $2.0 million, primarily related to restaurant sales losses and expenses related to the COVID-19 pandemic and resulting dining room closures.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7" w:name="page78"/>
    <w:bookmarkEnd w:id="7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Recovery of Securities Class Action Legal Expense and Other Insurance Claims</w:t>
      </w:r>
    </w:p>
    <w:p>
      <w:pPr>
        <w:spacing w:after="0" w:line="154" w:lineRule="exact"/>
        <w:rPr>
          <w:sz w:val="20"/>
          <w:szCs w:val="20"/>
          <w:color w:val="auto"/>
        </w:rPr>
      </w:pPr>
    </w:p>
    <w:p>
      <w:pPr>
        <w:jc w:val="both"/>
        <w:ind w:left="20" w:right="259"/>
        <w:spacing w:after="0" w:line="263" w:lineRule="auto"/>
        <w:rPr>
          <w:sz w:val="20"/>
          <w:szCs w:val="20"/>
          <w:color w:val="auto"/>
        </w:rPr>
      </w:pPr>
      <w:r>
        <w:rPr>
          <w:rFonts w:ascii="Arial" w:cs="Arial" w:eastAsia="Arial" w:hAnsi="Arial"/>
          <w:sz w:val="12"/>
          <w:szCs w:val="12"/>
          <w:color w:val="auto"/>
        </w:rPr>
        <w:t>During fiscal 2020, the Company received insurance proceeds of $0.1 million related to a property claim. During 2019 and 2018, the Company received insurance proceeds of $10.0 million and $8.4 million, respectively, related to the reimbursement of certain legal expenses paid in prior years for the defense of securities lawsuits. See Note 13 “Commitments and Contingencies—Legal Matters.”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Loss on Disposition of Restaurants</w:t>
      </w:r>
    </w:p>
    <w:p>
      <w:pPr>
        <w:spacing w:after="0" w:line="154" w:lineRule="exact"/>
        <w:rPr>
          <w:sz w:val="20"/>
          <w:szCs w:val="20"/>
          <w:color w:val="auto"/>
        </w:rPr>
      </w:pPr>
    </w:p>
    <w:p>
      <w:pPr>
        <w:ind w:left="20" w:right="39"/>
        <w:spacing w:after="0" w:line="281" w:lineRule="auto"/>
        <w:rPr>
          <w:sz w:val="20"/>
          <w:szCs w:val="20"/>
          <w:color w:val="auto"/>
        </w:rPr>
      </w:pPr>
      <w:r>
        <w:rPr>
          <w:rFonts w:ascii="Arial" w:cs="Arial" w:eastAsia="Arial" w:hAnsi="Arial"/>
          <w:sz w:val="11"/>
          <w:szCs w:val="11"/>
          <w:color w:val="auto"/>
        </w:rPr>
        <w:t>During fiscal 2019, the Company completed the sale of four company-operated restaurants within the San Francisco area to an existing franchisee, seven company-operated restaurants in the Phoenix area to another existing franchisee and five company-operated restaurants in Texas to a third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115" w:lineRule="exact"/>
        <w:rPr>
          <w:sz w:val="20"/>
          <w:szCs w:val="20"/>
          <w:color w:val="auto"/>
        </w:rPr>
      </w:pPr>
    </w:p>
    <w:p>
      <w:pPr>
        <w:ind w:left="20" w:right="499"/>
        <w:spacing w:after="0" w:line="276" w:lineRule="auto"/>
        <w:rPr>
          <w:sz w:val="20"/>
          <w:szCs w:val="20"/>
          <w:color w:val="auto"/>
        </w:rPr>
      </w:pPr>
      <w:r>
        <w:rPr>
          <w:rFonts w:ascii="Arial" w:cs="Arial" w:eastAsia="Arial" w:hAnsi="Arial"/>
          <w:sz w:val="12"/>
          <w:szCs w:val="12"/>
          <w:color w:val="auto"/>
        </w:rPr>
        <w:t>These sales resulted in cash proceeds of $4.8 million and a net loss on sale of restaurants of $5.1 million for the year ended December 25, 2019. Since the date of their sale, these restaurants are now included in the total number of franchised El Pollo Loco restaurants.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Derivative Financial Instruments</w:t>
      </w:r>
    </w:p>
    <w:p>
      <w:pPr>
        <w:spacing w:after="0" w:line="154"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The Company uses an interest rate swap, a derivative instrument, to hedge interest rate risk and is not used for trading purposes. The derivative contract is entered into with financial institutions.</w:t>
      </w:r>
    </w:p>
    <w:p>
      <w:pPr>
        <w:spacing w:after="0" w:line="115" w:lineRule="exact"/>
        <w:rPr>
          <w:sz w:val="20"/>
          <w:szCs w:val="20"/>
          <w:color w:val="auto"/>
        </w:rPr>
      </w:pPr>
    </w:p>
    <w:p>
      <w:pPr>
        <w:ind w:left="20" w:right="139"/>
        <w:spacing w:after="0" w:line="256" w:lineRule="auto"/>
        <w:rPr>
          <w:sz w:val="20"/>
          <w:szCs w:val="20"/>
          <w:color w:val="auto"/>
        </w:rPr>
      </w:pPr>
      <w:r>
        <w:rPr>
          <w:rFonts w:ascii="Arial" w:cs="Arial" w:eastAsia="Arial" w:hAnsi="Arial"/>
          <w:sz w:val="12"/>
          <w:szCs w:val="12"/>
          <w:color w:val="auto"/>
        </w:rPr>
        <w:t>The Company records the derivative instrument at fair value within other assets on its consolidated balance sheet. The derivative instrument qualifies as a hedging instrument in a qualifying cash flow hedge relationship, the gain or loss on the derivative instrument is reported as a component of accumulated other comprehensive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into earnings immediately.</w:t>
      </w:r>
    </w:p>
    <w:p>
      <w:pPr>
        <w:spacing w:after="0" w:line="128" w:lineRule="exact"/>
        <w:rPr>
          <w:sz w:val="20"/>
          <w:szCs w:val="20"/>
          <w:color w:val="auto"/>
        </w:rPr>
      </w:pPr>
    </w:p>
    <w:p>
      <w:pPr>
        <w:ind w:left="20" w:right="119"/>
        <w:spacing w:after="0" w:line="298" w:lineRule="auto"/>
        <w:rPr>
          <w:sz w:val="20"/>
          <w:szCs w:val="20"/>
          <w:color w:val="auto"/>
        </w:rPr>
      </w:pPr>
      <w:r>
        <w:rPr>
          <w:rFonts w:ascii="Arial" w:cs="Arial" w:eastAsia="Arial" w:hAnsi="Arial"/>
          <w:sz w:val="11"/>
          <w:szCs w:val="11"/>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December 30, 2020, the counterparty to the Company’s interest rate swap has performed in accordance with their contractual obligation.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8" w:name="page79"/>
    <w:bookmarkEnd w:id="7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reviews its filing positions for all open tax years in all U.S. federal and state jurisdictions where it is required to file.</w:t>
      </w:r>
    </w:p>
    <w:p>
      <w:pPr>
        <w:spacing w:after="0" w:line="150"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Company’s policy is to recognize interest or penalties related to income tax matters in income tax expense. The Company had no accrual for interest or penalties at</w:t>
      </w:r>
    </w:p>
    <w:p>
      <w:pPr>
        <w:spacing w:after="0" w:line="15" w:lineRule="exact"/>
        <w:rPr>
          <w:sz w:val="20"/>
          <w:szCs w:val="20"/>
          <w:color w:val="auto"/>
        </w:rPr>
      </w:pPr>
    </w:p>
    <w:p>
      <w:pPr>
        <w:ind w:left="20" w:right="39"/>
        <w:spacing w:after="0" w:line="255" w:lineRule="auto"/>
        <w:rPr>
          <w:sz w:val="20"/>
          <w:szCs w:val="20"/>
          <w:color w:val="auto"/>
        </w:rPr>
      </w:pPr>
      <w:r>
        <w:rPr>
          <w:rFonts w:ascii="Arial" w:cs="Arial" w:eastAsia="Arial" w:hAnsi="Arial"/>
          <w:sz w:val="12"/>
          <w:szCs w:val="12"/>
          <w:color w:val="auto"/>
        </w:rPr>
        <w:t>December 30, 2020 or December 25, 2019. During fiscal 2020 the Company recognized interest of $0.1 million related to the Notice of Proposed Adjustment (“NOPA”), discussed below. The Company did not recognize any interest or penalties during fiscal 2019 or fiscal 2018. During fiscal 2020, fiscal 2019 and fiscal 2018, there were no material unrecognized tax benefits. Management believes no significant change to the amount of unrecognized tax benefits will occur within the next twelve months.</w:t>
      </w:r>
    </w:p>
    <w:p>
      <w:pPr>
        <w:spacing w:after="0" w:line="127" w:lineRule="exact"/>
        <w:rPr>
          <w:sz w:val="20"/>
          <w:szCs w:val="20"/>
          <w:color w:val="auto"/>
        </w:rPr>
      </w:pPr>
    </w:p>
    <w:p>
      <w:pPr>
        <w:ind w:left="20" w:right="79"/>
        <w:spacing w:after="0" w:line="326" w:lineRule="auto"/>
        <w:rPr>
          <w:sz w:val="20"/>
          <w:szCs w:val="20"/>
          <w:color w:val="auto"/>
        </w:rPr>
      </w:pPr>
      <w:r>
        <w:rPr>
          <w:rFonts w:ascii="Arial" w:cs="Arial" w:eastAsia="Arial" w:hAnsi="Arial"/>
          <w:sz w:val="10"/>
          <w:szCs w:val="10"/>
          <w:color w:val="auto"/>
        </w:rPr>
        <w:t>On July 30, 2014, the Company entered into a TRA. The TRA calls for the Company to pay to its pre-IPO stockholders 85% of the savings in cash that the Company realizes in its taxes as a result of utilizing its net operating losses and other tax attributes attributable to preceding periods. In fiscal 2015, the Company incurred a charge of approximately $41.4 million relating to the present value of its total expected TRA payments. As of December 30, 2020 and December 25, 2019, the Company had accrued $3.2 million and $8.2 million, respectively relating to expected TRA payments. In fiscal 2020, 2019 and 2018, we paid $5.2 million, $5.8 million and $7.3 million, respectively, to our pre-IPO stockholders under the TRA.</w:t>
      </w:r>
    </w:p>
    <w:p>
      <w:pPr>
        <w:spacing w:after="0" w:line="95" w:lineRule="exact"/>
        <w:rPr>
          <w:sz w:val="20"/>
          <w:szCs w:val="20"/>
          <w:color w:val="auto"/>
        </w:rPr>
      </w:pPr>
    </w:p>
    <w:p>
      <w:pPr>
        <w:ind w:left="20" w:right="39"/>
        <w:spacing w:after="0" w:line="320" w:lineRule="auto"/>
        <w:rPr>
          <w:sz w:val="20"/>
          <w:szCs w:val="20"/>
          <w:color w:val="auto"/>
        </w:rPr>
      </w:pPr>
      <w:r>
        <w:rPr>
          <w:rFonts w:ascii="Arial" w:cs="Arial" w:eastAsia="Arial" w:hAnsi="Arial"/>
          <w:sz w:val="10"/>
          <w:szCs w:val="10"/>
          <w:color w:val="auto"/>
        </w:rPr>
        <w:t>On March 27, 2020, President Trump signed into a law a stimulus package, the Coronavirus Aid, Relief and Economic Security ("CARES") Act, which contains several tax provisions and deferral of employer Social Security taxes that are otherwise owed for wage payments. The Company has taken advantage of provisions available under the CARES Act. Specifically, the Company has deferred payment of employer Social Security taxes that are otherwise owed for wage payments and are included within other noncurrent liabilities. See Note 8 “Other Noncurrent Liabilities” for details of these balances. The tax provisions include a correction of a previous drafting error related to quality improvement property ("QIP") and immediate refundability of all remaining alternative minimum tax ("AMT") credits. The new provisions did not have a material impact on the Company’s consolidated financial statements.</w:t>
      </w:r>
    </w:p>
    <w:p>
      <w:pPr>
        <w:spacing w:after="0" w:line="97" w:lineRule="exact"/>
        <w:rPr>
          <w:sz w:val="20"/>
          <w:szCs w:val="20"/>
          <w:color w:val="auto"/>
        </w:rPr>
      </w:pPr>
    </w:p>
    <w:p>
      <w:pPr>
        <w:ind w:left="20" w:right="199"/>
        <w:spacing w:after="0" w:line="259" w:lineRule="auto"/>
        <w:rPr>
          <w:sz w:val="20"/>
          <w:szCs w:val="20"/>
          <w:color w:val="auto"/>
        </w:rPr>
      </w:pPr>
      <w:r>
        <w:rPr>
          <w:rFonts w:ascii="Arial" w:cs="Arial" w:eastAsia="Arial" w:hAnsi="Arial"/>
          <w:sz w:val="12"/>
          <w:szCs w:val="12"/>
          <w:color w:val="auto"/>
        </w:rPr>
        <w:t>During the year ended December 30, 2020, the Company received a NOPA for the years ended December 27, 2017 and December 28, 2016, related to the Company’s methodology regarding its ordering of utilization of AMT net operating losses ("NOL”). This resulted in payment of $0.4 million, and the audit is closed. As a result of the CARES Act, discussed above, this amount is immediately refundable upon filing of a Form 1139, which the Company filed during the year ended December 30, 2020 and recognized a receivable, included in accounts and other receivables within the consolidated balance sheet as of December 30, 2020.</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Fair Value Measurements</w:t>
      </w:r>
    </w:p>
    <w:p>
      <w:pPr>
        <w:spacing w:after="0" w:line="15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15" w:lineRule="exact"/>
        <w:rPr>
          <w:sz w:val="20"/>
          <w:szCs w:val="20"/>
          <w:color w:val="auto"/>
        </w:rPr>
      </w:pPr>
    </w:p>
    <w:p>
      <w:pPr>
        <w:ind w:left="480" w:hanging="224"/>
        <w:spacing w:after="0"/>
        <w:tabs>
          <w:tab w:leader="none" w:pos="4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Level 1: Quoted prices for identical instruments in active markets.</w:t>
      </w:r>
    </w:p>
    <w:p>
      <w:pPr>
        <w:spacing w:after="0" w:line="123" w:lineRule="exact"/>
        <w:rPr>
          <w:rFonts w:ascii="Arial" w:cs="Arial" w:eastAsia="Arial" w:hAnsi="Arial"/>
          <w:sz w:val="12"/>
          <w:szCs w:val="12"/>
          <w:color w:val="auto"/>
        </w:rPr>
      </w:pPr>
    </w:p>
    <w:p>
      <w:pPr>
        <w:ind w:left="480" w:right="499" w:hanging="224"/>
        <w:spacing w:after="0" w:line="276"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79" w:name="page80"/>
    <w:bookmarkEnd w:id="7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480" w:hanging="224"/>
        <w:spacing w:after="0"/>
        <w:tabs>
          <w:tab w:leader="none" w:pos="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Level 3: Unobservable inputs used when little or no market data is available.</w:t>
      </w:r>
    </w:p>
    <w:p>
      <w:pPr>
        <w:spacing w:after="0" w:line="123" w:lineRule="exact"/>
        <w:rPr>
          <w:sz w:val="20"/>
          <w:szCs w:val="20"/>
          <w:color w:val="auto"/>
        </w:rPr>
      </w:pPr>
    </w:p>
    <w:p>
      <w:pPr>
        <w:ind w:left="20" w:right="79"/>
        <w:spacing w:after="0" w:line="256" w:lineRule="auto"/>
        <w:rPr>
          <w:sz w:val="20"/>
          <w:szCs w:val="20"/>
          <w:color w:val="auto"/>
        </w:rPr>
      </w:pPr>
      <w:r>
        <w:rPr>
          <w:rFonts w:ascii="Arial" w:cs="Arial" w:eastAsia="Arial" w:hAnsi="Arial"/>
          <w:sz w:val="12"/>
          <w:szCs w:val="12"/>
          <w:color w:val="auto"/>
        </w:rPr>
        <w:t>During the year ended December 25,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our credit risk. The key inputs for the valuation models are observable market prices, discount rates, and forward yield curves. See Note 6 “Long-Term Debt” for further discussion regarding the Company’s interest rate swaps. The following table presents fair value for the interest rate swap at December 30, 2020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06"/>
              <w:spacing w:after="0"/>
              <w:rPr>
                <w:sz w:val="20"/>
                <w:szCs w:val="20"/>
                <w:color w:val="auto"/>
              </w:rPr>
            </w:pPr>
            <w:r>
              <w:rPr>
                <w:rFonts w:ascii="Arial" w:cs="Arial" w:eastAsia="Arial" w:hAnsi="Arial"/>
                <w:sz w:val="10"/>
                <w:szCs w:val="10"/>
                <w:b w:val="1"/>
                <w:bCs w:val="1"/>
                <w:color w:val="auto"/>
              </w:rPr>
              <w:t>Fair Value</w:t>
            </w: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Fair Value Measurements Using</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ind w:left="140"/>
              <w:spacing w:after="0" w:line="88"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tcPr>
          <w:p>
            <w:pPr>
              <w:jc w:val="center"/>
              <w:ind w:right="440"/>
              <w:spacing w:after="0" w:line="88" w:lineRule="exact"/>
              <w:rPr>
                <w:sz w:val="20"/>
                <w:szCs w:val="20"/>
                <w:color w:val="auto"/>
              </w:rPr>
            </w:pPr>
            <w:r>
              <w:rPr>
                <w:rFonts w:ascii="Arial" w:cs="Arial" w:eastAsia="Arial" w:hAnsi="Arial"/>
                <w:sz w:val="10"/>
                <w:szCs w:val="10"/>
                <w:b w:val="1"/>
                <w:bCs w:val="1"/>
                <w:color w:val="auto"/>
                <w:w w:val="88"/>
              </w:rPr>
              <w:t>Level 2</w:t>
            </w:r>
          </w:p>
        </w:tc>
        <w:tc>
          <w:tcPr>
            <w:tcW w:w="200" w:type="dxa"/>
            <w:vAlign w:val="bottom"/>
          </w:tcPr>
          <w:p>
            <w:pPr>
              <w:spacing w:after="0"/>
              <w:rPr>
                <w:sz w:val="7"/>
                <w:szCs w:val="7"/>
                <w:color w:val="auto"/>
              </w:rPr>
            </w:pPr>
          </w:p>
        </w:tc>
        <w:tc>
          <w:tcPr>
            <w:tcW w:w="780" w:type="dxa"/>
            <w:vAlign w:val="bottom"/>
          </w:tcPr>
          <w:p>
            <w:pPr>
              <w:ind w:left="140"/>
              <w:spacing w:after="0" w:line="88" w:lineRule="exact"/>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133"/>
        </w:trPr>
        <w:tc>
          <w:tcPr>
            <w:tcW w:w="43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non-current liabilities - Interest rate swap</w:t>
            </w: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1,139</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20"/>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1,139</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40"/>
              <w:spacing w:after="0" w:line="133"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fair value for the interest rate swap at December 25, 2019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06"/>
              <w:spacing w:after="0"/>
              <w:rPr>
                <w:sz w:val="20"/>
                <w:szCs w:val="20"/>
                <w:color w:val="auto"/>
              </w:rPr>
            </w:pPr>
            <w:r>
              <w:rPr>
                <w:rFonts w:ascii="Arial" w:cs="Arial" w:eastAsia="Arial" w:hAnsi="Arial"/>
                <w:sz w:val="10"/>
                <w:szCs w:val="10"/>
                <w:b w:val="1"/>
                <w:bCs w:val="1"/>
                <w:color w:val="auto"/>
              </w:rPr>
              <w:t>Fair Value</w:t>
            </w: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Fair Value Measurements Using</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ind w:left="140"/>
              <w:spacing w:after="0" w:line="88"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tcPr>
          <w:p>
            <w:pPr>
              <w:jc w:val="center"/>
              <w:ind w:right="440"/>
              <w:spacing w:after="0" w:line="88" w:lineRule="exact"/>
              <w:rPr>
                <w:sz w:val="20"/>
                <w:szCs w:val="20"/>
                <w:color w:val="auto"/>
              </w:rPr>
            </w:pPr>
            <w:r>
              <w:rPr>
                <w:rFonts w:ascii="Arial" w:cs="Arial" w:eastAsia="Arial" w:hAnsi="Arial"/>
                <w:sz w:val="10"/>
                <w:szCs w:val="10"/>
                <w:b w:val="1"/>
                <w:bCs w:val="1"/>
                <w:color w:val="auto"/>
                <w:w w:val="88"/>
              </w:rPr>
              <w:t>Level 2</w:t>
            </w:r>
          </w:p>
        </w:tc>
        <w:tc>
          <w:tcPr>
            <w:tcW w:w="200" w:type="dxa"/>
            <w:vAlign w:val="bottom"/>
          </w:tcPr>
          <w:p>
            <w:pPr>
              <w:spacing w:after="0"/>
              <w:rPr>
                <w:sz w:val="7"/>
                <w:szCs w:val="7"/>
                <w:color w:val="auto"/>
              </w:rPr>
            </w:pPr>
          </w:p>
        </w:tc>
        <w:tc>
          <w:tcPr>
            <w:tcW w:w="780" w:type="dxa"/>
            <w:vAlign w:val="bottom"/>
          </w:tcPr>
          <w:p>
            <w:pPr>
              <w:ind w:left="140"/>
              <w:spacing w:after="0" w:line="88" w:lineRule="exact"/>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133"/>
        </w:trPr>
        <w:tc>
          <w:tcPr>
            <w:tcW w:w="43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assets - Interest rate swap</w:t>
            </w: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360</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20"/>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360</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40"/>
              <w:spacing w:after="0" w:line="133"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115"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The following non-financial instruments were measured at fair value, on a nonrecurring basis, as of and for the year ended December 30, 2020, reflecting certain property and equipment and ROU assets, for which an impairment loss was recognized during the corresponding periods, as discussed above under Impairment of Long-Lived Assets and ROU Assets. (in thousands):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1</w:t>
            </w:r>
          </w:p>
        </w:tc>
        <w:tc>
          <w:tcPr>
            <w:tcW w:w="1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2</w:t>
            </w:r>
          </w:p>
        </w:tc>
        <w:tc>
          <w:tcPr>
            <w:tcW w:w="180" w:type="dxa"/>
            <w:vAlign w:val="bottom"/>
          </w:tcPr>
          <w:p>
            <w:pPr>
              <w:spacing w:after="0"/>
              <w:rPr>
                <w:sz w:val="10"/>
                <w:szCs w:val="10"/>
                <w:color w:val="auto"/>
              </w:rPr>
            </w:pPr>
          </w:p>
        </w:tc>
        <w:tc>
          <w:tcPr>
            <w:tcW w:w="88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3</w:t>
            </w:r>
          </w:p>
        </w:tc>
        <w:tc>
          <w:tcPr>
            <w:tcW w:w="200" w:type="dxa"/>
            <w:vAlign w:val="bottom"/>
          </w:tcPr>
          <w:p>
            <w:pPr>
              <w:spacing w:after="0"/>
              <w:rPr>
                <w:sz w:val="10"/>
                <w:szCs w:val="10"/>
                <w:color w:val="auto"/>
              </w:rPr>
            </w:pPr>
          </w:p>
        </w:tc>
        <w:tc>
          <w:tcPr>
            <w:tcW w:w="1260" w:type="dxa"/>
            <w:vAlign w:val="bottom"/>
          </w:tcPr>
          <w:p>
            <w:pPr>
              <w:jc w:val="right"/>
              <w:ind w:right="264"/>
              <w:spacing w:after="0"/>
              <w:rPr>
                <w:sz w:val="20"/>
                <w:szCs w:val="20"/>
                <w:color w:val="auto"/>
              </w:rPr>
            </w:pPr>
            <w:r>
              <w:rPr>
                <w:rFonts w:ascii="Arial" w:cs="Arial" w:eastAsia="Arial" w:hAnsi="Arial"/>
                <w:sz w:val="10"/>
                <w:szCs w:val="10"/>
                <w:b w:val="1"/>
                <w:bCs w:val="1"/>
                <w:color w:val="auto"/>
              </w:rPr>
              <w:t>Impairment Losses</w:t>
            </w:r>
          </w:p>
        </w:tc>
      </w:tr>
      <w:tr>
        <w:trPr>
          <w:trHeight w:val="133"/>
        </w:trPr>
        <w:tc>
          <w:tcPr>
            <w:tcW w:w="4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Certain property and equipment, net</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2,955</w:t>
            </w:r>
          </w:p>
        </w:tc>
      </w:tr>
      <w:tr>
        <w:trPr>
          <w:trHeight w:val="153"/>
        </w:trPr>
        <w:tc>
          <w:tcPr>
            <w:tcW w:w="4060" w:type="dxa"/>
            <w:vAlign w:val="bottom"/>
          </w:tcPr>
          <w:p>
            <w:pPr>
              <w:spacing w:after="0"/>
              <w:rPr>
                <w:sz w:val="20"/>
                <w:szCs w:val="20"/>
                <w:color w:val="auto"/>
              </w:rPr>
            </w:pPr>
            <w:r>
              <w:rPr>
                <w:rFonts w:ascii="Arial" w:cs="Arial" w:eastAsia="Arial" w:hAnsi="Arial"/>
                <w:sz w:val="12"/>
                <w:szCs w:val="12"/>
                <w:color w:val="auto"/>
              </w:rPr>
              <w:t>Certain ROU assets, net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902</w:t>
            </w:r>
          </w:p>
        </w:tc>
        <w:tc>
          <w:tcPr>
            <w:tcW w:w="1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902</w:t>
            </w:r>
          </w:p>
        </w:tc>
        <w:tc>
          <w:tcPr>
            <w:tcW w:w="14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543</w:t>
            </w:r>
          </w:p>
        </w:tc>
      </w:tr>
    </w:tbl>
    <w:p>
      <w:pPr>
        <w:spacing w:after="0" w:line="126"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The following non-financial instruments were measured at fair value, on a nonrecurring basis, as of and for the year ended December 25, 2019, reflecting certain property and equipment and ROU assets for which an impairment loss was recognized during the corresponding periods, as discussed above under "Impairment of Long-Lived Assets and ROU Assets"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0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Total</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w w:val="96"/>
              </w:rPr>
              <w:t>Impairment Losses</w:t>
            </w:r>
          </w:p>
        </w:tc>
      </w:tr>
      <w:tr>
        <w:trPr>
          <w:trHeight w:val="133"/>
        </w:trPr>
        <w:tc>
          <w:tcPr>
            <w:tcW w:w="29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Certain property and equipment, net</w:t>
            </w: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ind w:left="380"/>
              <w:spacing w:after="0" w:line="133" w:lineRule="exact"/>
              <w:rPr>
                <w:sz w:val="20"/>
                <w:szCs w:val="20"/>
                <w:color w:val="auto"/>
              </w:rPr>
            </w:pPr>
            <w:r>
              <w:rPr>
                <w:rFonts w:ascii="Arial" w:cs="Arial" w:eastAsia="Arial" w:hAnsi="Arial"/>
                <w:sz w:val="12"/>
                <w:szCs w:val="12"/>
                <w:color w:val="auto"/>
                <w:w w:val="99"/>
              </w:rPr>
              <w:t>—</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339</w:t>
            </w:r>
          </w:p>
        </w:tc>
      </w:tr>
      <w:tr>
        <w:trPr>
          <w:trHeight w:val="153"/>
        </w:trPr>
        <w:tc>
          <w:tcPr>
            <w:tcW w:w="2900" w:type="dxa"/>
            <w:vAlign w:val="bottom"/>
          </w:tcPr>
          <w:p>
            <w:pPr>
              <w:spacing w:after="0"/>
              <w:rPr>
                <w:sz w:val="20"/>
                <w:szCs w:val="20"/>
                <w:color w:val="auto"/>
              </w:rPr>
            </w:pPr>
            <w:r>
              <w:rPr>
                <w:rFonts w:ascii="Arial" w:cs="Arial" w:eastAsia="Arial" w:hAnsi="Arial"/>
                <w:sz w:val="12"/>
                <w:szCs w:val="12"/>
                <w:color w:val="auto"/>
              </w:rPr>
              <w:t>Certain ROU assets, net</w:t>
            </w:r>
          </w:p>
        </w:tc>
        <w:tc>
          <w:tcPr>
            <w:tcW w:w="13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6,196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6,196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3,220</w:t>
            </w:r>
          </w:p>
        </w:tc>
      </w:tr>
    </w:tbl>
    <w:p>
      <w:pPr>
        <w:spacing w:after="0" w:line="126" w:lineRule="exact"/>
        <w:rPr>
          <w:sz w:val="20"/>
          <w:szCs w:val="20"/>
          <w:color w:val="auto"/>
        </w:rPr>
      </w:pPr>
    </w:p>
    <w:p>
      <w:pPr>
        <w:ind w:left="20" w:right="99"/>
        <w:spacing w:after="0" w:line="379" w:lineRule="auto"/>
        <w:rPr>
          <w:sz w:val="20"/>
          <w:szCs w:val="20"/>
          <w:color w:val="auto"/>
        </w:rPr>
      </w:pPr>
      <w:r>
        <w:rPr>
          <w:rFonts w:ascii="Arial" w:cs="Arial" w:eastAsia="Arial" w:hAnsi="Arial"/>
          <w:sz w:val="10"/>
          <w:szCs w:val="10"/>
          <w:color w:val="auto"/>
        </w:rPr>
        <w:t>The following non-financial instruments were measured at fair value, on a nonrecurring basis, as of and for the year ended December 26, 2018, reflecting certain property and equipment for which an impairment loss was recognized during the corresponding periods, as discussed above under "Impairment of Long-Lived Assets and ROU Assets" (in thousands):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0"/>
                <w:szCs w:val="10"/>
                <w:b w:val="1"/>
                <w:bCs w:val="1"/>
                <w:color w:val="auto"/>
                <w:w w:val="87"/>
              </w:rPr>
              <w:t>Fair Value Measurements Using</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48"/>
              <w:spacing w:after="0"/>
              <w:rPr>
                <w:sz w:val="20"/>
                <w:szCs w:val="20"/>
                <w:color w:val="auto"/>
              </w:rPr>
            </w:pPr>
            <w:r>
              <w:rPr>
                <w:rFonts w:ascii="Arial" w:cs="Arial" w:eastAsia="Arial" w:hAnsi="Arial"/>
                <w:sz w:val="10"/>
                <w:szCs w:val="10"/>
                <w:b w:val="1"/>
                <w:bCs w:val="1"/>
                <w:color w:val="auto"/>
                <w:w w:val="88"/>
              </w:rPr>
              <w:t>Impairment</w:t>
            </w:r>
          </w:p>
        </w:tc>
      </w:tr>
      <w:tr>
        <w:trPr>
          <w:trHeight w:val="88"/>
        </w:trPr>
        <w:tc>
          <w:tcPr>
            <w:tcW w:w="4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tcPr>
          <w:p>
            <w:pPr>
              <w:ind w:left="80"/>
              <w:spacing w:after="0" w:line="8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7"/>
                <w:szCs w:val="7"/>
                <w:color w:val="auto"/>
              </w:rPr>
            </w:pPr>
          </w:p>
        </w:tc>
        <w:tc>
          <w:tcPr>
            <w:tcW w:w="760" w:type="dxa"/>
            <w:vAlign w:val="bottom"/>
            <w:gridSpan w:val="2"/>
          </w:tcPr>
          <w:p>
            <w:pPr>
              <w:ind w:left="80"/>
              <w:spacing w:after="0" w:line="88" w:lineRule="exact"/>
              <w:rPr>
                <w:sz w:val="20"/>
                <w:szCs w:val="20"/>
                <w:color w:val="auto"/>
              </w:rPr>
            </w:pPr>
            <w:r>
              <w:rPr>
                <w:rFonts w:ascii="Arial" w:cs="Arial" w:eastAsia="Arial" w:hAnsi="Arial"/>
                <w:sz w:val="10"/>
                <w:szCs w:val="10"/>
                <w:b w:val="1"/>
                <w:bCs w:val="1"/>
                <w:color w:val="auto"/>
              </w:rPr>
              <w:t>Level 1</w:t>
            </w:r>
          </w:p>
        </w:tc>
        <w:tc>
          <w:tcPr>
            <w:tcW w:w="140" w:type="dxa"/>
            <w:vAlign w:val="bottom"/>
          </w:tcPr>
          <w:p>
            <w:pPr>
              <w:spacing w:after="0"/>
              <w:rPr>
                <w:sz w:val="7"/>
                <w:szCs w:val="7"/>
                <w:color w:val="auto"/>
              </w:rPr>
            </w:pPr>
          </w:p>
        </w:tc>
        <w:tc>
          <w:tcPr>
            <w:tcW w:w="760" w:type="dxa"/>
            <w:vAlign w:val="bottom"/>
            <w:gridSpan w:val="2"/>
          </w:tcPr>
          <w:p>
            <w:pPr>
              <w:jc w:val="center"/>
              <w:ind w:right="340"/>
              <w:spacing w:after="0" w:line="88" w:lineRule="exact"/>
              <w:rPr>
                <w:sz w:val="20"/>
                <w:szCs w:val="20"/>
                <w:color w:val="auto"/>
              </w:rPr>
            </w:pPr>
            <w:r>
              <w:rPr>
                <w:rFonts w:ascii="Arial" w:cs="Arial" w:eastAsia="Arial" w:hAnsi="Arial"/>
                <w:sz w:val="10"/>
                <w:szCs w:val="10"/>
                <w:b w:val="1"/>
                <w:bCs w:val="1"/>
                <w:color w:val="auto"/>
                <w:w w:val="88"/>
              </w:rPr>
              <w:t>Level 2</w:t>
            </w:r>
          </w:p>
        </w:tc>
        <w:tc>
          <w:tcPr>
            <w:tcW w:w="160" w:type="dxa"/>
            <w:vAlign w:val="bottom"/>
          </w:tcPr>
          <w:p>
            <w:pPr>
              <w:spacing w:after="0"/>
              <w:rPr>
                <w:sz w:val="7"/>
                <w:szCs w:val="7"/>
                <w:color w:val="auto"/>
              </w:rPr>
            </w:pPr>
          </w:p>
        </w:tc>
        <w:tc>
          <w:tcPr>
            <w:tcW w:w="56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w w:val="94"/>
              </w:rPr>
              <w:t>Level 3</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ind w:right="48"/>
              <w:spacing w:after="0" w:line="88" w:lineRule="exact"/>
              <w:rPr>
                <w:sz w:val="20"/>
                <w:szCs w:val="20"/>
                <w:color w:val="auto"/>
              </w:rPr>
            </w:pPr>
            <w:r>
              <w:rPr>
                <w:rFonts w:ascii="Arial" w:cs="Arial" w:eastAsia="Arial" w:hAnsi="Arial"/>
                <w:sz w:val="10"/>
                <w:szCs w:val="10"/>
                <w:b w:val="1"/>
                <w:bCs w:val="1"/>
                <w:color w:val="auto"/>
                <w:w w:val="81"/>
              </w:rPr>
              <w:t>Losses</w:t>
            </w:r>
          </w:p>
        </w:tc>
      </w:tr>
      <w:tr>
        <w:trPr>
          <w:trHeight w:val="133"/>
        </w:trPr>
        <w:tc>
          <w:tcPr>
            <w:tcW w:w="4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Certain property and equipment, net</w:t>
            </w:r>
          </w:p>
        </w:tc>
        <w:tc>
          <w:tcPr>
            <w:tcW w:w="1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449</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ind w:left="420"/>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449</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5,147</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0" w:name="page81"/>
    <w:bookmarkEnd w:id="8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Fair Value of Financial Instruments</w:t>
      </w:r>
    </w:p>
    <w:p>
      <w:pPr>
        <w:spacing w:after="0" w:line="154" w:lineRule="exact"/>
        <w:rPr>
          <w:sz w:val="20"/>
          <w:szCs w:val="20"/>
          <w:color w:val="auto"/>
        </w:rPr>
      </w:pPr>
    </w:p>
    <w:p>
      <w:pPr>
        <w:ind w:left="20" w:right="259"/>
        <w:spacing w:after="0" w:line="263" w:lineRule="auto"/>
        <w:rPr>
          <w:sz w:val="20"/>
          <w:szCs w:val="20"/>
          <w:color w:val="auto"/>
        </w:rPr>
      </w:pPr>
      <w:r>
        <w:rPr>
          <w:rFonts w:ascii="Arial" w:cs="Arial" w:eastAsia="Arial" w:hAnsi="Arial"/>
          <w:sz w:val="12"/>
          <w:szCs w:val="12"/>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Stock-Based Compensation</w:t>
      </w:r>
    </w:p>
    <w:p>
      <w:pPr>
        <w:spacing w:after="0" w:line="154" w:lineRule="exact"/>
        <w:rPr>
          <w:sz w:val="20"/>
          <w:szCs w:val="20"/>
          <w:color w:val="auto"/>
        </w:rPr>
      </w:pPr>
    </w:p>
    <w:p>
      <w:pPr>
        <w:ind w:left="20" w:right="39"/>
        <w:spacing w:after="0" w:line="283" w:lineRule="auto"/>
        <w:rPr>
          <w:sz w:val="20"/>
          <w:szCs w:val="20"/>
          <w:color w:val="auto"/>
        </w:rPr>
      </w:pPr>
      <w:r>
        <w:rPr>
          <w:rFonts w:ascii="Arial" w:cs="Arial" w:eastAsia="Arial" w:hAnsi="Arial"/>
          <w:sz w:val="11"/>
          <w:szCs w:val="11"/>
          <w:color w:val="auto"/>
        </w:rPr>
        <w:t>Accounting literature requires the recognition of compensation expense using a fair-value based method for costs related to all share-based payments including stock options and restricted stock issued under the Company’s employee stock plans. The guidance also requires companies to estimate the fair value of stock option awards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154"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In January 2021, the Financial Accounting Standards Board ("FASB") issued Accounting Standards Update ("ASU") No. 2021-01, "Reference Rate Reform (Topic 848): Scope” which clarifies the FASB’s recent rate reform guidance in Topic 848, Reference Rate Reform, that optional expedients and exceptions therein for contract modification and hedge accounting apply to derivatives that are affected by the discontinuing transition. ASU 2021-01 is effective immediately. Entities may choose to apply the amendments retrospectively as of any date from the beginning of an interim period that includes or is subsequent to March 12, 2020, or prospectively to new modifications from any date within an interim period that includes or is subsequent to January 7, 2021, up to the date that financial statements are available to be issued. The Company adopted this ASU on January 7, 2021. The adoption of ASU 2021-01 did not have a significant impact on the Company’s consolidated financial position or results of operations.</w:t>
      </w:r>
    </w:p>
    <w:p>
      <w:pPr>
        <w:spacing w:after="0" w:line="113" w:lineRule="exact"/>
        <w:rPr>
          <w:sz w:val="20"/>
          <w:szCs w:val="20"/>
          <w:color w:val="auto"/>
        </w:rPr>
      </w:pPr>
    </w:p>
    <w:p>
      <w:pPr>
        <w:ind w:left="20" w:right="59"/>
        <w:spacing w:after="0" w:line="259" w:lineRule="auto"/>
        <w:rPr>
          <w:sz w:val="20"/>
          <w:szCs w:val="20"/>
          <w:color w:val="auto"/>
        </w:rPr>
      </w:pPr>
      <w:r>
        <w:rPr>
          <w:rFonts w:ascii="Arial" w:cs="Arial" w:eastAsia="Arial" w:hAnsi="Arial"/>
          <w:sz w:val="12"/>
          <w:szCs w:val="12"/>
          <w:color w:val="auto"/>
        </w:rPr>
        <w:t>In March 2020, the FASB issued ASU No. 2020-04, "Reference Rate Reform (Topic 848): Facilitation of the Effects of Reference Rate Reform on Financial Reporting," which provides optional guidance, for a limited time, to ease the potential burden in accounting for or recognizing the effects of reference rate reform on financial reporting. ASU 2020-04 is effective for a limited time, from March 12, 2020, through December 31, 2022. The Company adopted this ASU on March 12, 2020. The adoption of ASU 2020-04 did not have a significant impact on the Company’s consolidated financial position or results of operations.</w:t>
      </w:r>
    </w:p>
    <w:p>
      <w:pPr>
        <w:spacing w:after="0" w:line="124" w:lineRule="exact"/>
        <w:rPr>
          <w:sz w:val="20"/>
          <w:szCs w:val="20"/>
          <w:color w:val="auto"/>
        </w:rPr>
      </w:pPr>
    </w:p>
    <w:p>
      <w:pPr>
        <w:ind w:left="20" w:right="259"/>
        <w:spacing w:after="0" w:line="256" w:lineRule="auto"/>
        <w:rPr>
          <w:sz w:val="20"/>
          <w:szCs w:val="20"/>
          <w:color w:val="auto"/>
        </w:rPr>
      </w:pPr>
      <w:r>
        <w:rPr>
          <w:rFonts w:ascii="Arial" w:cs="Arial" w:eastAsia="Arial" w:hAnsi="Arial"/>
          <w:sz w:val="12"/>
          <w:szCs w:val="12"/>
          <w:color w:val="auto"/>
        </w:rPr>
        <w:t>In February 2018, the FASB issued ASU No. 2018-13, "Fair Value Measurement (Topic 820): Disclosure Framework—Changes to the Disclosure Requirements for Fair Value Measurement," which finalizes proposed ASU No. 2015-350, and of the same name as part of its disclosure framework project, which focuses on improving the effectiveness of disclosures in the notes to financial statements by facilitating clear communication of the information required by U.S. GAAP that is most important to users of each entity’s financial statements. The Company adopted ASU No. 2018-13 during the first quarter of 2020. The adoption of ASU 2018-13 did not have a significant impact on the Company’s consolidated financial position or results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1" w:name="page82"/>
    <w:bookmarkEnd w:id="8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59"/>
        <w:spacing w:after="0" w:line="283" w:lineRule="auto"/>
        <w:rPr>
          <w:sz w:val="20"/>
          <w:szCs w:val="20"/>
          <w:color w:val="auto"/>
        </w:rPr>
      </w:pPr>
      <w:r>
        <w:rPr>
          <w:rFonts w:ascii="Arial" w:cs="Arial" w:eastAsia="Arial" w:hAnsi="Arial"/>
          <w:sz w:val="11"/>
          <w:szCs w:val="11"/>
          <w:color w:val="auto"/>
        </w:rPr>
        <w:t>In June 2016, the FASB issued ASU No. 2016-13, "Financial Instruments—Credit Losses (Topic 326): Measurement of Credit Losses on Financial Instruments," which finalizes proposed ASU No. 2012-260 "Financial Instruments—Credit Losses (Subtopic 825-15)" and adds Topic 326 "Financial Instruments—Credit Losses",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inform credit loss estimates. The Company adopted ASU No. 2016-13 during the first quarter of 2020. The adoption of ASU 2016-03 did not have a significant impact on the Company’s consolidated financial position or results of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Recent Accounting Pronouncements Not Yet Adopted</w:t>
      </w:r>
    </w:p>
    <w:p>
      <w:pPr>
        <w:spacing w:after="0" w:line="154" w:lineRule="exact"/>
        <w:rPr>
          <w:sz w:val="20"/>
          <w:szCs w:val="20"/>
          <w:color w:val="auto"/>
        </w:rPr>
      </w:pPr>
    </w:p>
    <w:p>
      <w:pPr>
        <w:ind w:left="20" w:right="239"/>
        <w:spacing w:after="0" w:line="340" w:lineRule="auto"/>
        <w:rPr>
          <w:sz w:val="20"/>
          <w:szCs w:val="20"/>
          <w:color w:val="auto"/>
        </w:rPr>
      </w:pPr>
      <w:r>
        <w:rPr>
          <w:rFonts w:ascii="Arial" w:cs="Arial" w:eastAsia="Arial" w:hAnsi="Arial"/>
          <w:sz w:val="10"/>
          <w:szCs w:val="10"/>
          <w:color w:val="auto"/>
        </w:rPr>
        <w:t>In October 2020, the FASB issued ASU No. 2020-10, "Codification Improvements," which improve the consistency of the codification by including all disclosure guidance in the appropriate Disclosure Section (Section 50). ASU 2020-10 is effective for annual periods beginning after December 15, 2020, and for interim periods within annual periods beginning after December 15, 2022. The adoption of ASU 2020-10 is not expected to have a significant impact on the Company’s consolidated financial position or results of operations.</w:t>
      </w:r>
    </w:p>
    <w:p>
      <w:pPr>
        <w:spacing w:after="0" w:line="87" w:lineRule="exact"/>
        <w:rPr>
          <w:sz w:val="20"/>
          <w:szCs w:val="20"/>
          <w:color w:val="auto"/>
        </w:rPr>
      </w:pPr>
    </w:p>
    <w:p>
      <w:pPr>
        <w:ind w:left="20" w:right="39"/>
        <w:spacing w:after="0" w:line="263" w:lineRule="auto"/>
        <w:rPr>
          <w:sz w:val="20"/>
          <w:szCs w:val="20"/>
          <w:color w:val="auto"/>
        </w:rPr>
      </w:pPr>
      <w:r>
        <w:rPr>
          <w:rFonts w:ascii="Arial" w:cs="Arial" w:eastAsia="Arial" w:hAnsi="Arial"/>
          <w:sz w:val="12"/>
          <w:szCs w:val="12"/>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adoption of ASU 2019-12 is not expected to have a significant impact on the Company’s consolidated financial position or results of operations.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Franchise Development Option Agreement with Related Party</w:t>
      </w:r>
    </w:p>
    <w:p>
      <w:pPr>
        <w:spacing w:after="0" w:line="154" w:lineRule="exact"/>
        <w:rPr>
          <w:sz w:val="20"/>
          <w:szCs w:val="20"/>
          <w:color w:val="auto"/>
        </w:rPr>
      </w:pPr>
    </w:p>
    <w:p>
      <w:pPr>
        <w:ind w:left="20" w:right="179"/>
        <w:spacing w:after="0" w:line="255" w:lineRule="auto"/>
        <w:rPr>
          <w:sz w:val="20"/>
          <w:szCs w:val="20"/>
          <w:color w:val="auto"/>
        </w:rPr>
      </w:pPr>
      <w:r>
        <w:rPr>
          <w:rFonts w:ascii="Arial" w:cs="Arial" w:eastAsia="Arial" w:hAnsi="Arial"/>
          <w:sz w:val="12"/>
          <w:szCs w:val="12"/>
          <w:color w:val="auto"/>
        </w:rPr>
        <w:t>On July 11, 2014, EPL and LLC entered into a Franchise Development Option Agreement relating to development of restaurants in the New York–Newark,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The Company has no current intention to begin development in the Territory and as of December 30, 2020, no stores have been opened in the Territory.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3. PROPERTY AND EQUIPMENT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costs and related accumulated depreciation and amortization of major classes of property are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1"/>
              </w:rPr>
              <w:t>December 30, 2020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42"/>
              <w:spacing w:after="0"/>
              <w:rPr>
                <w:sz w:val="20"/>
                <w:szCs w:val="20"/>
                <w:color w:val="auto"/>
              </w:rPr>
            </w:pPr>
            <w:r>
              <w:rPr>
                <w:rFonts w:ascii="Arial" w:cs="Arial" w:eastAsia="Arial" w:hAnsi="Arial"/>
                <w:sz w:val="10"/>
                <w:szCs w:val="10"/>
                <w:b w:val="1"/>
                <w:bCs w:val="1"/>
                <w:color w:val="auto"/>
                <w:w w:val="93"/>
              </w:rPr>
              <w:t>December 25, 2019</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Land</w:t>
            </w:r>
          </w:p>
        </w:tc>
        <w:tc>
          <w:tcPr>
            <w:tcW w:w="20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12,323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12,323</w:t>
            </w: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Buildings and improvements</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147,939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144,794</w:t>
            </w:r>
          </w:p>
        </w:tc>
      </w:tr>
      <w:tr>
        <w:trPr>
          <w:trHeight w:val="144"/>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Other property and equipment</w:t>
            </w:r>
          </w:p>
        </w:tc>
        <w:tc>
          <w:tcPr>
            <w:tcW w:w="2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75,234</w:t>
            </w:r>
          </w:p>
        </w:tc>
      </w:tr>
      <w:tr>
        <w:trPr>
          <w:trHeight w:val="144"/>
        </w:trPr>
        <w:tc>
          <w:tcPr>
            <w:tcW w:w="4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Construction in progress</w:t>
            </w: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4,213</w:t>
            </w:r>
          </w:p>
        </w:tc>
      </w:tr>
      <w:tr>
        <w:trPr>
          <w:trHeight w:val="133"/>
        </w:trPr>
        <w:tc>
          <w:tcPr>
            <w:tcW w:w="440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241,006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236,564</w:t>
            </w: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(161,364)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(144,786)</w:t>
            </w:r>
          </w:p>
        </w:tc>
      </w:tr>
      <w:tr>
        <w:trPr>
          <w:trHeight w:val="140"/>
        </w:trPr>
        <w:tc>
          <w:tcPr>
            <w:tcW w:w="4400" w:type="dxa"/>
            <w:vAlign w:val="bottom"/>
            <w:tcBorders>
              <w:top w:val="single" w:sz="8" w:color="CCEEFF"/>
              <w:bottom w:val="single" w:sz="8" w:color="CCEEFF"/>
            </w:tcBorders>
            <w:shd w:val="clear" w:color="auto" w:fill="CCEEFF"/>
          </w:tcPr>
          <w:p>
            <w:pPr>
              <w:spacing w:after="0"/>
              <w:rPr>
                <w:sz w:val="12"/>
                <w:szCs w:val="12"/>
                <w:color w:val="auto"/>
              </w:rPr>
            </w:pPr>
          </w:p>
        </w:tc>
        <w:tc>
          <w:tcPr>
            <w:tcW w:w="20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79,642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91,778</w:t>
            </w:r>
          </w:p>
        </w:tc>
      </w:tr>
    </w:tbl>
    <w:p>
      <w:pPr>
        <w:spacing w:after="0" w:line="135" w:lineRule="exact"/>
        <w:rPr>
          <w:sz w:val="20"/>
          <w:szCs w:val="20"/>
          <w:color w:val="auto"/>
        </w:rPr>
      </w:pPr>
    </w:p>
    <w:p>
      <w:pPr>
        <w:ind w:left="20" w:right="479"/>
        <w:spacing w:after="0" w:line="276" w:lineRule="auto"/>
        <w:rPr>
          <w:sz w:val="20"/>
          <w:szCs w:val="20"/>
          <w:color w:val="auto"/>
        </w:rPr>
      </w:pPr>
      <w:r>
        <w:rPr>
          <w:rFonts w:ascii="Arial" w:cs="Arial" w:eastAsia="Arial" w:hAnsi="Arial"/>
          <w:sz w:val="12"/>
          <w:szCs w:val="12"/>
          <w:color w:val="auto"/>
        </w:rPr>
        <w:t>Depreciation and amortization expense was $16.9 million, $17.9 million and $17.8 million for the years ended December 30, 2020, December 25, 2019, and December 26, 2018,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2" w:name="page83"/>
    <w:bookmarkEnd w:id="8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59"/>
        <w:spacing w:after="0" w:line="289" w:lineRule="auto"/>
        <w:rPr>
          <w:sz w:val="20"/>
          <w:szCs w:val="20"/>
          <w:color w:val="auto"/>
        </w:rPr>
      </w:pPr>
      <w:r>
        <w:rPr>
          <w:rFonts w:ascii="Arial" w:cs="Arial" w:eastAsia="Arial" w:hAnsi="Arial"/>
          <w:sz w:val="11"/>
          <w:szCs w:val="11"/>
          <w:color w:val="auto"/>
        </w:rPr>
        <w:t>Based on the Company’s review of its long-lived assets for impairment, the Company recorded non-cash impairment charges of $3.0 million, $0.3 million and $5.1 million for the years ended December 30, 2020, December 25, 2019, and December 26, 2018, respectively. D</w:t>
      </w:r>
      <w:r>
        <w:rPr>
          <w:rFonts w:ascii="Arial" w:cs="Arial" w:eastAsia="Arial" w:hAnsi="Arial"/>
          <w:sz w:val="11"/>
          <w:szCs w:val="11"/>
          <w:color w:val="212529"/>
        </w:rPr>
        <w:t>epending on the severity and longevity of the COVID-19 pandemic and the extent and duration of</w:t>
      </w:r>
      <w:r>
        <w:rPr>
          <w:rFonts w:ascii="Arial" w:cs="Arial" w:eastAsia="Arial" w:hAnsi="Arial"/>
          <w:sz w:val="11"/>
          <w:szCs w:val="11"/>
          <w:color w:val="auto"/>
        </w:rPr>
        <w:t xml:space="preserve"> </w:t>
      </w:r>
      <w:r>
        <w:rPr>
          <w:rFonts w:ascii="Arial" w:cs="Arial" w:eastAsia="Arial" w:hAnsi="Arial"/>
          <w:sz w:val="11"/>
          <w:szCs w:val="11"/>
          <w:color w:val="212529"/>
        </w:rPr>
        <w:t xml:space="preserve">any economic downturn, </w:t>
      </w:r>
      <w:r>
        <w:rPr>
          <w:rFonts w:ascii="Arial" w:cs="Arial" w:eastAsia="Arial" w:hAnsi="Arial"/>
          <w:sz w:val="11"/>
          <w:szCs w:val="11"/>
          <w:color w:val="000000"/>
        </w:rPr>
        <w:t>the Company’s financial performance could be further impacted and it is possible that material impairments could be identified in future periods. See</w:t>
      </w:r>
      <w:r>
        <w:rPr>
          <w:rFonts w:ascii="Arial" w:cs="Arial" w:eastAsia="Arial" w:hAnsi="Arial"/>
          <w:sz w:val="11"/>
          <w:szCs w:val="11"/>
          <w:color w:val="212529"/>
        </w:rPr>
        <w:t xml:space="preserve"> </w:t>
      </w:r>
      <w:r>
        <w:rPr>
          <w:rFonts w:ascii="Arial" w:cs="Arial" w:eastAsia="Arial" w:hAnsi="Arial"/>
          <w:sz w:val="11"/>
          <w:szCs w:val="11"/>
          <w:color w:val="000000"/>
        </w:rPr>
        <w:t>“Impairment of Long-Lived Assets and ROU Assets” in Note 2, “Summary of Significant Accounting Policies” for additional information.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4. TRADEMARKS, OTHER INTANGIBLE ASSETS AND LIABILITIES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Domestic trademarks consist of the following (in thousands):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December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225"/>
              <w:spacing w:after="0"/>
              <w:rPr>
                <w:sz w:val="20"/>
                <w:szCs w:val="20"/>
                <w:color w:val="auto"/>
              </w:rPr>
            </w:pPr>
            <w:r>
              <w:rPr>
                <w:rFonts w:ascii="Arial" w:cs="Arial" w:eastAsia="Arial" w:hAnsi="Arial"/>
                <w:sz w:val="10"/>
                <w:szCs w:val="10"/>
                <w:b w:val="1"/>
                <w:bCs w:val="1"/>
                <w:color w:val="auto"/>
              </w:rPr>
              <w:t>December 25,</w:t>
            </w:r>
          </w:p>
        </w:tc>
      </w:tr>
      <w:tr>
        <w:trPr>
          <w:trHeight w:val="113"/>
        </w:trPr>
        <w:tc>
          <w:tcPr>
            <w:tcW w:w="64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05"/>
              <w:spacing w:after="0" w:line="114"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05"/>
              <w:spacing w:after="0" w:line="114" w:lineRule="exact"/>
              <w:rPr>
                <w:sz w:val="20"/>
                <w:szCs w:val="20"/>
                <w:color w:val="auto"/>
              </w:rPr>
            </w:pPr>
            <w:r>
              <w:rPr>
                <w:rFonts w:ascii="Arial" w:cs="Arial" w:eastAsia="Arial" w:hAnsi="Arial"/>
                <w:sz w:val="10"/>
                <w:szCs w:val="10"/>
                <w:b w:val="1"/>
                <w:bCs w:val="1"/>
                <w:color w:val="auto"/>
              </w:rPr>
              <w:t>2019</w:t>
            </w:r>
          </w:p>
        </w:tc>
      </w:tr>
      <w:tr>
        <w:trPr>
          <w:trHeight w:val="133"/>
        </w:trPr>
        <w:tc>
          <w:tcPr>
            <w:tcW w:w="6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Cost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120,700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120,700</w:t>
            </w:r>
          </w:p>
        </w:tc>
      </w:tr>
      <w:tr>
        <w:trPr>
          <w:trHeight w:val="144"/>
        </w:trPr>
        <w:tc>
          <w:tcPr>
            <w:tcW w:w="6400" w:type="dxa"/>
            <w:vAlign w:val="bottom"/>
          </w:tcPr>
          <w:p>
            <w:pPr>
              <w:spacing w:after="0"/>
              <w:rPr>
                <w:sz w:val="20"/>
                <w:szCs w:val="20"/>
                <w:color w:val="auto"/>
              </w:rPr>
            </w:pPr>
            <w:r>
              <w:rPr>
                <w:rFonts w:ascii="Arial" w:cs="Arial" w:eastAsia="Arial" w:hAnsi="Arial"/>
                <w:sz w:val="12"/>
                <w:szCs w:val="12"/>
                <w:color w:val="auto"/>
              </w:rPr>
              <w:t>Accumulated impairment charges</w:t>
            </w:r>
          </w:p>
        </w:tc>
        <w:tc>
          <w:tcPr>
            <w:tcW w:w="18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(58,812)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(58,812)</w:t>
            </w:r>
          </w:p>
        </w:tc>
      </w:tr>
      <w:tr>
        <w:trPr>
          <w:trHeight w:val="140"/>
        </w:trPr>
        <w:tc>
          <w:tcPr>
            <w:tcW w:w="64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Trademarks, net</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61,888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61,888</w:t>
            </w:r>
          </w:p>
        </w:tc>
      </w:tr>
    </w:tbl>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5. LEASES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Adoption of Topic 842 "Leases"</w:t>
      </w:r>
    </w:p>
    <w:p>
      <w:pPr>
        <w:spacing w:after="0" w:line="154" w:lineRule="exact"/>
        <w:rPr>
          <w:sz w:val="20"/>
          <w:szCs w:val="20"/>
          <w:color w:val="auto"/>
        </w:rPr>
      </w:pPr>
    </w:p>
    <w:p>
      <w:pPr>
        <w:ind w:left="20" w:right="119"/>
        <w:spacing w:after="0" w:line="263" w:lineRule="auto"/>
        <w:rPr>
          <w:sz w:val="20"/>
          <w:szCs w:val="20"/>
          <w:color w:val="auto"/>
        </w:rPr>
      </w:pPr>
      <w:r>
        <w:rPr>
          <w:rFonts w:ascii="Arial" w:cs="Arial" w:eastAsia="Arial" w:hAnsi="Arial"/>
          <w:sz w:val="12"/>
          <w:szCs w:val="12"/>
          <w:color w:val="auto"/>
        </w:rPr>
        <w:t>On December 27, 2018, the Company adopted Topic 842, using the effective date method, recognizing and measuring all leases that existed as of December 27, 2018. The Company recorded a cumulative-effect adjustment as of December 27, 2018. All leases that either (1) commenced, or (2) were modified or re-measured after December 27, 2018 are accounted for under Topic 842.</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As a result of Topic 842, the Company recognized a ROU Asset of $205.2 million and a lease liability of $222.3 million on its consolidated balance sheet as of December 27, 2018.</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However, the adoption of Topic 842 did not result in a material impact on the Company’s consolidated statement of operations or consolidated statement of cash flows.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Nature of leases</w:t>
      </w:r>
    </w:p>
    <w:p>
      <w:pPr>
        <w:spacing w:after="0" w:line="150" w:lineRule="exact"/>
        <w:rPr>
          <w:sz w:val="20"/>
          <w:szCs w:val="20"/>
          <w:color w:val="auto"/>
        </w:rPr>
      </w:pPr>
    </w:p>
    <w:p>
      <w:pPr>
        <w:ind w:left="20" w:right="599"/>
        <w:spacing w:after="0" w:line="276" w:lineRule="auto"/>
        <w:rPr>
          <w:sz w:val="20"/>
          <w:szCs w:val="20"/>
          <w:color w:val="auto"/>
        </w:rPr>
      </w:pPr>
      <w:r>
        <w:rPr>
          <w:rFonts w:ascii="Arial" w:cs="Arial" w:eastAsia="Arial" w:hAnsi="Arial"/>
          <w:sz w:val="12"/>
          <w:szCs w:val="12"/>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15" w:lineRule="exact"/>
        <w:rPr>
          <w:sz w:val="20"/>
          <w:szCs w:val="20"/>
          <w:color w:val="auto"/>
        </w:rPr>
      </w:pPr>
    </w:p>
    <w:p>
      <w:pPr>
        <w:ind w:left="20" w:right="839"/>
        <w:spacing w:after="0" w:line="276" w:lineRule="auto"/>
        <w:rPr>
          <w:sz w:val="20"/>
          <w:szCs w:val="20"/>
          <w:color w:val="auto"/>
        </w:rPr>
      </w:pPr>
      <w:r>
        <w:rPr>
          <w:rFonts w:ascii="Arial" w:cs="Arial" w:eastAsia="Arial" w:hAnsi="Arial"/>
          <w:sz w:val="12"/>
          <w:szCs w:val="12"/>
          <w:color w:val="auto"/>
        </w:rPr>
        <w:t>As of December 30, 2020, the Company had no leases that it had entered into, but had not yet commenced. The Company does not have control of the property until lease commencement.</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Building and facility leases</w:t>
      </w:r>
    </w:p>
    <w:p>
      <w:pPr>
        <w:spacing w:after="0" w:line="154" w:lineRule="exact"/>
        <w:rPr>
          <w:sz w:val="20"/>
          <w:szCs w:val="20"/>
          <w:color w:val="auto"/>
        </w:rPr>
      </w:pPr>
    </w:p>
    <w:p>
      <w:pPr>
        <w:ind w:left="20" w:right="459"/>
        <w:spacing w:after="0" w:line="276" w:lineRule="auto"/>
        <w:rPr>
          <w:sz w:val="20"/>
          <w:szCs w:val="20"/>
          <w:color w:val="auto"/>
        </w:rPr>
      </w:pPr>
      <w:r>
        <w:rPr>
          <w:rFonts w:ascii="Arial" w:cs="Arial" w:eastAsia="Arial" w:hAnsi="Arial"/>
          <w:sz w:val="12"/>
          <w:szCs w:val="12"/>
          <w:color w:val="auto"/>
        </w:rPr>
        <w:t>The majority of the Company’s building and facilities leases are classified as operating leases; however, the Company currently has two facility and two equipment leases that are classified as finance leases.</w:t>
      </w:r>
    </w:p>
    <w:p>
      <w:pPr>
        <w:spacing w:after="0" w:line="115" w:lineRule="exact"/>
        <w:rPr>
          <w:sz w:val="20"/>
          <w:szCs w:val="20"/>
          <w:color w:val="auto"/>
        </w:rPr>
      </w:pPr>
    </w:p>
    <w:p>
      <w:pPr>
        <w:ind w:left="20" w:right="99"/>
        <w:spacing w:after="0" w:line="285" w:lineRule="auto"/>
        <w:rPr>
          <w:sz w:val="20"/>
          <w:szCs w:val="20"/>
          <w:color w:val="auto"/>
        </w:rPr>
      </w:pPr>
      <w:r>
        <w:rPr>
          <w:rFonts w:ascii="Arial" w:cs="Arial" w:eastAsia="Arial" w:hAnsi="Arial"/>
          <w:sz w:val="11"/>
          <w:szCs w:val="11"/>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3" w:name="page84"/>
    <w:bookmarkEnd w:id="8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2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During the year ended December 30, 2020, the Company reassessed the lease terms on 12 restaurants due to certain triggering events, such as the addition of significant leasehold improvements, the decision to terminate a lease, or the decision to renew. As a result of the reassessment, an additional $3.9 million of ROU assets and lease liabilities for the year ended December 30, 2020 were recognized, and will be amortized over the new lease term.</w:t>
      </w:r>
    </w:p>
    <w:p>
      <w:pPr>
        <w:spacing w:after="0" w:line="122"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During the year ended December 25, 2019, the Company reassessed the lease terms on 11 restaurants due to certain triggering events, such as the addition of significant leasehold improvements, the decision to terminate a lease, or the decision to renew. As a result of the reassessment, an additional $4.7 million of ROU assets and lease liabilities for the year ended December 25, 2019 were recognized, and will be amortized over the new lease term.</w:t>
      </w:r>
    </w:p>
    <w:p>
      <w:pPr>
        <w:spacing w:after="0" w:line="122"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The reassessments did not have any impact on the original lease classification. Additionally, as the Company adopted all practical expedients available under Topic 842, no reallocation between lease and non-lease components was necessary.</w:t>
      </w:r>
    </w:p>
    <w:p>
      <w:pPr>
        <w:spacing w:after="0" w:line="115" w:lineRule="exact"/>
        <w:rPr>
          <w:sz w:val="20"/>
          <w:szCs w:val="20"/>
          <w:color w:val="auto"/>
        </w:rPr>
      </w:pPr>
    </w:p>
    <w:p>
      <w:pPr>
        <w:jc w:val="both"/>
        <w:ind w:left="20" w:right="239"/>
        <w:spacing w:after="0" w:line="298" w:lineRule="auto"/>
        <w:rPr>
          <w:sz w:val="20"/>
          <w:szCs w:val="20"/>
          <w:color w:val="auto"/>
        </w:rPr>
      </w:pPr>
      <w:r>
        <w:rPr>
          <w:rFonts w:ascii="Arial" w:cs="Arial" w:eastAsia="Arial" w:hAnsi="Arial"/>
          <w:sz w:val="11"/>
          <w:szCs w:val="11"/>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05"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During fiscal 2020, the Company determined that the carrying value of ROU assets at one restaurant were not recoverable. As a result, we recorded a $0.5 million impairment expense for the year ended December 30, 2020 related to one restaurant in Texas, which was sold to a franchisee in the prior year. During fiscal 2019, the Company determined that the carrying value of ROU assets at certain restaurants was not recoverable. As a result, we recorded a $3.2 million impairment expense for the year ended December 25, 2019. The impairment primarily related to four restaurants sold to franchisees and one restaurant closed during fiscal 2019.</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Equipment</w:t>
      </w:r>
    </w:p>
    <w:p>
      <w:pPr>
        <w:spacing w:after="0" w:line="154" w:lineRule="exact"/>
        <w:rPr>
          <w:sz w:val="20"/>
          <w:szCs w:val="20"/>
          <w:color w:val="auto"/>
        </w:rPr>
      </w:pPr>
    </w:p>
    <w:p>
      <w:pPr>
        <w:ind w:left="20" w:right="319"/>
        <w:spacing w:after="0" w:line="276" w:lineRule="auto"/>
        <w:rPr>
          <w:sz w:val="20"/>
          <w:szCs w:val="20"/>
          <w:color w:val="auto"/>
        </w:rPr>
      </w:pPr>
      <w:r>
        <w:rPr>
          <w:rFonts w:ascii="Arial" w:cs="Arial" w:eastAsia="Arial" w:hAnsi="Arial"/>
          <w:sz w:val="12"/>
          <w:szCs w:val="12"/>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Significant Assumptions and Judgments</w:t>
      </w:r>
    </w:p>
    <w:p>
      <w:pPr>
        <w:spacing w:after="0" w:line="154" w:lineRule="exact"/>
        <w:rPr>
          <w:sz w:val="20"/>
          <w:szCs w:val="20"/>
          <w:color w:val="auto"/>
        </w:rPr>
      </w:pPr>
    </w:p>
    <w:p>
      <w:pPr>
        <w:ind w:left="20" w:right="59"/>
        <w:spacing w:after="0" w:line="276" w:lineRule="auto"/>
        <w:rPr>
          <w:sz w:val="20"/>
          <w:szCs w:val="20"/>
          <w:color w:val="auto"/>
        </w:rPr>
      </w:pPr>
      <w:r>
        <w:rPr>
          <w:rFonts w:ascii="Arial" w:cs="Arial" w:eastAsia="Arial" w:hAnsi="Arial"/>
          <w:sz w:val="12"/>
          <w:szCs w:val="12"/>
          <w:color w:val="auto"/>
        </w:rPr>
        <w:t>In applying the requirements of Topic 842, the Company made significant assumptions and judgments related to determination of whether a contract contains a lease and the discount rate used for the lease.</w:t>
      </w:r>
    </w:p>
    <w:p>
      <w:pPr>
        <w:spacing w:after="0" w:line="115"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15" w:lineRule="exact"/>
        <w:rPr>
          <w:sz w:val="20"/>
          <w:szCs w:val="20"/>
          <w:color w:val="auto"/>
        </w:rPr>
      </w:pPr>
    </w:p>
    <w:p>
      <w:pPr>
        <w:ind w:left="20" w:right="299"/>
        <w:spacing w:after="0" w:line="259" w:lineRule="auto"/>
        <w:rPr>
          <w:sz w:val="20"/>
          <w:szCs w:val="20"/>
          <w:color w:val="auto"/>
        </w:rPr>
      </w:pPr>
      <w:r>
        <w:rPr>
          <w:rFonts w:ascii="Arial" w:cs="Arial" w:eastAsia="Arial" w:hAnsi="Arial"/>
          <w:sz w:val="12"/>
          <w:szCs w:val="12"/>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4" w:name="page85"/>
    <w:bookmarkEnd w:id="8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the Company’s total lease cost, disaggregated by underlying asset (in thousands):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84"/>
              </w:rPr>
              <w:t>December 30, 2020</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86"/>
              </w:rPr>
              <w:t>December 25, 2019</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r>
        <w:trPr>
          <w:trHeight w:val="143"/>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Property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Equipment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Property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Equipment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3"/>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Leases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2"/>
              </w:rPr>
              <w:t>Leases</w:t>
            </w:r>
          </w:p>
        </w:tc>
        <w:tc>
          <w:tcPr>
            <w:tcW w:w="160" w:type="dxa"/>
            <w:vAlign w:val="bottom"/>
          </w:tcPr>
          <w:p>
            <w:pPr>
              <w:spacing w:after="0"/>
              <w:rPr>
                <w:sz w:val="12"/>
                <w:szCs w:val="12"/>
                <w:color w:val="auto"/>
              </w:rPr>
            </w:pP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Leases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2"/>
              </w:rPr>
              <w:t>Leases</w:t>
            </w:r>
          </w:p>
        </w:tc>
        <w:tc>
          <w:tcPr>
            <w:tcW w:w="160" w:type="dxa"/>
            <w:vAlign w:val="bottom"/>
          </w:tcPr>
          <w:p>
            <w:pPr>
              <w:spacing w:after="0"/>
              <w:rPr>
                <w:sz w:val="12"/>
                <w:szCs w:val="12"/>
                <w:color w:val="auto"/>
              </w:rPr>
            </w:pPr>
          </w:p>
        </w:tc>
        <w:tc>
          <w:tcPr>
            <w:tcW w:w="560" w:type="dxa"/>
            <w:vAlign w:val="bottom"/>
          </w:tcPr>
          <w:p>
            <w:pPr>
              <w:jc w:val="right"/>
              <w:ind w:right="202"/>
              <w:spacing w:after="0"/>
              <w:rPr>
                <w:sz w:val="20"/>
                <w:szCs w:val="20"/>
                <w:color w:val="auto"/>
              </w:rPr>
            </w:pPr>
            <w:r>
              <w:rPr>
                <w:rFonts w:ascii="Arial" w:cs="Arial" w:eastAsia="Arial" w:hAnsi="Arial"/>
                <w:sz w:val="10"/>
                <w:szCs w:val="10"/>
                <w:b w:val="1"/>
                <w:bCs w:val="1"/>
                <w:color w:val="auto"/>
              </w:rPr>
              <w:t>Total</w:t>
            </w:r>
          </w:p>
        </w:tc>
      </w:tr>
      <w:tr>
        <w:trPr>
          <w:trHeight w:val="133"/>
        </w:trPr>
        <w:tc>
          <w:tcPr>
            <w:tcW w:w="3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Finance lease cost:</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53"/>
        </w:trPr>
        <w:tc>
          <w:tcPr>
            <w:tcW w:w="3860" w:type="dxa"/>
            <w:vAlign w:val="bottom"/>
          </w:tcPr>
          <w:p>
            <w:pPr>
              <w:ind w:left="80"/>
              <w:spacing w:after="0"/>
              <w:rPr>
                <w:sz w:val="20"/>
                <w:szCs w:val="20"/>
                <w:color w:val="auto"/>
              </w:rPr>
            </w:pPr>
            <w:r>
              <w:rPr>
                <w:rFonts w:ascii="Arial" w:cs="Arial" w:eastAsia="Arial" w:hAnsi="Arial"/>
                <w:sz w:val="12"/>
                <w:szCs w:val="12"/>
                <w:color w:val="auto"/>
              </w:rPr>
              <w:t>Amortization of right-of-use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11</w:t>
            </w:r>
          </w:p>
        </w:tc>
        <w:tc>
          <w:tcPr>
            <w:tcW w:w="1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9</w:t>
            </w:r>
          </w:p>
        </w:tc>
        <w:tc>
          <w:tcPr>
            <w:tcW w:w="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3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on lease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3860" w:type="dxa"/>
            <w:vAlign w:val="bottom"/>
          </w:tcPr>
          <w:p>
            <w:pPr>
              <w:spacing w:after="0"/>
              <w:rPr>
                <w:sz w:val="20"/>
                <w:szCs w:val="20"/>
                <w:color w:val="auto"/>
              </w:rPr>
            </w:pPr>
            <w:r>
              <w:rPr>
                <w:rFonts w:ascii="Arial" w:cs="Arial" w:eastAsia="Arial" w:hAnsi="Arial"/>
                <w:sz w:val="12"/>
                <w:szCs w:val="12"/>
                <w:color w:val="auto"/>
              </w:rPr>
              <w:t>Operating lease cost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26,578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1,227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27,805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26,212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1,273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27,485</w:t>
            </w:r>
          </w:p>
        </w:tc>
      </w:tr>
      <w:tr>
        <w:trPr>
          <w:trHeight w:val="153"/>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Short-term lease cost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53"/>
        </w:trPr>
        <w:tc>
          <w:tcPr>
            <w:tcW w:w="3860" w:type="dxa"/>
            <w:vAlign w:val="bottom"/>
          </w:tcPr>
          <w:p>
            <w:pPr>
              <w:spacing w:after="0"/>
              <w:rPr>
                <w:sz w:val="20"/>
                <w:szCs w:val="20"/>
                <w:color w:val="auto"/>
              </w:rPr>
            </w:pPr>
            <w:r>
              <w:rPr>
                <w:rFonts w:ascii="Arial" w:cs="Arial" w:eastAsia="Arial" w:hAnsi="Arial"/>
                <w:sz w:val="12"/>
                <w:szCs w:val="12"/>
                <w:color w:val="auto"/>
              </w:rPr>
              <w:t>Variable lease cost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641</w:t>
            </w:r>
          </w:p>
        </w:tc>
      </w:tr>
      <w:tr>
        <w:trPr>
          <w:trHeight w:val="153"/>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Sublease income</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(3,251)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(2,430)</w:t>
            </w:r>
          </w:p>
        </w:tc>
      </w:tr>
      <w:tr>
        <w:trPr>
          <w:trHeight w:val="133"/>
        </w:trPr>
        <w:tc>
          <w:tcPr>
            <w:tcW w:w="3860" w:type="dxa"/>
            <w:vAlign w:val="bottom"/>
          </w:tcPr>
          <w:p>
            <w:pPr>
              <w:spacing w:after="0" w:line="133" w:lineRule="exact"/>
              <w:rPr>
                <w:sz w:val="20"/>
                <w:szCs w:val="20"/>
                <w:color w:val="auto"/>
              </w:rPr>
            </w:pPr>
            <w:r>
              <w:rPr>
                <w:rFonts w:ascii="Arial" w:cs="Arial" w:eastAsia="Arial" w:hAnsi="Arial"/>
                <w:sz w:val="12"/>
                <w:szCs w:val="12"/>
                <w:color w:val="auto"/>
              </w:rPr>
              <w:t>Total lease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23,809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1,441</w:t>
            </w: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25,250</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24,273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1,493</w:t>
            </w: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25,766</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Prior to the adoption of Topic 842, the Company had a net rent expense of $23.7 million net of sublease income of $2.2 million for the year ended December 26, 2018.</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the Company’s total lease cost on the consolidated statement of operations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00" w:type="dxa"/>
            <w:vAlign w:val="bottom"/>
            <w:tcBorders>
              <w:bottom w:val="single" w:sz="8" w:color="CCEEFF"/>
            </w:tcBorders>
          </w:tcPr>
          <w:p>
            <w:pPr>
              <w:spacing w:after="0"/>
              <w:rPr>
                <w:sz w:val="10"/>
                <w:szCs w:val="10"/>
                <w:color w:val="auto"/>
              </w:rPr>
            </w:pPr>
          </w:p>
        </w:tc>
        <w:tc>
          <w:tcPr>
            <w:tcW w:w="26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97"/>
              </w:rPr>
              <w:t>December 30, 2020</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w w:val="95"/>
              </w:rPr>
              <w:t>December 25, 2019</w:t>
            </w:r>
          </w:p>
        </w:tc>
        <w:tc>
          <w:tcPr>
            <w:tcW w:w="20" w:type="dxa"/>
            <w:vAlign w:val="bottom"/>
            <w:tcBorders>
              <w:bottom w:val="single" w:sz="8" w:color="auto"/>
            </w:tcBorders>
          </w:tcPr>
          <w:p>
            <w:pPr>
              <w:spacing w:after="0"/>
              <w:rPr>
                <w:sz w:val="10"/>
                <w:szCs w:val="10"/>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Lease cost – Occupancy and other operating expenses</w:t>
            </w:r>
          </w:p>
        </w:tc>
        <w:tc>
          <w:tcPr>
            <w:tcW w:w="26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23,972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24,540</w:t>
            </w:r>
          </w:p>
        </w:tc>
        <w:tc>
          <w:tcPr>
            <w:tcW w:w="20" w:type="dxa"/>
            <w:vAlign w:val="bottom"/>
            <w:shd w:val="clear" w:color="auto" w:fill="CCEEFF"/>
          </w:tcPr>
          <w:p>
            <w:pPr>
              <w:spacing w:after="0"/>
              <w:rPr>
                <w:sz w:val="11"/>
                <w:szCs w:val="11"/>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Lease cost – General &amp; administrative</w:t>
            </w: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463</w:t>
            </w:r>
          </w:p>
        </w:tc>
        <w:tc>
          <w:tcPr>
            <w:tcW w:w="2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Lease cost – Depreciation and amortization</w:t>
            </w:r>
          </w:p>
        </w:tc>
        <w:tc>
          <w:tcPr>
            <w:tcW w:w="2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Lease cost – Interest expense</w:t>
            </w: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Lease cost - Closed-store reserve</w:t>
            </w:r>
          </w:p>
        </w:tc>
        <w:tc>
          <w:tcPr>
            <w:tcW w:w="26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w:t>
            </w:r>
          </w:p>
        </w:tc>
        <w:tc>
          <w:tcPr>
            <w:tcW w:w="20" w:type="dxa"/>
            <w:vAlign w:val="bottom"/>
            <w:tcBorders>
              <w:bottom w:val="single" w:sz="8" w:color="auto"/>
            </w:tcBorders>
            <w:shd w:val="clear" w:color="auto" w:fill="CCEEFF"/>
          </w:tcPr>
          <w:p>
            <w:pPr>
              <w:spacing w:after="0"/>
              <w:rPr>
                <w:sz w:val="12"/>
                <w:szCs w:val="12"/>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2"/>
                <w:szCs w:val="12"/>
                <w:color w:val="auto"/>
              </w:rPr>
              <w:t>Total lease cost</w:t>
            </w:r>
          </w:p>
        </w:tc>
        <w:tc>
          <w:tcPr>
            <w:tcW w:w="266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25,250</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25,766</w:t>
            </w:r>
          </w:p>
        </w:tc>
        <w:tc>
          <w:tcPr>
            <w:tcW w:w="20" w:type="dxa"/>
            <w:vAlign w:val="bottom"/>
            <w:tcBorders>
              <w:bottom w:val="single" w:sz="8" w:color="auto"/>
            </w:tcBorders>
          </w:tcPr>
          <w:p>
            <w:pPr>
              <w:spacing w:after="0"/>
              <w:rPr>
                <w:sz w:val="11"/>
                <w:szCs w:val="11"/>
                <w:color w:val="auto"/>
              </w:rPr>
            </w:pPr>
          </w:p>
        </w:tc>
      </w:tr>
      <w:tr>
        <w:trPr>
          <w:trHeight w:val="565"/>
        </w:trPr>
        <w:tc>
          <w:tcPr>
            <w:tcW w:w="3500" w:type="dxa"/>
            <w:vAlign w:val="bottom"/>
          </w:tcPr>
          <w:p>
            <w:pPr>
              <w:spacing w:after="0"/>
              <w:rPr>
                <w:sz w:val="24"/>
                <w:szCs w:val="24"/>
                <w:color w:val="auto"/>
              </w:rPr>
            </w:pPr>
          </w:p>
        </w:tc>
        <w:tc>
          <w:tcPr>
            <w:tcW w:w="2660" w:type="dxa"/>
            <w:vAlign w:val="bottom"/>
          </w:tcPr>
          <w:p>
            <w:pPr>
              <w:jc w:val="right"/>
              <w:ind w:right="1560"/>
              <w:spacing w:after="0"/>
              <w:rPr>
                <w:sz w:val="20"/>
                <w:szCs w:val="20"/>
                <w:color w:val="auto"/>
              </w:rPr>
            </w:pPr>
            <w:r>
              <w:rPr>
                <w:rFonts w:ascii="Arial" w:cs="Arial" w:eastAsia="Arial" w:hAnsi="Arial"/>
                <w:sz w:val="12"/>
                <w:szCs w:val="12"/>
                <w:color w:val="auto"/>
              </w:rPr>
              <w:t>83</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3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85" w:name="page86"/>
    <w:bookmarkEnd w:id="8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During the year ended December 30, 2020 and December 25, 2019, the Company had the following cash and non-cash activities associated with its leases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84"/>
              </w:rPr>
              <w:t>December 30, 2020</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97"/>
              </w:rPr>
              <w:t>December 25, 2019</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Property</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Equipment</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tcPr>
          <w:p>
            <w:pPr>
              <w:jc w:val="right"/>
              <w:ind w:right="380"/>
              <w:spacing w:after="0" w:line="74" w:lineRule="exact"/>
              <w:rPr>
                <w:sz w:val="20"/>
                <w:szCs w:val="20"/>
                <w:color w:val="auto"/>
              </w:rPr>
            </w:pPr>
            <w:r>
              <w:rPr>
                <w:rFonts w:ascii="Arial" w:cs="Arial" w:eastAsia="Arial" w:hAnsi="Arial"/>
                <w:sz w:val="8"/>
                <w:szCs w:val="8"/>
                <w:b w:val="1"/>
                <w:bCs w:val="1"/>
                <w:color w:val="auto"/>
              </w:rPr>
              <w:t>Property</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Equipment</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40"/>
              <w:spacing w:after="0" w:line="114" w:lineRule="exact"/>
              <w:rPr>
                <w:sz w:val="20"/>
                <w:szCs w:val="20"/>
                <w:color w:val="auto"/>
              </w:rPr>
            </w:pPr>
            <w:r>
              <w:rPr>
                <w:rFonts w:ascii="Arial" w:cs="Arial" w:eastAsia="Arial" w:hAnsi="Arial"/>
                <w:sz w:val="10"/>
                <w:szCs w:val="10"/>
                <w:b w:val="1"/>
                <w:bCs w:val="1"/>
                <w:color w:val="auto"/>
              </w:rPr>
              <w:t>Leases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76"/>
              </w:rPr>
              <w:t>Leases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jc w:val="right"/>
              <w:ind w:right="182"/>
              <w:spacing w:after="0" w:line="114" w:lineRule="exact"/>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Leases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rPr>
              <w:t>Leases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9"/>
              </w:rPr>
              <w:t>Cash paid for amounts included in the measurement of lease</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Operating cash flows used for operating leases</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23,683</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1,230</w:t>
            </w:r>
          </w:p>
        </w:tc>
        <w:tc>
          <w:tcPr>
            <w:tcW w:w="180" w:type="dxa"/>
            <w:vAlign w:val="bottom"/>
          </w:tcPr>
          <w:p>
            <w:pPr>
              <w:spacing w:after="0"/>
              <w:rPr>
                <w:sz w:val="12"/>
                <w:szCs w:val="1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24,913</w:t>
            </w: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25,168</w:t>
            </w:r>
          </w:p>
        </w:tc>
        <w:tc>
          <w:tcPr>
            <w:tcW w:w="18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1,282</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26,450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Financing cash flows used for finance leases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spacing w:after="0"/>
              <w:rPr>
                <w:sz w:val="20"/>
                <w:szCs w:val="20"/>
                <w:color w:val="auto"/>
              </w:rPr>
            </w:pPr>
            <w:r>
              <w:rPr>
                <w:rFonts w:ascii="Arial" w:cs="Arial" w:eastAsia="Arial" w:hAnsi="Arial"/>
                <w:sz w:val="12"/>
                <w:szCs w:val="12"/>
                <w:color w:val="auto"/>
                <w:w w:val="93"/>
              </w:rPr>
              <w:t>Operating lease ROU assets obtained in exchange for lease 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Operating lease ROU assets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5,850</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5,863</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10,339</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spacing w:after="0"/>
              <w:rPr>
                <w:sz w:val="20"/>
                <w:szCs w:val="20"/>
                <w:color w:val="auto"/>
              </w:rPr>
            </w:pPr>
            <w:r>
              <w:rPr>
                <w:rFonts w:ascii="Arial" w:cs="Arial" w:eastAsia="Arial" w:hAnsi="Arial"/>
                <w:sz w:val="12"/>
                <w:szCs w:val="12"/>
                <w:color w:val="auto"/>
                <w:w w:val="95"/>
              </w:rPr>
              <w:t>Finance lease ROU assets obtained in exchange for lease 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Finance lease ROU assets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1,677</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rPr>
              <w:t>Derecognition of ROU assets due to terminations, impairment 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00" w:type="dxa"/>
            <w:vAlign w:val="bottom"/>
            <w:gridSpan w:val="2"/>
          </w:tcPr>
          <w:p>
            <w:pPr>
              <w:spacing w:after="0"/>
              <w:rPr>
                <w:sz w:val="20"/>
                <w:szCs w:val="20"/>
                <w:color w:val="auto"/>
              </w:rPr>
            </w:pPr>
            <w:r>
              <w:rPr>
                <w:rFonts w:ascii="Arial" w:cs="Arial" w:eastAsia="Arial" w:hAnsi="Arial"/>
                <w:sz w:val="12"/>
                <w:szCs w:val="12"/>
                <w:color w:val="auto"/>
              </w:rPr>
              <w:t>modifications</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(543)</w:t>
            </w:r>
          </w:p>
        </w:tc>
        <w:tc>
          <w:tcPr>
            <w:tcW w:w="14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(26)</w:t>
            </w:r>
          </w:p>
        </w:tc>
        <w:tc>
          <w:tcPr>
            <w:tcW w:w="18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(569)</w:t>
            </w:r>
          </w:p>
        </w:tc>
        <w:tc>
          <w:tcPr>
            <w:tcW w:w="16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(4,574)</w:t>
            </w:r>
          </w:p>
        </w:tc>
        <w:tc>
          <w:tcPr>
            <w:tcW w:w="180" w:type="dxa"/>
            <w:vAlign w:val="bottom"/>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(157)</w:t>
            </w:r>
          </w:p>
        </w:tc>
        <w:tc>
          <w:tcPr>
            <w:tcW w:w="16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(4,731)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80" w:type="dxa"/>
            <w:vAlign w:val="bottom"/>
          </w:tcPr>
          <w:p>
            <w:pPr>
              <w:spacing w:after="0" w:line="135" w:lineRule="exact"/>
              <w:rPr>
                <w:sz w:val="20"/>
                <w:szCs w:val="20"/>
                <w:color w:val="auto"/>
              </w:rPr>
            </w:pPr>
            <w:r>
              <w:rPr>
                <w:rFonts w:ascii="Arial" w:cs="Arial" w:eastAsia="Arial" w:hAnsi="Arial"/>
                <w:sz w:val="12"/>
                <w:szCs w:val="12"/>
                <w:color w:val="auto"/>
                <w:w w:val="91"/>
              </w:rPr>
              <w:t>Operating lease ROU assets obtained and liabilities incurred as a result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00" w:type="dxa"/>
            <w:vAlign w:val="bottom"/>
            <w:gridSpan w:val="2"/>
          </w:tcPr>
          <w:p>
            <w:pPr>
              <w:spacing w:after="0"/>
              <w:rPr>
                <w:sz w:val="20"/>
                <w:szCs w:val="20"/>
                <w:color w:val="auto"/>
              </w:rPr>
            </w:pPr>
            <w:r>
              <w:rPr>
                <w:rFonts w:ascii="Arial" w:cs="Arial" w:eastAsia="Arial" w:hAnsi="Arial"/>
                <w:sz w:val="12"/>
                <w:szCs w:val="12"/>
                <w:color w:val="auto"/>
              </w:rPr>
              <w:t>of adoption of ASC 842: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Operating lease ROU assets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200,555</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4,668</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205,223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Operating lease liabilities</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217,615</w:t>
            </w:r>
          </w:p>
        </w:tc>
        <w:tc>
          <w:tcPr>
            <w:tcW w:w="18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4,668</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222,283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80" w:type="dxa"/>
            <w:vAlign w:val="bottom"/>
          </w:tcPr>
          <w:p>
            <w:pPr>
              <w:spacing w:after="0"/>
              <w:rPr>
                <w:sz w:val="20"/>
                <w:szCs w:val="20"/>
                <w:color w:val="auto"/>
              </w:rPr>
            </w:pPr>
            <w:r>
              <w:rPr>
                <w:rFonts w:ascii="Arial" w:cs="Arial" w:eastAsia="Arial" w:hAnsi="Arial"/>
                <w:sz w:val="12"/>
                <w:szCs w:val="12"/>
                <w:b w:val="1"/>
                <w:bCs w:val="1"/>
                <w:color w:val="auto"/>
              </w:rPr>
              <w:t>Other Information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Weighted-average remaining lease term—finance leases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Weighted-average remaining lease term—operating leases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Weighted-average discount rate—finance leases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2.50 %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1.68 %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11.10 %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Weighted-average discount rate—operating leases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4.29 %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3.93 %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4.38 %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3.96 %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84</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2" w:right="1440" w:bottom="1440" w:gutter="0" w:footer="0" w:header="0"/>
        </w:sectPr>
      </w:pPr>
    </w:p>
    <w:bookmarkStart w:id="86" w:name="page87"/>
    <w:bookmarkEnd w:id="8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Information regarding the Company’s minimum future lease obligations at December 30, 2020 is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4"/>
              </w:rPr>
              <w:t>Finance</w:t>
            </w:r>
          </w:p>
        </w:tc>
        <w:tc>
          <w:tcPr>
            <w:tcW w:w="140" w:type="dxa"/>
            <w:vAlign w:val="bottom"/>
          </w:tcPr>
          <w:p>
            <w:pPr>
              <w:spacing w:after="0"/>
              <w:rPr>
                <w:sz w:val="10"/>
                <w:szCs w:val="10"/>
                <w:color w:val="auto"/>
              </w:rPr>
            </w:pPr>
          </w:p>
        </w:tc>
        <w:tc>
          <w:tcPr>
            <w:tcW w:w="1740" w:type="dxa"/>
            <w:vAlign w:val="bottom"/>
            <w:gridSpan w:val="4"/>
          </w:tcPr>
          <w:p>
            <w:pPr>
              <w:jc w:val="right"/>
              <w:ind w:right="524"/>
              <w:spacing w:after="0"/>
              <w:rPr>
                <w:sz w:val="20"/>
                <w:szCs w:val="20"/>
                <w:color w:val="auto"/>
              </w:rPr>
            </w:pPr>
            <w:r>
              <w:rPr>
                <w:rFonts w:ascii="Arial" w:cs="Arial" w:eastAsia="Arial" w:hAnsi="Arial"/>
                <w:sz w:val="10"/>
                <w:szCs w:val="10"/>
                <w:b w:val="1"/>
                <w:bCs w:val="1"/>
                <w:color w:val="auto"/>
              </w:rPr>
              <w:t>Operating Leases</w:t>
            </w:r>
          </w:p>
        </w:tc>
      </w:tr>
      <w:tr>
        <w:trPr>
          <w:trHeight w:val="74"/>
        </w:trPr>
        <w:tc>
          <w:tcPr>
            <w:tcW w:w="5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center"/>
              <w:ind w:right="64"/>
              <w:spacing w:after="0" w:line="74" w:lineRule="exact"/>
              <w:rPr>
                <w:sz w:val="20"/>
                <w:szCs w:val="20"/>
                <w:color w:val="auto"/>
              </w:rPr>
            </w:pPr>
            <w:r>
              <w:rPr>
                <w:rFonts w:ascii="Arial" w:cs="Arial" w:eastAsia="Arial" w:hAnsi="Arial"/>
                <w:sz w:val="8"/>
                <w:szCs w:val="8"/>
                <w:b w:val="1"/>
                <w:bCs w:val="1"/>
                <w:color w:val="auto"/>
              </w:rPr>
              <w:t>Minimum</w:t>
            </w: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Minimum</w:t>
            </w: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center"/>
              <w:ind w:right="84"/>
              <w:spacing w:after="0" w:line="74" w:lineRule="exact"/>
              <w:rPr>
                <w:sz w:val="20"/>
                <w:szCs w:val="20"/>
                <w:color w:val="auto"/>
              </w:rPr>
            </w:pPr>
            <w:r>
              <w:rPr>
                <w:rFonts w:ascii="Arial" w:cs="Arial" w:eastAsia="Arial" w:hAnsi="Arial"/>
                <w:sz w:val="8"/>
                <w:szCs w:val="8"/>
                <w:b w:val="1"/>
                <w:bCs w:val="1"/>
                <w:color w:val="auto"/>
              </w:rPr>
              <w:t>Minimum</w:t>
            </w:r>
          </w:p>
        </w:tc>
      </w:tr>
      <w:tr>
        <w:trPr>
          <w:trHeight w:val="99"/>
        </w:trPr>
        <w:tc>
          <w:tcPr>
            <w:tcW w:w="5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Lease</w:t>
            </w:r>
          </w:p>
        </w:tc>
        <w:tc>
          <w:tcPr>
            <w:tcW w:w="140" w:type="dxa"/>
            <w:vAlign w:val="bottom"/>
          </w:tcPr>
          <w:p>
            <w:pPr>
              <w:spacing w:after="0"/>
              <w:rPr>
                <w:sz w:val="8"/>
                <w:szCs w:val="8"/>
                <w:color w:val="auto"/>
              </w:rPr>
            </w:pPr>
          </w:p>
        </w:tc>
        <w:tc>
          <w:tcPr>
            <w:tcW w:w="90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77"/>
              </w:rPr>
              <w:t>Lease</w:t>
            </w:r>
          </w:p>
        </w:tc>
        <w:tc>
          <w:tcPr>
            <w:tcW w:w="140" w:type="dxa"/>
            <w:vAlign w:val="bottom"/>
          </w:tcPr>
          <w:p>
            <w:pPr>
              <w:spacing w:after="0"/>
              <w:rPr>
                <w:sz w:val="8"/>
                <w:szCs w:val="8"/>
                <w:color w:val="auto"/>
              </w:rPr>
            </w:pPr>
          </w:p>
        </w:tc>
        <w:tc>
          <w:tcPr>
            <w:tcW w:w="700" w:type="dxa"/>
            <w:vAlign w:val="bottom"/>
          </w:tcPr>
          <w:p>
            <w:pPr>
              <w:jc w:val="center"/>
              <w:ind w:right="84"/>
              <w:spacing w:after="0" w:line="99" w:lineRule="exact"/>
              <w:rPr>
                <w:sz w:val="20"/>
                <w:szCs w:val="20"/>
                <w:color w:val="auto"/>
              </w:rPr>
            </w:pPr>
            <w:r>
              <w:rPr>
                <w:rFonts w:ascii="Arial" w:cs="Arial" w:eastAsia="Arial" w:hAnsi="Arial"/>
                <w:sz w:val="10"/>
                <w:szCs w:val="10"/>
                <w:b w:val="1"/>
                <w:bCs w:val="1"/>
                <w:color w:val="auto"/>
                <w:w w:val="81"/>
              </w:rPr>
              <w:t>Sublease</w:t>
            </w:r>
          </w:p>
        </w:tc>
      </w:tr>
      <w:tr>
        <w:trPr>
          <w:trHeight w:val="113"/>
        </w:trPr>
        <w:tc>
          <w:tcPr>
            <w:tcW w:w="60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For the Years Ending</w:t>
            </w:r>
          </w:p>
        </w:tc>
        <w:tc>
          <w:tcPr>
            <w:tcW w:w="140" w:type="dxa"/>
            <w:vAlign w:val="bottom"/>
          </w:tcPr>
          <w:p>
            <w:pPr>
              <w:spacing w:after="0"/>
              <w:rPr>
                <w:sz w:val="9"/>
                <w:szCs w:val="9"/>
                <w:color w:val="auto"/>
              </w:rPr>
            </w:pPr>
          </w:p>
        </w:tc>
        <w:tc>
          <w:tcPr>
            <w:tcW w:w="8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4"/>
              </w:rPr>
              <w:t>Payments</w:t>
            </w:r>
          </w:p>
        </w:tc>
        <w:tc>
          <w:tcPr>
            <w:tcW w:w="140" w:type="dxa"/>
            <w:vAlign w:val="bottom"/>
          </w:tcPr>
          <w:p>
            <w:pPr>
              <w:spacing w:after="0"/>
              <w:rPr>
                <w:sz w:val="9"/>
                <w:szCs w:val="9"/>
                <w:color w:val="auto"/>
              </w:rPr>
            </w:pPr>
          </w:p>
        </w:tc>
        <w:tc>
          <w:tcPr>
            <w:tcW w:w="9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Payments</w:t>
            </w:r>
          </w:p>
        </w:tc>
        <w:tc>
          <w:tcPr>
            <w:tcW w:w="140" w:type="dxa"/>
            <w:vAlign w:val="bottom"/>
          </w:tcPr>
          <w:p>
            <w:pPr>
              <w:spacing w:after="0"/>
              <w:rPr>
                <w:sz w:val="9"/>
                <w:szCs w:val="9"/>
                <w:color w:val="auto"/>
              </w:rPr>
            </w:pPr>
          </w:p>
        </w:tc>
        <w:tc>
          <w:tcPr>
            <w:tcW w:w="700" w:type="dxa"/>
            <w:vAlign w:val="bottom"/>
          </w:tcPr>
          <w:p>
            <w:pPr>
              <w:jc w:val="center"/>
              <w:ind w:right="84"/>
              <w:spacing w:after="0" w:line="114" w:lineRule="exact"/>
              <w:rPr>
                <w:sz w:val="20"/>
                <w:szCs w:val="20"/>
                <w:color w:val="auto"/>
              </w:rPr>
            </w:pPr>
            <w:r>
              <w:rPr>
                <w:rFonts w:ascii="Arial" w:cs="Arial" w:eastAsia="Arial" w:hAnsi="Arial"/>
                <w:sz w:val="10"/>
                <w:szCs w:val="10"/>
                <w:b w:val="1"/>
                <w:bCs w:val="1"/>
                <w:color w:val="auto"/>
                <w:w w:val="91"/>
              </w:rPr>
              <w:t>Income</w:t>
            </w:r>
          </w:p>
        </w:tc>
      </w:tr>
      <w:tr>
        <w:trPr>
          <w:trHeight w:val="133"/>
        </w:trPr>
        <w:tc>
          <w:tcPr>
            <w:tcW w:w="58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December 29, 2021</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126</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28,952</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2,897</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December 28, 2022</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26,460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3,312</w:t>
            </w:r>
          </w:p>
        </w:tc>
      </w:tr>
      <w:tr>
        <w:trPr>
          <w:trHeight w:val="144"/>
        </w:trPr>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December 27, 2023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3,345</w:t>
            </w: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December 25, 2024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21,821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3,231</w:t>
            </w:r>
          </w:p>
        </w:tc>
      </w:tr>
      <w:tr>
        <w:trPr>
          <w:trHeight w:val="144"/>
        </w:trPr>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December 31, 2025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w:t>
            </w:r>
          </w:p>
        </w:tc>
      </w:tr>
      <w:tr>
        <w:trPr>
          <w:trHeight w:val="144"/>
        </w:trPr>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125,221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24,476</w:t>
            </w:r>
          </w:p>
        </w:tc>
      </w:tr>
      <w:tr>
        <w:trPr>
          <w:trHeight w:val="153"/>
        </w:trPr>
        <w:tc>
          <w:tcPr>
            <w:tcW w:w="606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2,271</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245,940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40,142</w:t>
            </w:r>
          </w:p>
        </w:tc>
      </w:tr>
      <w:tr>
        <w:trPr>
          <w:trHeight w:val="131"/>
        </w:trPr>
        <w:tc>
          <w:tcPr>
            <w:tcW w:w="6060" w:type="dxa"/>
            <w:vAlign w:val="bottom"/>
            <w:tcBorders>
              <w:bottom w:val="single" w:sz="8" w:color="CCEEFF"/>
            </w:tcBorders>
            <w:gridSpan w:val="2"/>
          </w:tcPr>
          <w:p>
            <w:pPr>
              <w:spacing w:after="0" w:line="131" w:lineRule="exact"/>
              <w:rPr>
                <w:sz w:val="20"/>
                <w:szCs w:val="20"/>
                <w:color w:val="auto"/>
              </w:rPr>
            </w:pPr>
            <w:r>
              <w:rPr>
                <w:rFonts w:ascii="Arial" w:cs="Arial" w:eastAsia="Arial" w:hAnsi="Arial"/>
                <w:sz w:val="12"/>
                <w:szCs w:val="12"/>
                <w:color w:val="auto"/>
              </w:rPr>
              <w:t>Less: imputed interest (1.68% - 4.29%)</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(509)</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(47,375)</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r>
      <w:tr>
        <w:trPr>
          <w:trHeight w:val="133"/>
        </w:trPr>
        <w:tc>
          <w:tcPr>
            <w:tcW w:w="60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Present value of lease obligations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1,762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198,565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4"/>
        </w:trPr>
        <w:tc>
          <w:tcPr>
            <w:tcW w:w="6060" w:type="dxa"/>
            <w:vAlign w:val="bottom"/>
            <w:gridSpan w:val="2"/>
          </w:tcPr>
          <w:p>
            <w:pPr>
              <w:spacing w:after="0"/>
              <w:rPr>
                <w:sz w:val="20"/>
                <w:szCs w:val="20"/>
                <w:color w:val="auto"/>
              </w:rPr>
            </w:pPr>
            <w:r>
              <w:rPr>
                <w:rFonts w:ascii="Arial" w:cs="Arial" w:eastAsia="Arial" w:hAnsi="Arial"/>
                <w:sz w:val="12"/>
                <w:szCs w:val="12"/>
                <w:color w:val="auto"/>
              </w:rPr>
              <w:t>Less: current maturities</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(19,907)</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0"/>
        </w:trPr>
        <w:tc>
          <w:tcPr>
            <w:tcW w:w="606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Noncurrent portion</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1,692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178,658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Short-Term Leases</w:t>
      </w:r>
    </w:p>
    <w:p>
      <w:pPr>
        <w:spacing w:after="0" w:line="150" w:lineRule="exact"/>
        <w:rPr>
          <w:sz w:val="20"/>
          <w:szCs w:val="20"/>
          <w:color w:val="auto"/>
        </w:rPr>
      </w:pPr>
    </w:p>
    <w:p>
      <w:pPr>
        <w:ind w:left="20" w:right="179"/>
        <w:spacing w:after="0" w:line="263" w:lineRule="auto"/>
        <w:rPr>
          <w:sz w:val="20"/>
          <w:szCs w:val="20"/>
          <w:color w:val="auto"/>
        </w:rPr>
      </w:pPr>
      <w:r>
        <w:rPr>
          <w:rFonts w:ascii="Arial" w:cs="Arial" w:eastAsia="Arial" w:hAnsi="Arial"/>
          <w:sz w:val="12"/>
          <w:szCs w:val="12"/>
          <w:color w:val="auto"/>
        </w:rPr>
        <w:t>The Company has multiple short-term leases, which have terms of less than 12 months, and thus were excluded from the recognition requirements of Topic 842. The Company has recognized these lease payments in its consolidated statement of operations on a straight-line basis over the lease term and variable lease payments in the period in which the obligation for those payments is incurred.</w:t>
      </w:r>
    </w:p>
    <w:p>
      <w:pPr>
        <w:spacing w:after="0" w:line="122" w:lineRule="exact"/>
        <w:rPr>
          <w:sz w:val="20"/>
          <w:szCs w:val="20"/>
          <w:color w:val="auto"/>
        </w:rPr>
      </w:pPr>
    </w:p>
    <w:p>
      <w:pPr>
        <w:ind w:left="20" w:right="139"/>
        <w:spacing w:after="0" w:line="285" w:lineRule="auto"/>
        <w:rPr>
          <w:sz w:val="20"/>
          <w:szCs w:val="20"/>
          <w:color w:val="auto"/>
        </w:rPr>
      </w:pPr>
      <w:r>
        <w:rPr>
          <w:rFonts w:ascii="Arial" w:cs="Arial" w:eastAsia="Arial" w:hAnsi="Arial"/>
          <w:sz w:val="11"/>
          <w:szCs w:val="11"/>
          <w:color w:val="auto"/>
        </w:rPr>
        <w:t>In April 2020, the FASB issued guidance allowing entities to make a policy election whether to account for lease concessions related to the COVID-19 pandemic as lease modifications. The election applies to any lessor-provided lease concession related to the impact of the COVID-19 pandemic, provided the concession does not result in a substantial increase in the rights of the lessor or in the obligations of the lessee. During the fiscal year ended December 30, 2020, the Company received non-substantial concessions from certain landlords in the form of rent deferrals and abatements. The Company elected to not account for these rent concessions as lease modifications. The rent concessions are recorded as part of other accrued expenses. The recognition of rent concessions did not have a material impact on our consolidated financial statements as of December 30, 2020.</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Lessor</w:t>
      </w:r>
    </w:p>
    <w:p>
      <w:pPr>
        <w:spacing w:after="0" w:line="154"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operating profit or net revenues. All leases are considered operating leases.</w:t>
      </w:r>
    </w:p>
    <w:p>
      <w:pPr>
        <w:spacing w:after="0" w:line="122" w:lineRule="exact"/>
        <w:rPr>
          <w:sz w:val="20"/>
          <w:szCs w:val="20"/>
          <w:color w:val="auto"/>
        </w:rPr>
      </w:pPr>
    </w:p>
    <w:p>
      <w:pPr>
        <w:ind w:left="20" w:right="179"/>
        <w:spacing w:after="0" w:line="276" w:lineRule="auto"/>
        <w:rPr>
          <w:sz w:val="20"/>
          <w:szCs w:val="20"/>
          <w:color w:val="auto"/>
        </w:rPr>
      </w:pPr>
      <w:r>
        <w:rPr>
          <w:rFonts w:ascii="Arial" w:cs="Arial" w:eastAsia="Arial" w:hAnsi="Arial"/>
          <w:sz w:val="12"/>
          <w:szCs w:val="12"/>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15" w:lineRule="exact"/>
        <w:rPr>
          <w:sz w:val="20"/>
          <w:szCs w:val="20"/>
          <w:color w:val="auto"/>
        </w:rPr>
      </w:pPr>
    </w:p>
    <w:p>
      <w:pPr>
        <w:ind w:left="20" w:right="79"/>
        <w:spacing w:after="0" w:line="272" w:lineRule="auto"/>
        <w:rPr>
          <w:sz w:val="20"/>
          <w:szCs w:val="20"/>
          <w:color w:val="auto"/>
        </w:rPr>
      </w:pPr>
      <w:r>
        <w:rPr>
          <w:rFonts w:ascii="Arial" w:cs="Arial" w:eastAsia="Arial" w:hAnsi="Arial"/>
          <w:sz w:val="12"/>
          <w:szCs w:val="12"/>
          <w:color w:val="auto"/>
        </w:rPr>
        <w:t>For the year ended December 30, 2020, the Company received $0.6 million of lease income from company-owned locations. For both years ended December 25, 2019 and December 26, 2018, the Company received $0.5 million of lease income from company-owned locations</w:t>
      </w:r>
      <w:r>
        <w:rPr>
          <w:rFonts w:ascii="Arial" w:cs="Arial" w:eastAsia="Arial" w:hAnsi="Arial"/>
          <w:sz w:val="13"/>
          <w:szCs w:val="13"/>
          <w:color w:val="auto"/>
        </w:rPr>
        <w: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6. LONG-TERM DEBT</w:t>
      </w:r>
    </w:p>
    <w:p>
      <w:pPr>
        <w:spacing w:after="0" w:line="154" w:lineRule="exact"/>
        <w:rPr>
          <w:sz w:val="20"/>
          <w:szCs w:val="20"/>
          <w:color w:val="auto"/>
        </w:rPr>
      </w:pPr>
    </w:p>
    <w:p>
      <w:pPr>
        <w:ind w:left="20" w:right="599"/>
        <w:spacing w:after="0" w:line="379" w:lineRule="auto"/>
        <w:rPr>
          <w:sz w:val="20"/>
          <w:szCs w:val="20"/>
          <w:color w:val="auto"/>
        </w:rPr>
      </w:pPr>
      <w:r>
        <w:rPr>
          <w:rFonts w:ascii="Arial" w:cs="Arial" w:eastAsia="Arial" w:hAnsi="Arial"/>
          <w:sz w:val="10"/>
          <w:szCs w:val="10"/>
          <w:color w:val="auto"/>
        </w:rPr>
        <w:t>On July 13, 2018, the Company refinanced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7" w:name="page88"/>
    <w:bookmarkEnd w:id="8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79"/>
        <w:spacing w:after="0" w:line="298" w:lineRule="auto"/>
        <w:rPr>
          <w:sz w:val="20"/>
          <w:szCs w:val="20"/>
          <w:color w:val="auto"/>
        </w:rPr>
      </w:pPr>
      <w:r>
        <w:rPr>
          <w:rFonts w:ascii="Arial" w:cs="Arial" w:eastAsia="Arial" w:hAnsi="Arial"/>
          <w:sz w:val="11"/>
          <w:szCs w:val="11"/>
          <w:color w:val="auto"/>
        </w:rPr>
        <w:t>which provides for the $150.0 million five-year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05" w:lineRule="exact"/>
        <w:rPr>
          <w:sz w:val="20"/>
          <w:szCs w:val="20"/>
          <w:color w:val="auto"/>
        </w:rPr>
      </w:pPr>
    </w:p>
    <w:p>
      <w:pPr>
        <w:jc w:val="both"/>
        <w:ind w:left="20" w:right="319"/>
        <w:spacing w:after="0" w:line="309" w:lineRule="auto"/>
        <w:rPr>
          <w:sz w:val="20"/>
          <w:szCs w:val="20"/>
          <w:color w:val="auto"/>
        </w:rPr>
      </w:pPr>
      <w:r>
        <w:rPr>
          <w:rFonts w:ascii="Arial" w:cs="Arial" w:eastAsia="Arial" w:hAnsi="Arial"/>
          <w:sz w:val="10"/>
          <w:szCs w:val="10"/>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sz w:val="20"/>
          <w:szCs w:val="20"/>
          <w:color w:val="auto"/>
        </w:rPr>
      </w:pPr>
    </w:p>
    <w:p>
      <w:pPr>
        <w:ind w:left="20" w:right="59" w:firstLine="2"/>
        <w:spacing w:after="0" w:line="252" w:lineRule="auto"/>
        <w:tabs>
          <w:tab w:leader="none" w:pos="197" w:val="left"/>
        </w:tabs>
        <w:numPr>
          <w:ilvl w:val="0"/>
          <w:numId w:val="28"/>
        </w:numPr>
        <w:rPr>
          <w:rFonts w:ascii="Arial" w:cs="Arial" w:eastAsia="Arial" w:hAnsi="Arial"/>
          <w:sz w:val="12"/>
          <w:szCs w:val="12"/>
          <w:color w:val="auto"/>
        </w:rPr>
      </w:pPr>
      <w:r>
        <w:rPr>
          <w:rFonts w:ascii="Arial" w:cs="Arial" w:eastAsia="Arial" w:hAnsi="Arial"/>
          <w:sz w:val="12"/>
          <w:szCs w:val="12"/>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30" w:lineRule="exact"/>
        <w:rPr>
          <w:sz w:val="20"/>
          <w:szCs w:val="20"/>
          <w:color w:val="auto"/>
        </w:rPr>
      </w:pPr>
    </w:p>
    <w:p>
      <w:pPr>
        <w:ind w:left="20" w:right="59"/>
        <w:spacing w:after="0" w:line="306" w:lineRule="auto"/>
        <w:rPr>
          <w:sz w:val="20"/>
          <w:szCs w:val="20"/>
          <w:color w:val="auto"/>
        </w:rPr>
      </w:pPr>
      <w:r>
        <w:rPr>
          <w:rFonts w:ascii="Arial" w:cs="Arial" w:eastAsia="Arial" w:hAnsi="Arial"/>
          <w:sz w:val="10"/>
          <w:szCs w:val="10"/>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w:t>
      </w:r>
    </w:p>
    <w:p>
      <w:pPr>
        <w:spacing w:after="0" w:line="1" w:lineRule="exact"/>
        <w:rPr>
          <w:sz w:val="20"/>
          <w:szCs w:val="20"/>
          <w:color w:val="auto"/>
        </w:rPr>
      </w:pPr>
    </w:p>
    <w:p>
      <w:pPr>
        <w:ind w:left="20" w:right="79"/>
        <w:spacing w:after="0" w:line="284" w:lineRule="auto"/>
        <w:rPr>
          <w:sz w:val="20"/>
          <w:szCs w:val="20"/>
          <w:color w:val="auto"/>
        </w:rPr>
      </w:pPr>
      <w:r>
        <w:rPr>
          <w:rFonts w:ascii="Arial" w:cs="Arial" w:eastAsia="Arial" w:hAnsi="Arial"/>
          <w:sz w:val="11"/>
          <w:szCs w:val="11"/>
          <w:color w:val="auto"/>
        </w:rPr>
        <w:t>0.25% to 1.25%. For borrowings under the 2018 Revolver during fiscal 2020, the interest rate range was 1.6% to 3.3%. For borrowings under the 2018 Revolver during fiscal 2019, the interest rate range was 3.2% to 6.0%. The interest rate under the 2018 Revolver was 1.6% at December 30, 2020 and 3.2% under the 2018 Revolver at December 25, 2019. For the year ended December 30, 2020, the Company had interest expense of $2.7 million under the 2018 Revolver. For the year ended December 25, 2019, the Company had interest expense of $3.1 million under the 2018 and 2014 Revolver, and for the year ended December 26, 2018, the Company had interest expense of $3.0 million under the 2014 Revolver.</w:t>
      </w:r>
    </w:p>
    <w:p>
      <w:pPr>
        <w:spacing w:after="0" w:line="112"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 xml:space="preserve">The 2018 Credit Agreement contains certain financial covenants. The Company was in compliance with all such covenants at December 30, 2020. However, </w:t>
      </w:r>
      <w:r>
        <w:rPr>
          <w:rFonts w:ascii="Arial" w:cs="Arial" w:eastAsia="Arial" w:hAnsi="Arial"/>
          <w:sz w:val="12"/>
          <w:szCs w:val="12"/>
          <w:color w:val="212529"/>
        </w:rPr>
        <w:t>depending on the severity</w:t>
      </w:r>
      <w:r>
        <w:rPr>
          <w:rFonts w:ascii="Arial" w:cs="Arial" w:eastAsia="Arial" w:hAnsi="Arial"/>
          <w:sz w:val="12"/>
          <w:szCs w:val="12"/>
          <w:color w:val="auto"/>
        </w:rPr>
        <w:t xml:space="preserve"> </w:t>
      </w:r>
      <w:r>
        <w:rPr>
          <w:rFonts w:ascii="Arial" w:cs="Arial" w:eastAsia="Arial" w:hAnsi="Arial"/>
          <w:sz w:val="12"/>
          <w:szCs w:val="12"/>
          <w:color w:val="212529"/>
        </w:rPr>
        <w:t xml:space="preserve">and longevity of the COVID-19 pandemic and the extent and duration of any economic downturn, </w:t>
      </w:r>
      <w:r>
        <w:rPr>
          <w:rFonts w:ascii="Arial" w:cs="Arial" w:eastAsia="Arial" w:hAnsi="Arial"/>
          <w:sz w:val="12"/>
          <w:szCs w:val="12"/>
          <w:color w:val="000000"/>
        </w:rPr>
        <w:t>the Company’s financial performance and liquidity could be further impacted and could</w:t>
      </w:r>
      <w:r>
        <w:rPr>
          <w:rFonts w:ascii="Arial" w:cs="Arial" w:eastAsia="Arial" w:hAnsi="Arial"/>
          <w:sz w:val="12"/>
          <w:szCs w:val="12"/>
          <w:color w:val="212529"/>
        </w:rPr>
        <w:t xml:space="preserve"> </w:t>
      </w:r>
      <w:r>
        <w:rPr>
          <w:rFonts w:ascii="Arial" w:cs="Arial" w:eastAsia="Arial" w:hAnsi="Arial"/>
          <w:sz w:val="12"/>
          <w:szCs w:val="12"/>
          <w:color w:val="000000"/>
        </w:rPr>
        <w:t>impact the Company’s ability to comply with certain financial covenants required in the 2018 Credit Agreement, specifically the lease-adjusted coverage ratio and fixed-charge coverage ratio.</w:t>
      </w:r>
    </w:p>
    <w:p>
      <w:pPr>
        <w:spacing w:after="0" w:line="124" w:lineRule="exact"/>
        <w:rPr>
          <w:sz w:val="20"/>
          <w:szCs w:val="20"/>
          <w:color w:val="auto"/>
        </w:rPr>
      </w:pPr>
    </w:p>
    <w:p>
      <w:pPr>
        <w:jc w:val="both"/>
        <w:ind w:left="20" w:right="279"/>
        <w:spacing w:after="0" w:line="263" w:lineRule="auto"/>
        <w:rPr>
          <w:sz w:val="20"/>
          <w:szCs w:val="20"/>
          <w:color w:val="auto"/>
        </w:rPr>
      </w:pPr>
      <w:r>
        <w:rPr>
          <w:rFonts w:ascii="Arial" w:cs="Arial" w:eastAsia="Arial" w:hAnsi="Arial"/>
          <w:sz w:val="12"/>
          <w:szCs w:val="12"/>
          <w:color w:val="auto"/>
        </w:rPr>
        <w:t>At December 30, 2020, $8.4 million of letters of credit and $62.8 million of the revolving line of credit were outstanding. The amount available under the revolving line of credit was $78.8 million at December 30, 2020. At December 25, 2019, $8.4 million of letters of credit and $97.0 million of the revolving line of credit were outstanding. The amount available under the revolving line of credit was $44.6 million at December 25, 2019.</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Maturities</w:t>
      </w:r>
    </w:p>
    <w:p>
      <w:pPr>
        <w:spacing w:after="0" w:line="154" w:lineRule="exact"/>
        <w:rPr>
          <w:sz w:val="20"/>
          <w:szCs w:val="20"/>
          <w:color w:val="auto"/>
        </w:rPr>
      </w:pPr>
    </w:p>
    <w:p>
      <w:pPr>
        <w:jc w:val="both"/>
        <w:ind w:left="20" w:right="179"/>
        <w:spacing w:after="0" w:line="298" w:lineRule="auto"/>
        <w:rPr>
          <w:sz w:val="20"/>
          <w:szCs w:val="20"/>
          <w:color w:val="auto"/>
        </w:rPr>
      </w:pPr>
      <w:r>
        <w:rPr>
          <w:rFonts w:ascii="Arial" w:cs="Arial" w:eastAsia="Arial" w:hAnsi="Arial"/>
          <w:sz w:val="11"/>
          <w:szCs w:val="11"/>
          <w:color w:val="auto"/>
        </w:rPr>
        <w:t>The 2018 Revolver and 2018 Credit Agreement will mature on July 13, 2023. During the year ended December 30, 2020, the Company paid down $34.2 million, net of borrowings of $59.5 million on the Company’s 2018 Revolver. During the year ended December 25, 2019, the Company borrowed $23.0 million net of pay downs of $19.0 million on the Company’s 2018 Revolver, primarily to fund settlement payments. There are no required principal payments prior to maturity for the 2018 Revolver.</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Interest Rate Swap</w:t>
      </w:r>
    </w:p>
    <w:p>
      <w:pPr>
        <w:spacing w:after="0" w:line="154" w:lineRule="exact"/>
        <w:rPr>
          <w:sz w:val="20"/>
          <w:szCs w:val="20"/>
          <w:color w:val="auto"/>
        </w:rPr>
      </w:pPr>
    </w:p>
    <w:p>
      <w:pPr>
        <w:ind w:left="20" w:right="99"/>
        <w:spacing w:after="0" w:line="323" w:lineRule="auto"/>
        <w:rPr>
          <w:sz w:val="20"/>
          <w:szCs w:val="20"/>
          <w:color w:val="auto"/>
        </w:rPr>
      </w:pPr>
      <w:r>
        <w:rPr>
          <w:rFonts w:ascii="Arial" w:cs="Arial" w:eastAsia="Arial" w:hAnsi="Arial"/>
          <w:sz w:val="11"/>
          <w:szCs w:val="11"/>
          <w:color w:val="auto"/>
        </w:rPr>
        <w:t>During the year ended December 25, 2019, the Company entered into a variable-to-fixed interest rate swap agreement with a notional amount of $40.0 million that matures in June 2023. The objective of the interest rate swap is to reduce the Company’s exposure to interest rate risk for a portion of its variable-rate interest payments on its borrowings under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88" w:name="page89"/>
    <w:bookmarkEnd w:id="8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219"/>
        <w:spacing w:after="0" w:line="263" w:lineRule="auto"/>
        <w:rPr>
          <w:sz w:val="20"/>
          <w:szCs w:val="20"/>
          <w:color w:val="auto"/>
        </w:rPr>
      </w:pPr>
      <w:r>
        <w:rPr>
          <w:rFonts w:ascii="Arial" w:cs="Arial" w:eastAsia="Arial" w:hAnsi="Arial"/>
          <w:sz w:val="12"/>
          <w:szCs w:val="12"/>
          <w:color w:val="auto"/>
        </w:rPr>
        <w:t>the 2018 Revolver. Under the terms of the swap agreement, the variable LIBOR-based component of interest payments was converted to a fixed rate of 1.31%, plus applicable margin, which is currently 1.5%. The interest rate swap was designated as a cash flow hedge, as the changes in the future cash flows of the swap were expected to offset changes in expected future interest payments on the related variable-rate debt, in accordance with ASC 815 “Derivatives and Hedging.”</w:t>
      </w:r>
    </w:p>
    <w:p>
      <w:pPr>
        <w:spacing w:after="0" w:line="122" w:lineRule="exact"/>
        <w:rPr>
          <w:sz w:val="20"/>
          <w:szCs w:val="20"/>
          <w:color w:val="auto"/>
        </w:rPr>
      </w:pPr>
    </w:p>
    <w:p>
      <w:pPr>
        <w:ind w:left="20" w:right="439"/>
        <w:spacing w:after="0" w:line="323" w:lineRule="auto"/>
        <w:rPr>
          <w:sz w:val="20"/>
          <w:szCs w:val="20"/>
          <w:color w:val="auto"/>
        </w:rPr>
      </w:pPr>
      <w:r>
        <w:rPr>
          <w:rFonts w:ascii="Arial" w:cs="Arial" w:eastAsia="Arial" w:hAnsi="Arial"/>
          <w:sz w:val="11"/>
          <w:szCs w:val="11"/>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For the year ended December 30, 2020 and December 25, 2019, the swap was a highly effective cash flow hedge.</w:t>
      </w:r>
    </w:p>
    <w:p>
      <w:pPr>
        <w:spacing w:after="0" w:line="150" w:lineRule="exact"/>
        <w:rPr>
          <w:sz w:val="20"/>
          <w:szCs w:val="20"/>
          <w:color w:val="auto"/>
        </w:rPr>
      </w:pPr>
    </w:p>
    <w:p>
      <w:pPr>
        <w:ind w:left="20" w:right="99"/>
        <w:spacing w:after="0" w:line="276" w:lineRule="auto"/>
        <w:rPr>
          <w:sz w:val="20"/>
          <w:szCs w:val="20"/>
          <w:color w:val="auto"/>
        </w:rPr>
      </w:pPr>
      <w:r>
        <w:rPr>
          <w:rFonts w:ascii="Arial" w:cs="Arial" w:eastAsia="Arial" w:hAnsi="Arial"/>
          <w:sz w:val="12"/>
          <w:szCs w:val="12"/>
          <w:color w:val="auto"/>
        </w:rPr>
        <w:t>As of December 30, 2020, the estimated net gain included in AOCI related to the Company’s cash flow hedge that will be reclassified into earnings in the next 12 months is $0.5 million, based on current LIBOR interest rates.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shows the financial statement line item and amount of the Company’s cash flow hedge accounting on the consolidated balance sheet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ind w:left="300"/>
              <w:spacing w:after="0"/>
              <w:rPr>
                <w:sz w:val="20"/>
                <w:szCs w:val="20"/>
                <w:color w:val="auto"/>
              </w:rPr>
            </w:pPr>
            <w:r>
              <w:rPr>
                <w:rFonts w:ascii="Arial" w:cs="Arial" w:eastAsia="Arial" w:hAnsi="Arial"/>
                <w:sz w:val="10"/>
                <w:szCs w:val="10"/>
                <w:b w:val="1"/>
                <w:bCs w:val="1"/>
                <w:color w:val="auto"/>
              </w:rPr>
              <w:t>December 30, 2020</w:t>
            </w:r>
          </w:p>
        </w:tc>
        <w:tc>
          <w:tcPr>
            <w:tcW w:w="140" w:type="dxa"/>
            <w:vAlign w:val="bottom"/>
          </w:tcPr>
          <w:p>
            <w:pPr>
              <w:spacing w:after="0"/>
              <w:rPr>
                <w:sz w:val="10"/>
                <w:szCs w:val="10"/>
                <w:color w:val="auto"/>
              </w:rPr>
            </w:pPr>
          </w:p>
        </w:tc>
        <w:tc>
          <w:tcPr>
            <w:tcW w:w="1540" w:type="dxa"/>
            <w:vAlign w:val="bottom"/>
            <w:gridSpan w:val="4"/>
          </w:tcPr>
          <w:p>
            <w:pPr>
              <w:jc w:val="right"/>
              <w:ind w:right="384"/>
              <w:spacing w:after="0"/>
              <w:rPr>
                <w:sz w:val="20"/>
                <w:szCs w:val="20"/>
                <w:color w:val="auto"/>
              </w:rPr>
            </w:pPr>
            <w:r>
              <w:rPr>
                <w:rFonts w:ascii="Arial" w:cs="Arial" w:eastAsia="Arial" w:hAnsi="Arial"/>
                <w:sz w:val="10"/>
                <w:szCs w:val="10"/>
                <w:b w:val="1"/>
                <w:bCs w:val="1"/>
                <w:color w:val="auto"/>
              </w:rPr>
              <w:t>December 25, 2019</w:t>
            </w:r>
          </w:p>
        </w:tc>
      </w:tr>
      <w:tr>
        <w:trPr>
          <w:trHeight w:val="88"/>
        </w:trPr>
        <w:tc>
          <w:tcPr>
            <w:tcW w:w="5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rPr>
              <w:t>Notional</w:t>
            </w: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ind w:right="104"/>
              <w:spacing w:after="0" w:line="88" w:lineRule="exact"/>
              <w:rPr>
                <w:sz w:val="20"/>
                <w:szCs w:val="20"/>
                <w:color w:val="auto"/>
              </w:rPr>
            </w:pPr>
            <w:r>
              <w:rPr>
                <w:rFonts w:ascii="Arial" w:cs="Arial" w:eastAsia="Arial" w:hAnsi="Arial"/>
                <w:sz w:val="10"/>
                <w:szCs w:val="10"/>
                <w:b w:val="1"/>
                <w:bCs w:val="1"/>
                <w:color w:val="auto"/>
                <w:w w:val="98"/>
              </w:rPr>
              <w:t>Fair value</w:t>
            </w: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rPr>
              <w:t>Notional</w:t>
            </w: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ind w:right="104"/>
              <w:spacing w:after="0" w:line="88" w:lineRule="exact"/>
              <w:rPr>
                <w:sz w:val="20"/>
                <w:szCs w:val="20"/>
                <w:color w:val="auto"/>
              </w:rPr>
            </w:pPr>
            <w:r>
              <w:rPr>
                <w:rFonts w:ascii="Arial" w:cs="Arial" w:eastAsia="Arial" w:hAnsi="Arial"/>
                <w:sz w:val="10"/>
                <w:szCs w:val="10"/>
                <w:b w:val="1"/>
                <w:bCs w:val="1"/>
                <w:color w:val="auto"/>
                <w:w w:val="98"/>
              </w:rPr>
              <w:t>Fair value</w:t>
            </w:r>
          </w:p>
        </w:tc>
      </w:tr>
      <w:tr>
        <w:trPr>
          <w:trHeight w:val="133"/>
        </w:trPr>
        <w:tc>
          <w:tcPr>
            <w:tcW w:w="54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assets - Interest rate swap</w:t>
            </w: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40,000</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360</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Other liabilities - Interest rate swap</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40,000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1,139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summarizes the effect of the Company’s cash flow hedge accounting on the consolidated statements of operations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30, 2020</w:t>
            </w:r>
          </w:p>
        </w:tc>
        <w:tc>
          <w:tcPr>
            <w:tcW w:w="1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25, 2019</w:t>
            </w:r>
          </w:p>
        </w:tc>
      </w:tr>
      <w:tr>
        <w:trPr>
          <w:trHeight w:val="133"/>
        </w:trPr>
        <w:tc>
          <w:tcPr>
            <w:tcW w:w="63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Interest expense on hedged portion of debt</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979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461</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6300" w:type="dxa"/>
            <w:vAlign w:val="bottom"/>
          </w:tcPr>
          <w:p>
            <w:pPr>
              <w:spacing w:after="0"/>
              <w:rPr>
                <w:sz w:val="20"/>
                <w:szCs w:val="20"/>
                <w:color w:val="auto"/>
              </w:rPr>
            </w:pPr>
            <w:r>
              <w:rPr>
                <w:rFonts w:ascii="Arial" w:cs="Arial" w:eastAsia="Arial" w:hAnsi="Arial"/>
                <w:sz w:val="12"/>
                <w:szCs w:val="12"/>
                <w:color w:val="auto"/>
              </w:rPr>
              <w:t>Interest expense (income) on interest rate swap</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(84)</w:t>
            </w:r>
          </w:p>
        </w:tc>
      </w:tr>
      <w:tr>
        <w:trPr>
          <w:trHeight w:val="140"/>
        </w:trPr>
        <w:tc>
          <w:tcPr>
            <w:tcW w:w="630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Interest expense on debt and derivatives, net</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The following table summarizes the effect of the Company’s cash flow hedge accounting on AOCI for the years ended December 30, 2020, December 25, 2019 and December 26, 2018 (in thousands):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4"/>
              </w:rPr>
              <w:t>Loss (Gain) Reclassified from</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13"/>
        </w:trPr>
        <w:tc>
          <w:tcPr>
            <w:tcW w:w="1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6"/>
          </w:tcPr>
          <w:p>
            <w:pPr>
              <w:jc w:val="right"/>
              <w:ind w:right="32"/>
              <w:spacing w:after="0" w:line="114" w:lineRule="exact"/>
              <w:rPr>
                <w:sz w:val="20"/>
                <w:szCs w:val="20"/>
                <w:color w:val="auto"/>
              </w:rPr>
            </w:pPr>
            <w:r>
              <w:rPr>
                <w:rFonts w:ascii="Arial" w:cs="Arial" w:eastAsia="Arial" w:hAnsi="Arial"/>
                <w:sz w:val="10"/>
                <w:szCs w:val="10"/>
                <w:b w:val="1"/>
                <w:bCs w:val="1"/>
                <w:color w:val="auto"/>
              </w:rPr>
              <w:t>Net (Loss) Gain Recognized in OCI</w:t>
            </w: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7"/>
              </w:rPr>
              <w:t>AOCI into Interest expense</w:t>
            </w: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ind w:left="60"/>
              <w:spacing w:after="0" w:line="88" w:lineRule="exact"/>
              <w:rPr>
                <w:sz w:val="20"/>
                <w:szCs w:val="20"/>
                <w:color w:val="auto"/>
              </w:rPr>
            </w:pPr>
            <w:r>
              <w:rPr>
                <w:rFonts w:ascii="Arial" w:cs="Arial" w:eastAsia="Arial" w:hAnsi="Arial"/>
                <w:sz w:val="10"/>
                <w:szCs w:val="10"/>
                <w:b w:val="1"/>
                <w:bCs w:val="1"/>
                <w:color w:val="auto"/>
              </w:rPr>
              <w:t>December 30, 2020</w:t>
            </w:r>
          </w:p>
        </w:tc>
        <w:tc>
          <w:tcPr>
            <w:tcW w:w="140" w:type="dxa"/>
            <w:vAlign w:val="bottom"/>
          </w:tcPr>
          <w:p>
            <w:pPr>
              <w:spacing w:after="0"/>
              <w:rPr>
                <w:sz w:val="7"/>
                <w:szCs w:val="7"/>
                <w:color w:val="auto"/>
              </w:rPr>
            </w:pPr>
          </w:p>
        </w:tc>
        <w:tc>
          <w:tcPr>
            <w:tcW w:w="106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w w:val="91"/>
              </w:rPr>
              <w:t>December 25, 2019</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December 26, 2018</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jc w:val="right"/>
              <w:ind w:right="166"/>
              <w:spacing w:after="0" w:line="88" w:lineRule="exact"/>
              <w:rPr>
                <w:sz w:val="20"/>
                <w:szCs w:val="20"/>
                <w:color w:val="auto"/>
              </w:rPr>
            </w:pPr>
            <w:r>
              <w:rPr>
                <w:rFonts w:ascii="Arial" w:cs="Arial" w:eastAsia="Arial" w:hAnsi="Arial"/>
                <w:sz w:val="10"/>
                <w:szCs w:val="10"/>
                <w:b w:val="1"/>
                <w:bCs w:val="1"/>
                <w:color w:val="auto"/>
                <w:w w:val="91"/>
              </w:rPr>
              <w:t>December 30, 2020</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w w:val="84"/>
              </w:rPr>
              <w:t>December 25, 2019</w:t>
            </w:r>
          </w:p>
        </w:tc>
        <w:tc>
          <w:tcPr>
            <w:tcW w:w="140" w:type="dxa"/>
            <w:vAlign w:val="bottom"/>
          </w:tcPr>
          <w:p>
            <w:pPr>
              <w:spacing w:after="0"/>
              <w:rPr>
                <w:sz w:val="7"/>
                <w:szCs w:val="7"/>
                <w:color w:val="auto"/>
              </w:rPr>
            </w:pPr>
          </w:p>
        </w:tc>
        <w:tc>
          <w:tcPr>
            <w:tcW w:w="108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December 26, 2018</w:t>
            </w:r>
          </w:p>
        </w:tc>
        <w:tc>
          <w:tcPr>
            <w:tcW w:w="140" w:type="dxa"/>
            <w:vAlign w:val="bottom"/>
          </w:tcPr>
          <w:p>
            <w:pPr>
              <w:spacing w:after="0"/>
              <w:rPr>
                <w:sz w:val="7"/>
                <w:szCs w:val="7"/>
                <w:color w:val="auto"/>
              </w:rPr>
            </w:pPr>
          </w:p>
        </w:tc>
      </w:tr>
      <w:tr>
        <w:trPr>
          <w:trHeight w:val="133"/>
        </w:trPr>
        <w:tc>
          <w:tcPr>
            <w:tcW w:w="13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Interest rate swap</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(1,762)</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430</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ind w:left="920"/>
              <w:spacing w:after="0" w:line="133" w:lineRule="exact"/>
              <w:rPr>
                <w:sz w:val="20"/>
                <w:szCs w:val="20"/>
                <w:color w:val="auto"/>
              </w:rPr>
            </w:pPr>
            <w:r>
              <w:rPr>
                <w:rFonts w:ascii="Arial" w:cs="Arial" w:eastAsia="Arial" w:hAnsi="Arial"/>
                <w:sz w:val="12"/>
                <w:szCs w:val="12"/>
                <w:color w:val="auto"/>
                <w:w w:val="99"/>
              </w:rPr>
              <w:t>—</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ind w:left="920"/>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See Note 2 “Summary of Significant Accounting Policies” for the fair value of the Company’s derivative asset.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7. OTHER ACCRUED EXPENSES AND CURRENT LIABILITIES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accrued expenses and current liabilities consist of the following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30, 2020</w:t>
            </w:r>
          </w:p>
        </w:tc>
        <w:tc>
          <w:tcPr>
            <w:tcW w:w="140" w:type="dxa"/>
            <w:vAlign w:val="bottom"/>
          </w:tcPr>
          <w:p>
            <w:pPr>
              <w:spacing w:after="0"/>
              <w:rPr>
                <w:sz w:val="10"/>
                <w:szCs w:val="10"/>
                <w:color w:val="auto"/>
              </w:rPr>
            </w:pPr>
          </w:p>
        </w:tc>
        <w:tc>
          <w:tcPr>
            <w:tcW w:w="1060" w:type="dxa"/>
            <w:vAlign w:val="bottom"/>
          </w:tcPr>
          <w:p>
            <w:pPr>
              <w:jc w:val="right"/>
              <w:ind w:right="142"/>
              <w:spacing w:after="0"/>
              <w:rPr>
                <w:sz w:val="20"/>
                <w:szCs w:val="20"/>
                <w:color w:val="auto"/>
              </w:rPr>
            </w:pPr>
            <w:r>
              <w:rPr>
                <w:rFonts w:ascii="Arial" w:cs="Arial" w:eastAsia="Arial" w:hAnsi="Arial"/>
                <w:sz w:val="10"/>
                <w:szCs w:val="10"/>
                <w:b w:val="1"/>
                <w:bCs w:val="1"/>
                <w:color w:val="auto"/>
                <w:w w:val="93"/>
              </w:rPr>
              <w:t>December 25, 2019</w:t>
            </w: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Accrued sales and property taxes</w:t>
            </w:r>
          </w:p>
        </w:tc>
        <w:tc>
          <w:tcPr>
            <w:tcW w:w="30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5,216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4,665</w:t>
            </w:r>
          </w:p>
        </w:tc>
      </w:tr>
      <w:tr>
        <w:trPr>
          <w:trHeight w:val="144"/>
        </w:trPr>
        <w:tc>
          <w:tcPr>
            <w:tcW w:w="3440" w:type="dxa"/>
            <w:vAlign w:val="bottom"/>
          </w:tcPr>
          <w:p>
            <w:pPr>
              <w:spacing w:after="0"/>
              <w:rPr>
                <w:sz w:val="20"/>
                <w:szCs w:val="20"/>
                <w:color w:val="auto"/>
              </w:rPr>
            </w:pPr>
            <w:r>
              <w:rPr>
                <w:rFonts w:ascii="Arial" w:cs="Arial" w:eastAsia="Arial" w:hAnsi="Arial"/>
                <w:sz w:val="12"/>
                <w:szCs w:val="12"/>
                <w:color w:val="auto"/>
              </w:rPr>
              <w:t>Gift card liability</w:t>
            </w: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3,006</w:t>
            </w:r>
          </w:p>
        </w:tc>
      </w:tr>
      <w:tr>
        <w:trPr>
          <w:trHeight w:val="144"/>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Accrued legal settlements and professional fees</w:t>
            </w:r>
          </w:p>
        </w:tc>
        <w:tc>
          <w:tcPr>
            <w:tcW w:w="3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16,901</w:t>
            </w:r>
          </w:p>
        </w:tc>
      </w:tr>
      <w:tr>
        <w:trPr>
          <w:trHeight w:val="144"/>
        </w:trPr>
        <w:tc>
          <w:tcPr>
            <w:tcW w:w="3440" w:type="dxa"/>
            <w:vAlign w:val="bottom"/>
          </w:tcPr>
          <w:p>
            <w:pPr>
              <w:spacing w:after="0"/>
              <w:rPr>
                <w:sz w:val="20"/>
                <w:szCs w:val="20"/>
                <w:color w:val="auto"/>
              </w:rPr>
            </w:pPr>
            <w:r>
              <w:rPr>
                <w:rFonts w:ascii="Arial" w:cs="Arial" w:eastAsia="Arial" w:hAnsi="Arial"/>
                <w:sz w:val="12"/>
                <w:szCs w:val="12"/>
                <w:color w:val="auto"/>
              </w:rPr>
              <w:t>Deferred franchise and development fees</w:t>
            </w: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705</w:t>
            </w:r>
          </w:p>
        </w:tc>
      </w:tr>
      <w:tr>
        <w:trPr>
          <w:trHeight w:val="144"/>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lease payment deferrals</w:t>
            </w:r>
          </w:p>
        </w:tc>
        <w:tc>
          <w:tcPr>
            <w:tcW w:w="3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30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3,320</w:t>
            </w:r>
          </w:p>
        </w:tc>
      </w:tr>
      <w:tr>
        <w:trPr>
          <w:trHeight w:val="153"/>
        </w:trPr>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other accrued expenses and current liabilities</w:t>
            </w:r>
          </w:p>
        </w:tc>
        <w:tc>
          <w:tcPr>
            <w:tcW w:w="30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16,715</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28,597</w:t>
            </w:r>
          </w:p>
        </w:tc>
      </w:tr>
      <w:tr>
        <w:trPr>
          <w:trHeight w:val="716"/>
        </w:trPr>
        <w:tc>
          <w:tcPr>
            <w:tcW w:w="3440" w:type="dxa"/>
            <w:vAlign w:val="bottom"/>
          </w:tcPr>
          <w:p>
            <w:pPr>
              <w:spacing w:after="0"/>
              <w:rPr>
                <w:sz w:val="24"/>
                <w:szCs w:val="24"/>
                <w:color w:val="auto"/>
              </w:rPr>
            </w:pPr>
          </w:p>
        </w:tc>
        <w:tc>
          <w:tcPr>
            <w:tcW w:w="3000" w:type="dxa"/>
            <w:vAlign w:val="bottom"/>
          </w:tcPr>
          <w:p>
            <w:pPr>
              <w:jc w:val="right"/>
              <w:ind w:right="1840"/>
              <w:spacing w:after="0"/>
              <w:rPr>
                <w:sz w:val="20"/>
                <w:szCs w:val="20"/>
                <w:color w:val="auto"/>
              </w:rPr>
            </w:pPr>
            <w:r>
              <w:rPr>
                <w:rFonts w:ascii="Arial" w:cs="Arial" w:eastAsia="Arial" w:hAnsi="Arial"/>
                <w:sz w:val="12"/>
                <w:szCs w:val="12"/>
                <w:color w:val="auto"/>
              </w:rPr>
              <w:t>87</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34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89" w:name="page90"/>
    <w:bookmarkEnd w:id="8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8. OTHER NONCURRENT LIABILITIES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noncurrent liabilities consist of the following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tcPr>
          <w:p>
            <w:pPr>
              <w:jc w:val="right"/>
              <w:ind w:right="132"/>
              <w:spacing w:after="0"/>
              <w:rPr>
                <w:sz w:val="20"/>
                <w:szCs w:val="20"/>
                <w:color w:val="auto"/>
              </w:rPr>
            </w:pPr>
            <w:r>
              <w:rPr>
                <w:rFonts w:ascii="Arial" w:cs="Arial" w:eastAsia="Arial" w:hAnsi="Arial"/>
                <w:sz w:val="10"/>
                <w:szCs w:val="10"/>
                <w:b w:val="1"/>
                <w:bCs w:val="1"/>
                <w:color w:val="auto"/>
              </w:rPr>
              <w:t>December 30, 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0"/>
                <w:szCs w:val="10"/>
                <w:b w:val="1"/>
                <w:bCs w:val="1"/>
                <w:color w:val="auto"/>
              </w:rPr>
              <w:t>December 25, 2019</w:t>
            </w:r>
          </w:p>
        </w:tc>
      </w:tr>
      <w:tr>
        <w:trPr>
          <w:trHeight w:val="133"/>
        </w:trPr>
        <w:tc>
          <w:tcPr>
            <w:tcW w:w="5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Deferred franchise and development fees</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center"/>
              <w:ind w:right="344"/>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5,125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5,612</w:t>
            </w:r>
          </w:p>
        </w:tc>
        <w:tc>
          <w:tcPr>
            <w:tcW w:w="20" w:type="dxa"/>
            <w:vAlign w:val="bottom"/>
          </w:tcPr>
          <w:p>
            <w:pPr>
              <w:spacing w:after="0"/>
              <w:rPr>
                <w:sz w:val="11"/>
                <w:szCs w:val="1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Derivative liability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1,139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Employer social security tax deferral</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4,853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r>
      <w:tr>
        <w:trPr>
          <w:trHeight w:val="153"/>
        </w:trPr>
        <w:tc>
          <w:tcPr>
            <w:tcW w:w="58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other noncurrent liabilities</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center"/>
              <w:ind w:right="344"/>
              <w:spacing w:after="0" w:line="133" w:lineRule="exact"/>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11,292</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5,679</w:t>
            </w:r>
          </w:p>
        </w:tc>
        <w:tc>
          <w:tcPr>
            <w:tcW w:w="20" w:type="dxa"/>
            <w:vAlign w:val="bottom"/>
          </w:tcPr>
          <w:p>
            <w:pPr>
              <w:spacing w:after="0"/>
              <w:rPr>
                <w:sz w:val="13"/>
                <w:szCs w:val="13"/>
                <w:color w:val="auto"/>
              </w:rPr>
            </w:pPr>
          </w:p>
        </w:tc>
      </w:tr>
      <w:tr>
        <w:trPr>
          <w:trHeight w:val="428"/>
        </w:trPr>
        <w:tc>
          <w:tcPr>
            <w:tcW w:w="5860" w:type="dxa"/>
            <w:vAlign w:val="bottom"/>
          </w:tcPr>
          <w:p>
            <w:pPr>
              <w:spacing w:after="0"/>
              <w:rPr>
                <w:sz w:val="20"/>
                <w:szCs w:val="20"/>
                <w:color w:val="auto"/>
              </w:rPr>
            </w:pPr>
            <w:r>
              <w:rPr>
                <w:rFonts w:ascii="Arial" w:cs="Arial" w:eastAsia="Arial" w:hAnsi="Arial"/>
                <w:sz w:val="12"/>
                <w:szCs w:val="12"/>
                <w:b w:val="1"/>
                <w:bCs w:val="1"/>
                <w:color w:val="auto"/>
              </w:rPr>
              <w:t>9. INCOME TAXES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860" w:type="dxa"/>
            <w:vAlign w:val="bottom"/>
          </w:tcPr>
          <w:p>
            <w:pPr>
              <w:spacing w:after="0"/>
              <w:rPr>
                <w:sz w:val="20"/>
                <w:szCs w:val="20"/>
                <w:color w:val="auto"/>
              </w:rPr>
            </w:pPr>
            <w:r>
              <w:rPr>
                <w:rFonts w:ascii="Arial" w:cs="Arial" w:eastAsia="Arial" w:hAnsi="Arial"/>
                <w:sz w:val="12"/>
                <w:szCs w:val="12"/>
                <w:color w:val="auto"/>
              </w:rPr>
              <w:t>The provision (benefit) for income taxes is based on the following components (in thousands):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4"/>
              <w:spacing w:after="0"/>
              <w:rPr>
                <w:sz w:val="20"/>
                <w:szCs w:val="20"/>
                <w:color w:val="auto"/>
              </w:rPr>
            </w:pPr>
            <w:r>
              <w:rPr>
                <w:rFonts w:ascii="Arial" w:cs="Arial" w:eastAsia="Arial" w:hAnsi="Arial"/>
                <w:sz w:val="10"/>
                <w:szCs w:val="10"/>
                <w:b w:val="1"/>
                <w:bCs w:val="1"/>
                <w:color w:val="auto"/>
                <w:w w:val="89"/>
              </w:rPr>
              <w:t>December 30,</w:t>
            </w:r>
          </w:p>
        </w:tc>
        <w:tc>
          <w:tcPr>
            <w:tcW w:w="160" w:type="dxa"/>
            <w:vAlign w:val="bottom"/>
          </w:tcPr>
          <w:p>
            <w:pPr>
              <w:spacing w:after="0"/>
              <w:rPr>
                <w:sz w:val="20"/>
                <w:szCs w:val="20"/>
                <w:color w:val="auto"/>
              </w:rPr>
            </w:pPr>
          </w:p>
        </w:tc>
        <w:tc>
          <w:tcPr>
            <w:tcW w:w="860" w:type="dxa"/>
            <w:vAlign w:val="bottom"/>
            <w:gridSpan w:val="4"/>
          </w:tcPr>
          <w:p>
            <w:pPr>
              <w:jc w:val="right"/>
              <w:ind w:right="92"/>
              <w:spacing w:after="0"/>
              <w:rPr>
                <w:sz w:val="20"/>
                <w:szCs w:val="20"/>
                <w:color w:val="auto"/>
              </w:rPr>
            </w:pPr>
            <w:r>
              <w:rPr>
                <w:rFonts w:ascii="Arial" w:cs="Arial" w:eastAsia="Arial" w:hAnsi="Arial"/>
                <w:sz w:val="10"/>
                <w:szCs w:val="10"/>
                <w:b w:val="1"/>
                <w:bCs w:val="1"/>
                <w:color w:val="auto"/>
              </w:rPr>
              <w:t>December 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26,</w:t>
            </w:r>
          </w:p>
        </w:tc>
      </w:tr>
      <w:tr>
        <w:trPr>
          <w:trHeight w:val="113"/>
        </w:trPr>
        <w:tc>
          <w:tcPr>
            <w:tcW w:w="5860" w:type="dxa"/>
            <w:vAlign w:val="bottom"/>
          </w:tcPr>
          <w:p>
            <w:pPr>
              <w:spacing w:after="0" w:line="114" w:lineRule="exact"/>
              <w:rPr>
                <w:sz w:val="20"/>
                <w:szCs w:val="20"/>
                <w:color w:val="auto"/>
              </w:rPr>
            </w:pPr>
            <w:r>
              <w:rPr>
                <w:rFonts w:ascii="Arial" w:cs="Arial" w:eastAsia="Arial" w:hAnsi="Arial"/>
                <w:sz w:val="10"/>
                <w:szCs w:val="10"/>
                <w:b w:val="1"/>
                <w:bCs w:val="1"/>
                <w:color w:val="auto"/>
              </w:rPr>
              <w:t>For the Years 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44"/>
              <w:spacing w:after="0" w:line="114" w:lineRule="exact"/>
              <w:rPr>
                <w:sz w:val="20"/>
                <w:szCs w:val="20"/>
                <w:color w:val="auto"/>
              </w:rPr>
            </w:pPr>
            <w:r>
              <w:rPr>
                <w:rFonts w:ascii="Arial" w:cs="Arial" w:eastAsia="Arial" w:hAnsi="Arial"/>
                <w:sz w:val="10"/>
                <w:szCs w:val="10"/>
                <w:b w:val="1"/>
                <w:bCs w:val="1"/>
                <w:color w:val="auto"/>
                <w:w w:val="80"/>
              </w:rPr>
              <w:t>2020</w:t>
            </w:r>
          </w:p>
        </w:tc>
        <w:tc>
          <w:tcPr>
            <w:tcW w:w="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ind w:right="282"/>
              <w:spacing w:after="0" w:line="114"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9"/>
                <w:szCs w:val="9"/>
                <w:color w:val="auto"/>
              </w:rPr>
            </w:pPr>
          </w:p>
        </w:tc>
      </w:tr>
      <w:tr>
        <w:trPr>
          <w:trHeight w:val="133"/>
        </w:trPr>
        <w:tc>
          <w:tcPr>
            <w:tcW w:w="58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Current income taxes:</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Federal</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520</w:t>
            </w:r>
          </w:p>
        </w:tc>
        <w:tc>
          <w:tcPr>
            <w:tcW w:w="700" w:type="dxa"/>
            <w:vAlign w:val="bottom"/>
            <w:gridSpan w:val="2"/>
          </w:tcPr>
          <w:p>
            <w:pPr>
              <w:jc w:val="right"/>
              <w:ind w:right="43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State</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20" w:type="dxa"/>
            <w:vAlign w:val="bottom"/>
          </w:tcPr>
          <w:p>
            <w:pPr>
              <w:spacing w:after="0"/>
              <w:rPr>
                <w:sz w:val="12"/>
                <w:szCs w:val="12"/>
                <w:color w:val="auto"/>
              </w:rPr>
            </w:pPr>
          </w:p>
        </w:tc>
      </w:tr>
      <w:tr>
        <w:trPr>
          <w:trHeight w:val="133"/>
        </w:trPr>
        <w:tc>
          <w:tcPr>
            <w:tcW w:w="58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current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1,643</w:t>
            </w: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104</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220</w:t>
            </w:r>
          </w:p>
        </w:tc>
        <w:tc>
          <w:tcPr>
            <w:tcW w:w="20" w:type="dxa"/>
            <w:vAlign w:val="bottom"/>
          </w:tcPr>
          <w:p>
            <w:pPr>
              <w:spacing w:after="0"/>
              <w:rPr>
                <w:sz w:val="11"/>
                <w:szCs w:val="11"/>
                <w:color w:val="auto"/>
              </w:rPr>
            </w:pPr>
          </w:p>
        </w:tc>
      </w:tr>
      <w:tr>
        <w:trPr>
          <w:trHeight w:val="133"/>
        </w:trPr>
        <w:tc>
          <w:tcPr>
            <w:tcW w:w="5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Deferred income taxes: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Federal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3,350</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w w:val="86"/>
              </w:rPr>
              <w:t>5,991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(3,526)</w:t>
            </w:r>
          </w:p>
        </w:tc>
        <w:tc>
          <w:tcPr>
            <w:tcW w:w="20" w:type="dxa"/>
            <w:vAlign w:val="bottom"/>
          </w:tcPr>
          <w:p>
            <w:pPr>
              <w:spacing w:after="0"/>
              <w:rPr>
                <w:sz w:val="12"/>
                <w:szCs w:val="12"/>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State</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w w:val="86"/>
              </w:rPr>
              <w:t>3,587</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0" w:type="dxa"/>
            <w:vAlign w:val="bottom"/>
          </w:tcPr>
          <w:p>
            <w:pPr>
              <w:spacing w:after="0"/>
              <w:rPr>
                <w:sz w:val="12"/>
                <w:szCs w:val="12"/>
                <w:color w:val="auto"/>
              </w:rPr>
            </w:pPr>
          </w:p>
        </w:tc>
      </w:tr>
      <w:tr>
        <w:trPr>
          <w:trHeight w:val="133"/>
        </w:trPr>
        <w:tc>
          <w:tcPr>
            <w:tcW w:w="58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deferred</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4,008</w:t>
            </w:r>
          </w:p>
        </w:tc>
        <w:tc>
          <w:tcPr>
            <w:tcW w:w="1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w w:val="86"/>
              </w:rPr>
              <w:t>9,578</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(3,428)</w:t>
            </w:r>
          </w:p>
        </w:tc>
        <w:tc>
          <w:tcPr>
            <w:tcW w:w="20" w:type="dxa"/>
            <w:vAlign w:val="bottom"/>
          </w:tcPr>
          <w:p>
            <w:pPr>
              <w:spacing w:after="0"/>
              <w:rPr>
                <w:sz w:val="11"/>
                <w:szCs w:val="11"/>
                <w:color w:val="auto"/>
              </w:rPr>
            </w:pPr>
          </w:p>
        </w:tc>
      </w:tr>
      <w:tr>
        <w:trPr>
          <w:trHeight w:val="140"/>
        </w:trPr>
        <w:tc>
          <w:tcPr>
            <w:tcW w:w="58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Tax provision (benefit) for income taxes</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5,651</w:t>
            </w: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9,682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(3,208)</w:t>
            </w:r>
          </w:p>
        </w:tc>
        <w:tc>
          <w:tcPr>
            <w:tcW w:w="20" w:type="dxa"/>
            <w:vAlign w:val="bottom"/>
          </w:tcPr>
          <w:p>
            <w:pPr>
              <w:spacing w:after="0"/>
              <w:rPr>
                <w:sz w:val="12"/>
                <w:szCs w:val="12"/>
                <w:color w:val="auto"/>
              </w:rPr>
            </w:pPr>
          </w:p>
        </w:tc>
      </w:tr>
    </w:tbl>
    <w:p>
      <w:pPr>
        <w:spacing w:after="0" w:line="135" w:lineRule="exact"/>
        <w:rPr>
          <w:sz w:val="20"/>
          <w:szCs w:val="20"/>
          <w:color w:val="auto"/>
        </w:rPr>
      </w:pPr>
    </w:p>
    <w:p>
      <w:pPr>
        <w:jc w:val="both"/>
        <w:ind w:left="20" w:right="259"/>
        <w:spacing w:after="0" w:line="263" w:lineRule="auto"/>
        <w:rPr>
          <w:sz w:val="20"/>
          <w:szCs w:val="20"/>
          <w:color w:val="auto"/>
        </w:rPr>
      </w:pPr>
      <w:r>
        <w:rPr>
          <w:rFonts w:ascii="Arial" w:cs="Arial" w:eastAsia="Arial" w:hAnsi="Arial"/>
          <w:sz w:val="12"/>
          <w:szCs w:val="12"/>
          <w:color w:val="auto"/>
        </w:rPr>
        <w:t>On March 27, 2020, President Trump signed into a law a stimulus package, CARES Act, which contains several tax provisions and deferral of employer Social Security taxes that are otherwise owed for wage payments. The tax provisions include a correction of a previous drafting error related to QIP and immediate refundability of all remaining AMT credits. The new provisions did not have a material impact on our consolidated financial statements.</w:t>
      </w:r>
    </w:p>
    <w:p>
      <w:pPr>
        <w:spacing w:after="0" w:line="122" w:lineRule="exact"/>
        <w:rPr>
          <w:sz w:val="20"/>
          <w:szCs w:val="20"/>
          <w:color w:val="auto"/>
        </w:rPr>
      </w:pPr>
    </w:p>
    <w:p>
      <w:pPr>
        <w:ind w:left="20" w:right="319"/>
        <w:spacing w:after="0" w:line="259" w:lineRule="auto"/>
        <w:rPr>
          <w:sz w:val="20"/>
          <w:szCs w:val="20"/>
          <w:color w:val="auto"/>
        </w:rPr>
      </w:pPr>
      <w:r>
        <w:rPr>
          <w:rFonts w:ascii="Arial" w:cs="Arial" w:eastAsia="Arial" w:hAnsi="Arial"/>
          <w:sz w:val="12"/>
          <w:szCs w:val="12"/>
          <w:color w:val="auto"/>
        </w:rPr>
        <w:t>During the year ended December 30, 2020, the Company received a NOPA for the years ended December 27, 2017 and December 28, 2016, related to the Company’s methodology regarding its ordering of utilization of AMT NOL. This resulted in payment of $0.4 million, and the audit is closed. As a result of the CARES Act, discussed above, this amount is immediately refundable upon filing of a Form 1139, which the Company filed during the year ended December 30, 2020 and recognized a receivable, included in accounts and other receivables within the consolidated balance sheet as of December 30, 2020.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0" w:name="page91"/>
    <w:bookmarkEnd w:id="9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provision for income taxes differs from the amount computed by applying the federal income tax rate of 21.0% for fiscal 2020, 2019 and 2018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December 30,</w:t>
            </w:r>
          </w:p>
        </w:tc>
        <w:tc>
          <w:tcPr>
            <w:tcW w:w="10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December 25,</w:t>
            </w:r>
          </w:p>
        </w:tc>
        <w:tc>
          <w:tcPr>
            <w:tcW w:w="880" w:type="dxa"/>
            <w:vAlign w:val="bottom"/>
          </w:tcPr>
          <w:p>
            <w:pPr>
              <w:jc w:val="right"/>
              <w:ind w:right="102"/>
              <w:spacing w:after="0"/>
              <w:rPr>
                <w:sz w:val="20"/>
                <w:szCs w:val="20"/>
                <w:color w:val="auto"/>
              </w:rPr>
            </w:pPr>
            <w:r>
              <w:rPr>
                <w:rFonts w:ascii="Arial" w:cs="Arial" w:eastAsia="Arial" w:hAnsi="Arial"/>
                <w:sz w:val="10"/>
                <w:szCs w:val="10"/>
                <w:b w:val="1"/>
                <w:bCs w:val="1"/>
                <w:color w:val="auto"/>
              </w:rPr>
              <w:t>December 26,</w:t>
            </w:r>
          </w:p>
        </w:tc>
        <w:tc>
          <w:tcPr>
            <w:tcW w:w="140" w:type="dxa"/>
            <w:vAlign w:val="bottom"/>
          </w:tcPr>
          <w:p>
            <w:pPr>
              <w:spacing w:after="0"/>
              <w:rPr>
                <w:sz w:val="10"/>
                <w:szCs w:val="10"/>
                <w:color w:val="auto"/>
              </w:rPr>
            </w:pPr>
          </w:p>
        </w:tc>
      </w:tr>
      <w:tr>
        <w:trPr>
          <w:trHeight w:val="113"/>
        </w:trPr>
        <w:tc>
          <w:tcPr>
            <w:tcW w:w="57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For the Years Ended</w:t>
            </w:r>
          </w:p>
        </w:tc>
        <w:tc>
          <w:tcPr>
            <w:tcW w:w="840" w:type="dxa"/>
            <w:vAlign w:val="bottom"/>
          </w:tcPr>
          <w:p>
            <w:pPr>
              <w:jc w:val="right"/>
              <w:ind w:right="262"/>
              <w:spacing w:after="0" w:line="114" w:lineRule="exact"/>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9"/>
                <w:szCs w:val="9"/>
                <w:color w:val="auto"/>
              </w:rPr>
            </w:pPr>
          </w:p>
        </w:tc>
        <w:tc>
          <w:tcPr>
            <w:tcW w:w="840" w:type="dxa"/>
            <w:vAlign w:val="bottom"/>
          </w:tcPr>
          <w:p>
            <w:pPr>
              <w:jc w:val="right"/>
              <w:ind w:right="262"/>
              <w:spacing w:after="0" w:line="114" w:lineRule="exact"/>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9"/>
                <w:szCs w:val="9"/>
                <w:color w:val="auto"/>
              </w:rPr>
            </w:pPr>
          </w:p>
        </w:tc>
        <w:tc>
          <w:tcPr>
            <w:tcW w:w="880" w:type="dxa"/>
            <w:vAlign w:val="bottom"/>
          </w:tcPr>
          <w:p>
            <w:pPr>
              <w:jc w:val="right"/>
              <w:ind w:right="282"/>
              <w:spacing w:after="0" w:line="114" w:lineRule="exact"/>
              <w:rPr>
                <w:sz w:val="20"/>
                <w:szCs w:val="20"/>
                <w:color w:val="auto"/>
              </w:rPr>
            </w:pPr>
            <w:r>
              <w:rPr>
                <w:rFonts w:ascii="Arial" w:cs="Arial" w:eastAsia="Arial" w:hAnsi="Arial"/>
                <w:sz w:val="10"/>
                <w:szCs w:val="10"/>
                <w:b w:val="1"/>
                <w:bCs w:val="1"/>
                <w:color w:val="auto"/>
              </w:rPr>
              <w:t>2018</w:t>
            </w:r>
          </w:p>
        </w:tc>
        <w:tc>
          <w:tcPr>
            <w:tcW w:w="140" w:type="dxa"/>
            <w:vAlign w:val="bottom"/>
          </w:tcPr>
          <w:p>
            <w:pPr>
              <w:spacing w:after="0"/>
              <w:rPr>
                <w:sz w:val="9"/>
                <w:szCs w:val="9"/>
                <w:color w:val="auto"/>
              </w:rPr>
            </w:pPr>
          </w:p>
        </w:tc>
      </w:tr>
      <w:tr>
        <w:trPr>
          <w:trHeight w:val="133"/>
        </w:trPr>
        <w:tc>
          <w:tcPr>
            <w:tcW w:w="56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Statutory federal income tax rate applied to earnings before income taxes and extraordinary items</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w:t>
            </w:r>
          </w:p>
        </w:tc>
        <w:tc>
          <w:tcPr>
            <w:tcW w:w="260" w:type="dxa"/>
            <w:vAlign w:val="bottom"/>
            <w:tcBorders>
              <w:top w:val="single" w:sz="8" w:color="CCEEFF"/>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w w:val="74"/>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74"/>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State tax benefit (net of federal benefit)</w:t>
            </w:r>
          </w:p>
        </w:tc>
        <w:tc>
          <w:tcPr>
            <w:tcW w:w="840" w:type="dxa"/>
            <w:vAlign w:val="bottom"/>
          </w:tcPr>
          <w:p>
            <w:pPr>
              <w:jc w:val="right"/>
              <w:spacing w:after="0"/>
              <w:rPr>
                <w:sz w:val="20"/>
                <w:szCs w:val="20"/>
                <w:color w:val="auto"/>
              </w:rPr>
            </w:pPr>
            <w:r>
              <w:rPr>
                <w:rFonts w:ascii="Arial" w:cs="Arial" w:eastAsia="Arial" w:hAnsi="Arial"/>
                <w:sz w:val="12"/>
                <w:szCs w:val="12"/>
                <w:color w:val="auto"/>
              </w:rPr>
              <w:t>4.3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40" w:type="dxa"/>
            <w:vAlign w:val="bottom"/>
            <w:shd w:val="clear" w:color="auto" w:fill="CCEEFF"/>
          </w:tcPr>
          <w:p>
            <w:pPr>
              <w:spacing w:after="0"/>
              <w:rPr>
                <w:sz w:val="12"/>
                <w:szCs w:val="12"/>
                <w:color w:val="auto"/>
              </w:rPr>
            </w:pP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TRA expense</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WOTC Credit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40" w:type="dxa"/>
            <w:vAlign w:val="bottom"/>
            <w:shd w:val="clear" w:color="auto" w:fill="CCEEFF"/>
          </w:tcPr>
          <w:p>
            <w:pPr>
              <w:spacing w:after="0"/>
              <w:rPr>
                <w:sz w:val="12"/>
                <w:szCs w:val="12"/>
                <w:color w:val="auto"/>
              </w:rPr>
            </w:pPr>
          </w:p>
        </w:tc>
      </w:tr>
      <w:tr>
        <w:trPr>
          <w:trHeight w:val="144"/>
        </w:trPr>
        <w:tc>
          <w:tcPr>
            <w:tcW w:w="5760" w:type="dxa"/>
            <w:vAlign w:val="bottom"/>
            <w:gridSpan w:val="2"/>
          </w:tcPr>
          <w:p>
            <w:pPr>
              <w:spacing w:after="0"/>
              <w:rPr>
                <w:sz w:val="20"/>
                <w:szCs w:val="20"/>
                <w:color w:val="auto"/>
              </w:rPr>
            </w:pPr>
            <w:r>
              <w:rPr>
                <w:rFonts w:ascii="Arial" w:cs="Arial" w:eastAsia="Arial" w:hAnsi="Arial"/>
                <w:sz w:val="12"/>
                <w:szCs w:val="12"/>
                <w:color w:val="auto"/>
              </w:rPr>
              <w:t>Stock option exercises</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(6.6)</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(1.0)</w:t>
            </w:r>
          </w:p>
        </w:tc>
        <w:tc>
          <w:tcPr>
            <w:tcW w:w="880" w:type="dxa"/>
            <w:vAlign w:val="bottom"/>
          </w:tcPr>
          <w:p>
            <w:pPr>
              <w:jc w:val="right"/>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4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40" w:type="dxa"/>
            <w:vAlign w:val="bottom"/>
            <w:shd w:val="clear" w:color="auto" w:fill="CCEEFF"/>
          </w:tcPr>
          <w:p>
            <w:pPr>
              <w:spacing w:after="0"/>
              <w:rPr>
                <w:sz w:val="12"/>
                <w:szCs w:val="12"/>
                <w:color w:val="auto"/>
              </w:rPr>
            </w:pPr>
          </w:p>
        </w:tc>
      </w:tr>
      <w:tr>
        <w:trPr>
          <w:trHeight w:val="140"/>
        </w:trPr>
        <w:tc>
          <w:tcPr>
            <w:tcW w:w="576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18.8</w:t>
            </w:r>
          </w:p>
        </w:tc>
        <w:tc>
          <w:tcPr>
            <w:tcW w:w="260" w:type="dxa"/>
            <w:vAlign w:val="bottom"/>
          </w:tcPr>
          <w:p>
            <w:pPr>
              <w:jc w:val="right"/>
              <w:ind w:right="100"/>
              <w:spacing w:after="0" w:line="133" w:lineRule="exact"/>
              <w:rPr>
                <w:sz w:val="20"/>
                <w:szCs w:val="20"/>
                <w:color w:val="auto"/>
              </w:rPr>
            </w:pPr>
            <w:r>
              <w:rPr>
                <w:rFonts w:ascii="Arial" w:cs="Arial" w:eastAsia="Arial" w:hAnsi="Arial"/>
                <w:sz w:val="12"/>
                <w:szCs w:val="12"/>
                <w:color w:val="auto"/>
                <w:w w:val="74"/>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27.9</w:t>
            </w:r>
          </w:p>
        </w:tc>
        <w:tc>
          <w:tcPr>
            <w:tcW w:w="240" w:type="dxa"/>
            <w:vAlign w:val="bottom"/>
          </w:tcPr>
          <w:p>
            <w:pPr>
              <w:jc w:val="right"/>
              <w:ind w:right="80"/>
              <w:spacing w:after="0" w:line="133" w:lineRule="exact"/>
              <w:rPr>
                <w:sz w:val="20"/>
                <w:szCs w:val="20"/>
                <w:color w:val="auto"/>
              </w:rPr>
            </w:pPr>
            <w:r>
              <w:rPr>
                <w:rFonts w:ascii="Arial" w:cs="Arial" w:eastAsia="Arial" w:hAnsi="Arial"/>
                <w:sz w:val="12"/>
                <w:szCs w:val="12"/>
                <w:color w:val="auto"/>
                <w:w w:val="74"/>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26.3</w:t>
            </w: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w w:val="74"/>
              </w:rPr>
              <w:t>%</w:t>
            </w:r>
          </w:p>
        </w:tc>
      </w:tr>
    </w:tbl>
    <w:p>
      <w:pPr>
        <w:spacing w:after="0" w:line="153" w:lineRule="exact"/>
        <w:rPr>
          <w:sz w:val="20"/>
          <w:szCs w:val="20"/>
          <w:color w:val="auto"/>
        </w:rPr>
      </w:pPr>
    </w:p>
    <w:p>
      <w:pPr>
        <w:ind w:left="20" w:right="219"/>
        <w:spacing w:after="0" w:line="259" w:lineRule="auto"/>
        <w:rPr>
          <w:sz w:val="20"/>
          <w:szCs w:val="20"/>
          <w:color w:val="auto"/>
        </w:rPr>
      </w:pPr>
      <w:r>
        <w:rPr>
          <w:rFonts w:ascii="Arial" w:cs="Arial" w:eastAsia="Arial" w:hAnsi="Arial"/>
          <w:sz w:val="12"/>
          <w:szCs w:val="12"/>
          <w:color w:val="auto"/>
        </w:rPr>
        <w:t>As of December 30, 2020, the Company had no federal and less than $0.1 million state net operating loss (“NOL”) carryforwards. These State NOLs expire beginning 2028. The Company also has state enterprise zone credits of approximately $10.2 million, which expire in 2023, and federal Work Opportunity Credits of approximately $0.5 million, which will start expiring in 2039. The utilization of NOL carryforwards may be subject to limitation under section 382 of the Internal Revenue Code of 1986 (the “Code”) and similar state law provisions.</w:t>
      </w:r>
    </w:p>
    <w:p>
      <w:pPr>
        <w:spacing w:after="0" w:line="124" w:lineRule="exact"/>
        <w:rPr>
          <w:sz w:val="20"/>
          <w:szCs w:val="20"/>
          <w:color w:val="auto"/>
        </w:rPr>
      </w:pPr>
    </w:p>
    <w:p>
      <w:pPr>
        <w:ind w:left="20" w:right="99"/>
        <w:spacing w:after="0" w:line="263" w:lineRule="auto"/>
        <w:rPr>
          <w:sz w:val="20"/>
          <w:szCs w:val="20"/>
          <w:color w:val="auto"/>
        </w:rPr>
      </w:pPr>
      <w:r>
        <w:rPr>
          <w:rFonts w:ascii="Arial" w:cs="Arial" w:eastAsia="Arial" w:hAnsi="Arial"/>
          <w:sz w:val="12"/>
          <w:szCs w:val="12"/>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22" w:lineRule="exact"/>
        <w:rPr>
          <w:sz w:val="20"/>
          <w:szCs w:val="20"/>
          <w:color w:val="auto"/>
        </w:rPr>
      </w:pPr>
    </w:p>
    <w:p>
      <w:pPr>
        <w:ind w:left="20" w:right="39"/>
        <w:spacing w:after="0" w:line="256" w:lineRule="auto"/>
        <w:rPr>
          <w:sz w:val="20"/>
          <w:szCs w:val="20"/>
          <w:color w:val="auto"/>
        </w:rPr>
      </w:pPr>
      <w:r>
        <w:rPr>
          <w:rFonts w:ascii="Arial" w:cs="Arial" w:eastAsia="Arial" w:hAnsi="Arial"/>
          <w:sz w:val="12"/>
          <w:szCs w:val="12"/>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will be realized. In fiscal 2019 and 2018, the Company recorded a valuation allowance of approximately $0.9 million and $5.1 million, respectively, against its deferred tax asset resulting from certain tax credits that may not be realizable prior to the time the credits expire. In fiscal 2020, the Company recorded an additional $0.1 million to the valuation allowance. As of December 30, 2020, the total valuation allowance was $6.1 million.</w:t>
      </w:r>
    </w:p>
    <w:p>
      <w:pPr>
        <w:spacing w:after="0" w:line="128" w:lineRule="exact"/>
        <w:rPr>
          <w:sz w:val="20"/>
          <w:szCs w:val="20"/>
          <w:color w:val="auto"/>
        </w:rPr>
      </w:pPr>
    </w:p>
    <w:p>
      <w:pPr>
        <w:ind w:left="20" w:right="59"/>
        <w:spacing w:after="0" w:line="255" w:lineRule="auto"/>
        <w:rPr>
          <w:sz w:val="20"/>
          <w:szCs w:val="20"/>
          <w:color w:val="auto"/>
        </w:rPr>
      </w:pPr>
      <w:r>
        <w:rPr>
          <w:rFonts w:ascii="Arial" w:cs="Arial" w:eastAsia="Arial" w:hAnsi="Arial"/>
          <w:sz w:val="12"/>
          <w:szCs w:val="12"/>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expense (benefit) is a permanent add-back to the Company’s taxable income. TRA resulted in $0.1 million of expense in fiscal 2020 as a result of changes to future forecasted results and deduction on 2018 legal settlement accrual, $0.1 million of expense in fiscal 2019 as a result of changes to future forecasted results, $0.8 million of benefit in fiscal 2018 as a result of changes to future forecasted results and timing of deductibility of certain temporary differences including the current year settlement accrual and $5.6 million benefit in fiscal 2017 as a result of reduction in the federal corporate income tax rate related to tax reform. In fiscal 2020, we paid $5.2 million to our pre-IPO stockholders under the TRA.</w:t>
      </w:r>
    </w:p>
    <w:p>
      <w:pPr>
        <w:spacing w:after="0" w:line="128" w:lineRule="exact"/>
        <w:rPr>
          <w:sz w:val="20"/>
          <w:szCs w:val="20"/>
          <w:color w:val="auto"/>
        </w:rPr>
      </w:pPr>
    </w:p>
    <w:p>
      <w:pPr>
        <w:ind w:left="20" w:right="299"/>
        <w:spacing w:after="0" w:line="276" w:lineRule="auto"/>
        <w:rPr>
          <w:sz w:val="20"/>
          <w:szCs w:val="20"/>
          <w:color w:val="auto"/>
        </w:rPr>
      </w:pPr>
      <w:r>
        <w:rPr>
          <w:rFonts w:ascii="Arial" w:cs="Arial" w:eastAsia="Arial" w:hAnsi="Arial"/>
          <w:sz w:val="12"/>
          <w:szCs w:val="12"/>
          <w:color w:val="auto"/>
        </w:rPr>
        <w:t>As of December 30, 2020 and December 25, 2019, the deferred tax assets related to California Enterprise Zone credits, net of valuation allowances are $2.5 million and $3.3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1" w:name="page92"/>
    <w:bookmarkEnd w:id="9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Company’s deferred tax assets and liabilities as of December 30, 2020 and December 25, 2019 are summarized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2"/>
              </w:rPr>
              <w:t>December 30,</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25,</w:t>
            </w:r>
          </w:p>
        </w:tc>
      </w:tr>
      <w:tr>
        <w:trPr>
          <w:trHeight w:val="113"/>
        </w:trPr>
        <w:tc>
          <w:tcPr>
            <w:tcW w:w="68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21"/>
              <w:spacing w:after="0" w:line="114"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21"/>
              <w:spacing w:after="0" w:line="114" w:lineRule="exact"/>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9"/>
                <w:szCs w:val="9"/>
                <w:color w:val="auto"/>
              </w:rPr>
            </w:pPr>
          </w:p>
        </w:tc>
      </w:tr>
      <w:tr>
        <w:trPr>
          <w:trHeight w:val="133"/>
        </w:trPr>
        <w:tc>
          <w:tcPr>
            <w:tcW w:w="6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Deferred assets: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Capital leases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Accrued vacation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20" w:type="dxa"/>
            <w:vAlign w:val="bottom"/>
          </w:tcPr>
          <w:p>
            <w:pPr>
              <w:spacing w:after="0"/>
              <w:rPr>
                <w:sz w:val="12"/>
                <w:szCs w:val="12"/>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Accrued legal</w:t>
            </w: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4,434</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Accrued workers’ compensation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w:t>
            </w:r>
          </w:p>
        </w:tc>
        <w:tc>
          <w:tcPr>
            <w:tcW w:w="20" w:type="dxa"/>
            <w:vAlign w:val="bottom"/>
          </w:tcPr>
          <w:p>
            <w:pPr>
              <w:spacing w:after="0"/>
              <w:rPr>
                <w:sz w:val="12"/>
                <w:szCs w:val="12"/>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Enterprise zone and other credits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8,579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10,442</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Net operating losses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1,814</w:t>
            </w:r>
          </w:p>
        </w:tc>
        <w:tc>
          <w:tcPr>
            <w:tcW w:w="20" w:type="dxa"/>
            <w:vAlign w:val="bottom"/>
          </w:tcPr>
          <w:p>
            <w:pPr>
              <w:spacing w:after="0"/>
              <w:rPr>
                <w:sz w:val="12"/>
                <w:szCs w:val="12"/>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Fixed assets</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4,643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2,955</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ROU assets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53,875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57,931</w:t>
            </w:r>
          </w:p>
        </w:tc>
        <w:tc>
          <w:tcPr>
            <w:tcW w:w="20" w:type="dxa"/>
            <w:vAlign w:val="bottom"/>
          </w:tcPr>
          <w:p>
            <w:pPr>
              <w:spacing w:after="0"/>
              <w:rPr>
                <w:sz w:val="12"/>
                <w:szCs w:val="12"/>
                <w:color w:val="auto"/>
              </w:rPr>
            </w:pPr>
          </w:p>
        </w:tc>
      </w:tr>
      <w:tr>
        <w:trPr>
          <w:trHeight w:val="144"/>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6,349</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4,698</w:t>
            </w:r>
          </w:p>
        </w:tc>
        <w:tc>
          <w:tcPr>
            <w:tcW w:w="20" w:type="dxa"/>
            <w:vAlign w:val="bottom"/>
          </w:tcPr>
          <w:p>
            <w:pPr>
              <w:spacing w:after="0"/>
              <w:rPr>
                <w:sz w:val="12"/>
                <w:szCs w:val="12"/>
                <w:color w:val="auto"/>
              </w:rPr>
            </w:pPr>
          </w:p>
        </w:tc>
      </w:tr>
      <w:tr>
        <w:trPr>
          <w:trHeight w:val="133"/>
        </w:trPr>
        <w:tc>
          <w:tcPr>
            <w:tcW w:w="6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deferred tax assets</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75,878</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83,849</w:t>
            </w:r>
          </w:p>
        </w:tc>
        <w:tc>
          <w:tcPr>
            <w:tcW w:w="20" w:type="dxa"/>
            <w:vAlign w:val="bottom"/>
          </w:tcPr>
          <w:p>
            <w:pPr>
              <w:spacing w:after="0"/>
              <w:rPr>
                <w:sz w:val="11"/>
                <w:szCs w:val="11"/>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Valuation allowance</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(6,127)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(5,993)</w:t>
            </w:r>
          </w:p>
        </w:tc>
        <w:tc>
          <w:tcPr>
            <w:tcW w:w="20" w:type="dxa"/>
            <w:vAlign w:val="bottom"/>
          </w:tcPr>
          <w:p>
            <w:pPr>
              <w:spacing w:after="0"/>
              <w:rPr>
                <w:sz w:val="12"/>
                <w:szCs w:val="12"/>
                <w:color w:val="auto"/>
              </w:rPr>
            </w:pPr>
          </w:p>
        </w:tc>
      </w:tr>
      <w:tr>
        <w:trPr>
          <w:trHeight w:val="133"/>
        </w:trPr>
        <w:tc>
          <w:tcPr>
            <w:tcW w:w="6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deferred tax assets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69,751</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77,856</w:t>
            </w:r>
          </w:p>
        </w:tc>
        <w:tc>
          <w:tcPr>
            <w:tcW w:w="20" w:type="dxa"/>
            <w:vAlign w:val="bottom"/>
          </w:tcPr>
          <w:p>
            <w:pPr>
              <w:spacing w:after="0"/>
              <w:rPr>
                <w:sz w:val="11"/>
                <w:szCs w:val="11"/>
                <w:color w:val="auto"/>
              </w:rPr>
            </w:pPr>
          </w:p>
        </w:tc>
      </w:tr>
      <w:tr>
        <w:trPr>
          <w:trHeight w:val="133"/>
        </w:trPr>
        <w:tc>
          <w:tcPr>
            <w:tcW w:w="6860" w:type="dxa"/>
            <w:vAlign w:val="bottom"/>
          </w:tcPr>
          <w:p>
            <w:pPr>
              <w:spacing w:after="0" w:line="133" w:lineRule="exact"/>
              <w:rPr>
                <w:sz w:val="20"/>
                <w:szCs w:val="20"/>
                <w:color w:val="auto"/>
              </w:rPr>
            </w:pPr>
            <w:r>
              <w:rPr>
                <w:rFonts w:ascii="Arial" w:cs="Arial" w:eastAsia="Arial" w:hAnsi="Arial"/>
                <w:sz w:val="12"/>
                <w:szCs w:val="12"/>
                <w:color w:val="auto"/>
              </w:rPr>
              <w:t>Deferred liabilities:</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(6,218)</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(6,060)</w:t>
            </w:r>
          </w:p>
        </w:tc>
        <w:tc>
          <w:tcPr>
            <w:tcW w:w="20" w:type="dxa"/>
            <w:vAlign w:val="bottom"/>
          </w:tcPr>
          <w:p>
            <w:pPr>
              <w:spacing w:after="0"/>
              <w:rPr>
                <w:sz w:val="12"/>
                <w:szCs w:val="12"/>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Trademark</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(16,773)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(16,745)</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20" w:type="dxa"/>
            <w:vAlign w:val="bottom"/>
          </w:tcPr>
          <w:p>
            <w:pPr>
              <w:spacing w:after="0"/>
              <w:rPr>
                <w:sz w:val="12"/>
                <w:szCs w:val="12"/>
                <w:color w:val="auto"/>
              </w:rPr>
            </w:pPr>
          </w:p>
        </w:tc>
      </w:tr>
      <w:tr>
        <w:trPr>
          <w:trHeight w:val="144"/>
        </w:trPr>
        <w:tc>
          <w:tcPr>
            <w:tcW w:w="6860" w:type="dxa"/>
            <w:vAlign w:val="bottom"/>
          </w:tcPr>
          <w:p>
            <w:pPr>
              <w:spacing w:after="0"/>
              <w:rPr>
                <w:sz w:val="20"/>
                <w:szCs w:val="20"/>
                <w:color w:val="auto"/>
              </w:rPr>
            </w:pPr>
            <w:r>
              <w:rPr>
                <w:rFonts w:ascii="Arial" w:cs="Arial" w:eastAsia="Arial" w:hAnsi="Arial"/>
                <w:sz w:val="12"/>
                <w:szCs w:val="12"/>
                <w:color w:val="auto"/>
              </w:rPr>
              <w:t>ROU liabilities</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(48,005)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(52,056)</w:t>
            </w:r>
          </w:p>
        </w:tc>
        <w:tc>
          <w:tcPr>
            <w:tcW w:w="20" w:type="dxa"/>
            <w:vAlign w:val="bottom"/>
          </w:tcPr>
          <w:p>
            <w:pPr>
              <w:spacing w:after="0"/>
              <w:rPr>
                <w:sz w:val="12"/>
                <w:szCs w:val="12"/>
                <w:color w:val="auto"/>
              </w:rPr>
            </w:pPr>
          </w:p>
        </w:tc>
      </w:tr>
      <w:tr>
        <w:trPr>
          <w:trHeight w:val="144"/>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20" w:type="dxa"/>
            <w:vAlign w:val="bottom"/>
          </w:tcPr>
          <w:p>
            <w:pPr>
              <w:spacing w:after="0"/>
              <w:rPr>
                <w:sz w:val="12"/>
                <w:szCs w:val="12"/>
                <w:color w:val="auto"/>
              </w:rPr>
            </w:pPr>
          </w:p>
        </w:tc>
      </w:tr>
      <w:tr>
        <w:trPr>
          <w:trHeight w:val="133"/>
        </w:trPr>
        <w:tc>
          <w:tcPr>
            <w:tcW w:w="68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Deferred tax liabilities</w:t>
            </w: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(71,812)</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(75,819)</w:t>
            </w:r>
          </w:p>
        </w:tc>
        <w:tc>
          <w:tcPr>
            <w:tcW w:w="20" w:type="dxa"/>
            <w:vAlign w:val="bottom"/>
          </w:tcPr>
          <w:p>
            <w:pPr>
              <w:spacing w:after="0"/>
              <w:rPr>
                <w:sz w:val="11"/>
                <w:szCs w:val="11"/>
                <w:color w:val="auto"/>
              </w:rPr>
            </w:pPr>
          </w:p>
        </w:tc>
      </w:tr>
      <w:tr>
        <w:trPr>
          <w:trHeight w:val="140"/>
        </w:trPr>
        <w:tc>
          <w:tcPr>
            <w:tcW w:w="68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deferred tax (liability) asset</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(2,061)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2,037</w:t>
            </w:r>
          </w:p>
        </w:tc>
        <w:tc>
          <w:tcPr>
            <w:tcW w:w="20" w:type="dxa"/>
            <w:vAlign w:val="bottom"/>
          </w:tcPr>
          <w:p>
            <w:pPr>
              <w:spacing w:after="0"/>
              <w:rPr>
                <w:sz w:val="12"/>
                <w:szCs w:val="12"/>
                <w:color w:val="auto"/>
              </w:rPr>
            </w:pPr>
          </w:p>
        </w:tc>
      </w:tr>
    </w:tbl>
    <w:p>
      <w:pPr>
        <w:spacing w:after="0" w:line="135" w:lineRule="exact"/>
        <w:rPr>
          <w:sz w:val="20"/>
          <w:szCs w:val="20"/>
          <w:color w:val="auto"/>
        </w:rPr>
      </w:pPr>
    </w:p>
    <w:p>
      <w:pPr>
        <w:jc w:val="both"/>
        <w:ind w:left="20" w:right="239"/>
        <w:spacing w:after="0" w:line="276" w:lineRule="auto"/>
        <w:rPr>
          <w:sz w:val="20"/>
          <w:szCs w:val="20"/>
          <w:color w:val="auto"/>
        </w:rPr>
      </w:pPr>
      <w:r>
        <w:rPr>
          <w:rFonts w:ascii="Arial" w:cs="Arial" w:eastAsia="Arial" w:hAnsi="Arial"/>
          <w:sz w:val="12"/>
          <w:szCs w:val="12"/>
          <w:color w:val="auto"/>
        </w:rPr>
        <w:t>The net deferred tax asset amounts above as of December 30, 2020 and December 25, 2019 have been classified in the accompanying consolidated balance sheets as noncurrent assets and are as follows (in thousands):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2"/>
              </w:rPr>
              <w:t>December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45"/>
              <w:spacing w:after="0"/>
              <w:rPr>
                <w:sz w:val="20"/>
                <w:szCs w:val="20"/>
                <w:color w:val="auto"/>
              </w:rPr>
            </w:pPr>
            <w:r>
              <w:rPr>
                <w:rFonts w:ascii="Arial" w:cs="Arial" w:eastAsia="Arial" w:hAnsi="Arial"/>
                <w:sz w:val="10"/>
                <w:szCs w:val="10"/>
                <w:b w:val="1"/>
                <w:bCs w:val="1"/>
                <w:color w:val="auto"/>
                <w:w w:val="92"/>
              </w:rPr>
              <w:t>December 25,</w:t>
            </w:r>
          </w:p>
        </w:tc>
        <w:tc>
          <w:tcPr>
            <w:tcW w:w="0" w:type="dxa"/>
            <w:vAlign w:val="bottom"/>
          </w:tcPr>
          <w:p>
            <w:pPr>
              <w:spacing w:after="0"/>
              <w:rPr>
                <w:sz w:val="1"/>
                <w:szCs w:val="1"/>
                <w:color w:val="auto"/>
              </w:rPr>
            </w:pPr>
          </w:p>
        </w:tc>
      </w:tr>
      <w:tr>
        <w:trPr>
          <w:trHeight w:val="113"/>
        </w:trPr>
        <w:tc>
          <w:tcPr>
            <w:tcW w:w="4180" w:type="dxa"/>
            <w:vAlign w:val="bottom"/>
            <w:vMerge w:val="restart"/>
          </w:tcPr>
          <w:p>
            <w:pPr>
              <w:spacing w:after="0"/>
              <w:rPr>
                <w:sz w:val="20"/>
                <w:szCs w:val="20"/>
                <w:color w:val="auto"/>
              </w:rPr>
            </w:pPr>
            <w:r>
              <w:rPr>
                <w:rFonts w:ascii="Arial" w:cs="Arial" w:eastAsia="Arial" w:hAnsi="Arial"/>
                <w:sz w:val="12"/>
                <w:szCs w:val="12"/>
                <w:color w:val="auto"/>
              </w:rPr>
              <w:t>Noncurrent:</w:t>
            </w:r>
          </w:p>
        </w:tc>
        <w:tc>
          <w:tcPr>
            <w:tcW w:w="2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25"/>
              <w:spacing w:after="0" w:line="114" w:lineRule="exact"/>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25"/>
              <w:spacing w:after="0" w:line="114"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33"/>
        </w:trPr>
        <w:tc>
          <w:tcPr>
            <w:tcW w:w="4180" w:type="dxa"/>
            <w:vAlign w:val="bottom"/>
            <w:vMerge w:val="continue"/>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Assets (liabilities) - state</w:t>
            </w:r>
          </w:p>
        </w:tc>
        <w:tc>
          <w:tcPr>
            <w:tcW w:w="28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3,166</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3,709</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Assets (liabilities) - federal</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(5,227)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(1,672)</w:t>
            </w:r>
          </w:p>
        </w:tc>
        <w:tc>
          <w:tcPr>
            <w:tcW w:w="0" w:type="dxa"/>
            <w:vAlign w:val="bottom"/>
          </w:tcPr>
          <w:p>
            <w:pPr>
              <w:spacing w:after="0"/>
              <w:rPr>
                <w:sz w:val="1"/>
                <w:szCs w:val="1"/>
                <w:color w:val="auto"/>
              </w:rPr>
            </w:pPr>
          </w:p>
        </w:tc>
      </w:tr>
      <w:tr>
        <w:trPr>
          <w:trHeight w:val="140"/>
        </w:trPr>
        <w:tc>
          <w:tcPr>
            <w:tcW w:w="41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deferred tax (liability) asset</w:t>
            </w:r>
          </w:p>
        </w:tc>
        <w:tc>
          <w:tcPr>
            <w:tcW w:w="26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2,037</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20" w:right="79"/>
        <w:spacing w:after="0" w:line="263" w:lineRule="auto"/>
        <w:rPr>
          <w:sz w:val="20"/>
          <w:szCs w:val="20"/>
          <w:color w:val="auto"/>
        </w:rPr>
      </w:pPr>
      <w:r>
        <w:rPr>
          <w:rFonts w:ascii="Arial" w:cs="Arial" w:eastAsia="Arial" w:hAnsi="Arial"/>
          <w:sz w:val="12"/>
          <w:szCs w:val="12"/>
          <w:color w:val="auto"/>
        </w:rPr>
        <w:t>As of December 30, 2020 and December 25, 2019, the Company had no accrual for unrecognized tax benefits. Consequently, no interest or penalties have been accrued by the Company. The Company believes that no significant changes to the amount of unrecognized tax benefits will occur within the next twelve months. The Company is subject to taxation in the United States and in various state jurisdictions.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is no longer subject to U.S. examination for years before 2017 by the federal taxing authority, and for years before 2016 by state taxing authorities.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10. EMPLOYEE BENEFIT PLANS</w:t>
      </w:r>
    </w:p>
    <w:p>
      <w:pPr>
        <w:spacing w:after="0" w:line="154" w:lineRule="exact"/>
        <w:rPr>
          <w:sz w:val="20"/>
          <w:szCs w:val="20"/>
          <w:color w:val="auto"/>
        </w:rPr>
      </w:pPr>
    </w:p>
    <w:p>
      <w:pPr>
        <w:jc w:val="both"/>
        <w:ind w:left="20" w:right="279"/>
        <w:spacing w:after="0" w:line="263" w:lineRule="auto"/>
        <w:rPr>
          <w:sz w:val="20"/>
          <w:szCs w:val="20"/>
          <w:color w:val="auto"/>
        </w:rPr>
      </w:pPr>
      <w:r>
        <w:rPr>
          <w:rFonts w:ascii="Arial" w:cs="Arial" w:eastAsia="Arial" w:hAnsi="Arial"/>
          <w:sz w:val="12"/>
          <w:szCs w:val="12"/>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2" w:name="page93"/>
    <w:bookmarkEnd w:id="9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contribution immediately fully vests. The Company’s contributions to the plan were $0.8 million for the years ended December 30, 2020, December 25, 2019 and December 26, 2018.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11. STOCK-BASED COMPENSATION</w:t>
      </w:r>
    </w:p>
    <w:p>
      <w:pPr>
        <w:spacing w:after="0" w:line="154" w:lineRule="exact"/>
        <w:rPr>
          <w:sz w:val="20"/>
          <w:szCs w:val="20"/>
          <w:color w:val="auto"/>
        </w:rPr>
      </w:pPr>
    </w:p>
    <w:p>
      <w:pPr>
        <w:ind w:left="20" w:right="439"/>
        <w:spacing w:after="0" w:line="379" w:lineRule="auto"/>
        <w:rPr>
          <w:sz w:val="20"/>
          <w:szCs w:val="20"/>
          <w:color w:val="auto"/>
        </w:rPr>
      </w:pPr>
      <w:r>
        <w:rPr>
          <w:rFonts w:ascii="Arial" w:cs="Arial" w:eastAsia="Arial" w:hAnsi="Arial"/>
          <w:sz w:val="10"/>
          <w:szCs w:val="10"/>
          <w:color w:val="auto"/>
        </w:rPr>
        <w:t>Pursuant to the 2018 Omnibus Equity Incentive Plan the Company grants stock options (“options”), restricted stock units, performance-based stock units and restricted stock. The Company has authorized 5,652,240 shares of common stock for issuance in connection with stock awards. As of December 30, 2020, 803,527 shares were available for grant.</w:t>
      </w:r>
    </w:p>
    <w:p>
      <w:pPr>
        <w:spacing w:after="0" w:line="69" w:lineRule="exact"/>
        <w:rPr>
          <w:sz w:val="20"/>
          <w:szCs w:val="20"/>
          <w:color w:val="auto"/>
        </w:rPr>
      </w:pPr>
    </w:p>
    <w:p>
      <w:pPr>
        <w:ind w:left="20" w:right="139"/>
        <w:spacing w:after="0" w:line="255" w:lineRule="auto"/>
        <w:rPr>
          <w:sz w:val="20"/>
          <w:szCs w:val="20"/>
          <w:color w:val="auto"/>
        </w:rPr>
      </w:pPr>
      <w:r>
        <w:rPr>
          <w:rFonts w:ascii="Arial" w:cs="Arial" w:eastAsia="Arial" w:hAnsi="Arial"/>
          <w:sz w:val="12"/>
          <w:szCs w:val="12"/>
          <w:color w:val="auto"/>
        </w:rPr>
        <w:t>During the years ended December 30, 2020, December 25, 2019 and December 26, 2018, the Company recognized stock-based compensation expense of $3.1 million, $2.5 million and $2.0 million, respectively. These expenses were included in general and administrative expenses consistent with the salary expense for the related optionees in the accompanying consolidated statements of operations. In connection with the retirement of our former President and Chief Executive Officer during fiscal 2018, the Company modified previously granted equity awards to accelerate the vesting of 33,545 awards, which would have otherwise vested in May 2018, and extended the exercisability of all vested and outstanding options until the expiration of the original term of such awards. As a result, the Company incurred incremental stock-based compensation expense of $0.8 million for the year ended December 26, 2018.</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 Options</w:t>
      </w:r>
    </w:p>
    <w:p>
      <w:pPr>
        <w:spacing w:after="0" w:line="154" w:lineRule="exact"/>
        <w:rPr>
          <w:sz w:val="20"/>
          <w:szCs w:val="20"/>
          <w:color w:val="auto"/>
        </w:rPr>
      </w:pPr>
    </w:p>
    <w:p>
      <w:pPr>
        <w:ind w:left="20" w:right="79"/>
        <w:spacing w:after="0" w:line="281" w:lineRule="auto"/>
        <w:rPr>
          <w:sz w:val="20"/>
          <w:szCs w:val="20"/>
          <w:color w:val="auto"/>
        </w:rPr>
      </w:pPr>
      <w:r>
        <w:rPr>
          <w:rFonts w:ascii="Arial" w:cs="Arial" w:eastAsia="Arial" w:hAnsi="Arial"/>
          <w:sz w:val="11"/>
          <w:szCs w:val="11"/>
          <w:color w:val="auto"/>
        </w:rPr>
        <w:t>At December 30, 2020, options to purchase 1,030,866 shares of common stock of the Company were outstanding, including 685,007 vested and 345,859 unvested. Unvested options vest over time, or upon our achieving annual financial goals. However, the compensation committee of the board of directors, as administrator of the Company’s 2018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30, 2020, 303,786 premium options, options granted above the stock price at date of grant, remained outstanding. The Company did not grant any options during fiscal 2020. In fiscal 2019, the Company granted 323,900 options, with an exercise price equal to the fair market value of the common stock on the date of grant. The options granted in fiscal 2019 had a four-year vesting period. Stock options generally expire 10 years from the date of grant. Changes in options for the years ended December 30, 2020 and December 25, 2019,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jc w:val="center"/>
              <w:ind w:left="52"/>
              <w:spacing w:after="0"/>
              <w:rPr>
                <w:sz w:val="20"/>
                <w:szCs w:val="20"/>
                <w:color w:val="auto"/>
              </w:rPr>
            </w:pPr>
            <w:r>
              <w:rPr>
                <w:rFonts w:ascii="Arial" w:cs="Arial" w:eastAsia="Arial" w:hAnsi="Arial"/>
                <w:sz w:val="10"/>
                <w:szCs w:val="10"/>
                <w:b w:val="1"/>
                <w:bCs w:val="1"/>
                <w:color w:val="auto"/>
                <w:w w:val="86"/>
              </w:rPr>
              <w:t>Weighted-Average</w:t>
            </w:r>
          </w:p>
        </w:tc>
        <w:tc>
          <w:tcPr>
            <w:tcW w:w="240" w:type="dxa"/>
            <w:vAlign w:val="bottom"/>
          </w:tcPr>
          <w:p>
            <w:pPr>
              <w:spacing w:after="0"/>
              <w:rPr>
                <w:sz w:val="10"/>
                <w:szCs w:val="10"/>
                <w:color w:val="auto"/>
              </w:rPr>
            </w:pPr>
          </w:p>
        </w:tc>
        <w:tc>
          <w:tcPr>
            <w:tcW w:w="860" w:type="dxa"/>
            <w:vAlign w:val="bottom"/>
          </w:tcPr>
          <w:p>
            <w:pPr>
              <w:jc w:val="center"/>
              <w:ind w:right="66"/>
              <w:spacing w:after="0"/>
              <w:rPr>
                <w:sz w:val="20"/>
                <w:szCs w:val="20"/>
                <w:color w:val="auto"/>
              </w:rPr>
            </w:pPr>
            <w:r>
              <w:rPr>
                <w:rFonts w:ascii="Arial" w:cs="Arial" w:eastAsia="Arial" w:hAnsi="Arial"/>
                <w:sz w:val="10"/>
                <w:szCs w:val="10"/>
                <w:b w:val="1"/>
                <w:bCs w:val="1"/>
                <w:color w:val="auto"/>
                <w:w w:val="84"/>
              </w:rPr>
              <w:t>Aggregate</w:t>
            </w:r>
          </w:p>
        </w:tc>
      </w:tr>
      <w:tr>
        <w:trPr>
          <w:trHeight w:val="99"/>
        </w:trPr>
        <w:tc>
          <w:tcPr>
            <w:tcW w:w="4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right"/>
              <w:ind w:right="162"/>
              <w:spacing w:after="0" w:line="99" w:lineRule="exact"/>
              <w:rPr>
                <w:sz w:val="20"/>
                <w:szCs w:val="20"/>
                <w:color w:val="auto"/>
              </w:rPr>
            </w:pPr>
            <w:r>
              <w:rPr>
                <w:rFonts w:ascii="Arial" w:cs="Arial" w:eastAsia="Arial" w:hAnsi="Arial"/>
                <w:sz w:val="10"/>
                <w:szCs w:val="10"/>
                <w:b w:val="1"/>
                <w:bCs w:val="1"/>
                <w:color w:val="auto"/>
                <w:w w:val="91"/>
              </w:rPr>
              <w:t>Weighted-Average</w:t>
            </w:r>
          </w:p>
        </w:tc>
        <w:tc>
          <w:tcPr>
            <w:tcW w:w="20" w:type="dxa"/>
            <w:vAlign w:val="bottom"/>
          </w:tcPr>
          <w:p>
            <w:pPr>
              <w:spacing w:after="0"/>
              <w:rPr>
                <w:sz w:val="8"/>
                <w:szCs w:val="8"/>
                <w:color w:val="auto"/>
              </w:rPr>
            </w:pPr>
          </w:p>
        </w:tc>
        <w:tc>
          <w:tcPr>
            <w:tcW w:w="1100" w:type="dxa"/>
            <w:vAlign w:val="bottom"/>
          </w:tcPr>
          <w:p>
            <w:pPr>
              <w:jc w:val="center"/>
              <w:ind w:left="72"/>
              <w:spacing w:after="0" w:line="99" w:lineRule="exact"/>
              <w:rPr>
                <w:sz w:val="20"/>
                <w:szCs w:val="20"/>
                <w:color w:val="auto"/>
              </w:rPr>
            </w:pPr>
            <w:r>
              <w:rPr>
                <w:rFonts w:ascii="Arial" w:cs="Arial" w:eastAsia="Arial" w:hAnsi="Arial"/>
                <w:sz w:val="10"/>
                <w:szCs w:val="10"/>
                <w:b w:val="1"/>
                <w:bCs w:val="1"/>
                <w:color w:val="auto"/>
                <w:w w:val="91"/>
              </w:rPr>
              <w:t>Contractual Life</w:t>
            </w:r>
          </w:p>
        </w:tc>
        <w:tc>
          <w:tcPr>
            <w:tcW w:w="240" w:type="dxa"/>
            <w:vAlign w:val="bottom"/>
          </w:tcPr>
          <w:p>
            <w:pPr>
              <w:spacing w:after="0"/>
              <w:rPr>
                <w:sz w:val="8"/>
                <w:szCs w:val="8"/>
                <w:color w:val="auto"/>
              </w:rPr>
            </w:pPr>
          </w:p>
        </w:tc>
        <w:tc>
          <w:tcPr>
            <w:tcW w:w="860" w:type="dxa"/>
            <w:vAlign w:val="bottom"/>
          </w:tcPr>
          <w:p>
            <w:pPr>
              <w:jc w:val="center"/>
              <w:ind w:right="46"/>
              <w:spacing w:after="0" w:line="99" w:lineRule="exact"/>
              <w:rPr>
                <w:sz w:val="20"/>
                <w:szCs w:val="20"/>
                <w:color w:val="auto"/>
              </w:rPr>
            </w:pPr>
            <w:r>
              <w:rPr>
                <w:rFonts w:ascii="Arial" w:cs="Arial" w:eastAsia="Arial" w:hAnsi="Arial"/>
                <w:sz w:val="10"/>
                <w:szCs w:val="10"/>
                <w:b w:val="1"/>
                <w:bCs w:val="1"/>
                <w:color w:val="auto"/>
                <w:w w:val="87"/>
              </w:rPr>
              <w:t>Intrinsic Value</w:t>
            </w:r>
          </w:p>
        </w:tc>
      </w:tr>
      <w:tr>
        <w:trPr>
          <w:trHeight w:val="113"/>
        </w:trPr>
        <w:tc>
          <w:tcPr>
            <w:tcW w:w="4560" w:type="dxa"/>
            <w:vAlign w:val="bottom"/>
          </w:tcPr>
          <w:p>
            <w:pPr>
              <w:spacing w:after="0"/>
              <w:rPr>
                <w:sz w:val="9"/>
                <w:szCs w:val="9"/>
                <w:color w:val="auto"/>
              </w:rPr>
            </w:pPr>
          </w:p>
        </w:tc>
        <w:tc>
          <w:tcPr>
            <w:tcW w:w="1000" w:type="dxa"/>
            <w:vAlign w:val="bottom"/>
            <w:gridSpan w:val="2"/>
          </w:tcPr>
          <w:p>
            <w:pPr>
              <w:ind w:left="300"/>
              <w:spacing w:after="0" w:line="114" w:lineRule="exact"/>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right"/>
              <w:ind w:right="242"/>
              <w:spacing w:after="0" w:line="114" w:lineRule="exact"/>
              <w:rPr>
                <w:sz w:val="20"/>
                <w:szCs w:val="20"/>
                <w:color w:val="auto"/>
              </w:rPr>
            </w:pPr>
            <w:r>
              <w:rPr>
                <w:rFonts w:ascii="Arial" w:cs="Arial" w:eastAsia="Arial" w:hAnsi="Arial"/>
                <w:sz w:val="10"/>
                <w:szCs w:val="10"/>
                <w:b w:val="1"/>
                <w:bCs w:val="1"/>
                <w:color w:val="auto"/>
              </w:rPr>
              <w:t>Exercise Price</w:t>
            </w:r>
          </w:p>
        </w:tc>
        <w:tc>
          <w:tcPr>
            <w:tcW w:w="20" w:type="dxa"/>
            <w:vAlign w:val="bottom"/>
          </w:tcPr>
          <w:p>
            <w:pPr>
              <w:spacing w:after="0"/>
              <w:rPr>
                <w:sz w:val="9"/>
                <w:szCs w:val="9"/>
                <w:color w:val="auto"/>
              </w:rPr>
            </w:pPr>
          </w:p>
        </w:tc>
        <w:tc>
          <w:tcPr>
            <w:tcW w:w="1100" w:type="dxa"/>
            <w:vAlign w:val="bottom"/>
          </w:tcPr>
          <w:p>
            <w:pPr>
              <w:jc w:val="center"/>
              <w:ind w:left="52"/>
              <w:spacing w:after="0" w:line="114" w:lineRule="exact"/>
              <w:rPr>
                <w:sz w:val="20"/>
                <w:szCs w:val="20"/>
                <w:color w:val="auto"/>
              </w:rPr>
            </w:pPr>
            <w:r>
              <w:rPr>
                <w:rFonts w:ascii="Arial" w:cs="Arial" w:eastAsia="Arial" w:hAnsi="Arial"/>
                <w:sz w:val="10"/>
                <w:szCs w:val="10"/>
                <w:b w:val="1"/>
                <w:bCs w:val="1"/>
                <w:color w:val="auto"/>
                <w:w w:val="88"/>
              </w:rPr>
              <w:t>Life (Years)</w:t>
            </w:r>
          </w:p>
        </w:tc>
        <w:tc>
          <w:tcPr>
            <w:tcW w:w="240" w:type="dxa"/>
            <w:vAlign w:val="bottom"/>
          </w:tcPr>
          <w:p>
            <w:pPr>
              <w:spacing w:after="0"/>
              <w:rPr>
                <w:sz w:val="9"/>
                <w:szCs w:val="9"/>
                <w:color w:val="auto"/>
              </w:rPr>
            </w:pPr>
          </w:p>
        </w:tc>
        <w:tc>
          <w:tcPr>
            <w:tcW w:w="860" w:type="dxa"/>
            <w:vAlign w:val="bottom"/>
          </w:tcPr>
          <w:p>
            <w:pPr>
              <w:jc w:val="center"/>
              <w:ind w:right="66"/>
              <w:spacing w:after="0" w:line="114" w:lineRule="exact"/>
              <w:rPr>
                <w:sz w:val="20"/>
                <w:szCs w:val="20"/>
                <w:color w:val="auto"/>
              </w:rPr>
            </w:pPr>
            <w:r>
              <w:rPr>
                <w:rFonts w:ascii="Arial" w:cs="Arial" w:eastAsia="Arial" w:hAnsi="Arial"/>
                <w:sz w:val="10"/>
                <w:szCs w:val="10"/>
                <w:b w:val="1"/>
                <w:bCs w:val="1"/>
                <w:color w:val="auto"/>
                <w:w w:val="84"/>
              </w:rPr>
              <w:t>(in thousands)</w:t>
            </w:r>
          </w:p>
        </w:tc>
      </w:tr>
      <w:tr>
        <w:trPr>
          <w:trHeight w:val="133"/>
        </w:trPr>
        <w:tc>
          <w:tcPr>
            <w:tcW w:w="4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 December 26, 2018</w:t>
            </w:r>
          </w:p>
        </w:tc>
        <w:tc>
          <w:tcPr>
            <w:tcW w:w="86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2,102,404</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7.68</w:t>
            </w:r>
          </w:p>
        </w:tc>
        <w:tc>
          <w:tcPr>
            <w:tcW w:w="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Grants</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323,900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11.51</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(234,728)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Forfeited, cancelled or expired</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(114,006)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13.35</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3"/>
        </w:trPr>
        <w:tc>
          <w:tcPr>
            <w:tcW w:w="4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 December 25, 2019</w:t>
            </w:r>
          </w:p>
        </w:tc>
        <w:tc>
          <w:tcPr>
            <w:tcW w:w="86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2,077,570</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8.14</w:t>
            </w:r>
          </w:p>
        </w:tc>
        <w:tc>
          <w:tcPr>
            <w:tcW w:w="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(970,736)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6.04</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Forfeited, cancelled or expired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(75,968)</w:t>
            </w:r>
          </w:p>
        </w:tc>
        <w:tc>
          <w:tcPr>
            <w:tcW w:w="140" w:type="dxa"/>
            <w:vAlign w:val="bottom"/>
            <w:gridSpan w:val="2"/>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0"/>
        </w:trPr>
        <w:tc>
          <w:tcPr>
            <w:tcW w:w="45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Outstanding - December 30, 2020</w:t>
            </w:r>
          </w:p>
        </w:tc>
        <w:tc>
          <w:tcPr>
            <w:tcW w:w="860" w:type="dxa"/>
            <w:vAlign w:val="bottom"/>
            <w:tcBorders>
              <w:top w:val="single" w:sz="8" w:color="auto"/>
              <w:bottom w:val="single" w:sz="8" w:color="auto"/>
            </w:tcBorders>
          </w:tcPr>
          <w:p>
            <w:pPr>
              <w:jc w:val="right"/>
              <w:ind w:right="1"/>
              <w:spacing w:after="0" w:line="133" w:lineRule="exact"/>
              <w:rPr>
                <w:sz w:val="20"/>
                <w:szCs w:val="20"/>
                <w:color w:val="auto"/>
              </w:rPr>
            </w:pPr>
            <w:r>
              <w:rPr>
                <w:rFonts w:ascii="Arial" w:cs="Arial" w:eastAsia="Arial" w:hAnsi="Arial"/>
                <w:sz w:val="12"/>
                <w:szCs w:val="12"/>
                <w:color w:val="auto"/>
              </w:rPr>
              <w:t>1,030,866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9.82</w:t>
            </w:r>
          </w:p>
        </w:tc>
        <w:tc>
          <w:tcPr>
            <w:tcW w:w="1120" w:type="dxa"/>
            <w:vAlign w:val="bottom"/>
            <w:tcBorders>
              <w:bottom w:val="single" w:sz="8" w:color="CCEEFF"/>
            </w:tcBorders>
            <w:gridSpan w:val="2"/>
          </w:tcPr>
          <w:p>
            <w:pPr>
              <w:jc w:val="right"/>
              <w:ind w:right="272"/>
              <w:spacing w:after="0" w:line="133" w:lineRule="exact"/>
              <w:rPr>
                <w:sz w:val="20"/>
                <w:szCs w:val="20"/>
                <w:color w:val="auto"/>
              </w:rPr>
            </w:pPr>
            <w:r>
              <w:rPr>
                <w:rFonts w:ascii="Arial" w:cs="Arial" w:eastAsia="Arial" w:hAnsi="Arial"/>
                <w:sz w:val="12"/>
                <w:szCs w:val="12"/>
                <w:color w:val="auto"/>
              </w:rPr>
              <w:t>5.51</w:t>
            </w:r>
          </w:p>
        </w:tc>
        <w:tc>
          <w:tcPr>
            <w:tcW w:w="240" w:type="dxa"/>
            <w:vAlign w:val="bottom"/>
            <w:tcBorders>
              <w:bottom w:val="single" w:sz="8" w:color="CCEEFF"/>
            </w:tcBorders>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tcPr>
          <w:p>
            <w:pPr>
              <w:jc w:val="right"/>
              <w:ind w:right="246"/>
              <w:spacing w:after="0" w:line="133" w:lineRule="exact"/>
              <w:rPr>
                <w:sz w:val="20"/>
                <w:szCs w:val="20"/>
                <w:color w:val="auto"/>
              </w:rPr>
            </w:pPr>
            <w:r>
              <w:rPr>
                <w:rFonts w:ascii="Arial" w:cs="Arial" w:eastAsia="Arial" w:hAnsi="Arial"/>
                <w:sz w:val="12"/>
                <w:szCs w:val="12"/>
                <w:color w:val="auto"/>
              </w:rPr>
              <w:t>8,638</w:t>
            </w:r>
          </w:p>
        </w:tc>
      </w:tr>
      <w:tr>
        <w:trPr>
          <w:trHeight w:val="164"/>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Vested and expected to vest at December 30, 2020</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1,026,480</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w:t>
            </w:r>
          </w:p>
        </w:tc>
        <w:tc>
          <w:tcPr>
            <w:tcW w:w="1120" w:type="dxa"/>
            <w:vAlign w:val="bottom"/>
            <w:tcBorders>
              <w:bottom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5.50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2"/>
                <w:szCs w:val="12"/>
                <w:color w:val="auto"/>
              </w:rPr>
              <w:t>8,609</w:t>
            </w:r>
          </w:p>
        </w:tc>
      </w:tr>
      <w:tr>
        <w:trPr>
          <w:trHeight w:val="138"/>
        </w:trPr>
        <w:tc>
          <w:tcPr>
            <w:tcW w:w="4560" w:type="dxa"/>
            <w:vAlign w:val="bottom"/>
          </w:tcPr>
          <w:p>
            <w:pPr>
              <w:spacing w:after="0" w:line="131" w:lineRule="exact"/>
              <w:rPr>
                <w:sz w:val="20"/>
                <w:szCs w:val="20"/>
                <w:color w:val="auto"/>
              </w:rPr>
            </w:pPr>
            <w:r>
              <w:rPr>
                <w:rFonts w:ascii="Arial" w:cs="Arial" w:eastAsia="Arial" w:hAnsi="Arial"/>
                <w:sz w:val="12"/>
                <w:szCs w:val="12"/>
                <w:color w:val="auto"/>
              </w:rPr>
              <w:t>Exercisable at December 30, 2020</w:t>
            </w:r>
          </w:p>
        </w:tc>
        <w:tc>
          <w:tcPr>
            <w:tcW w:w="860" w:type="dxa"/>
            <w:vAlign w:val="bottom"/>
            <w:tcBorders>
              <w:bottom w:val="single" w:sz="8" w:color="auto"/>
            </w:tcBorders>
          </w:tcPr>
          <w:p>
            <w:pPr>
              <w:jc w:val="right"/>
              <w:ind w:right="1"/>
              <w:spacing w:after="0" w:line="131" w:lineRule="exact"/>
              <w:rPr>
                <w:sz w:val="20"/>
                <w:szCs w:val="20"/>
                <w:color w:val="auto"/>
              </w:rPr>
            </w:pPr>
            <w:r>
              <w:rPr>
                <w:rFonts w:ascii="Arial" w:cs="Arial" w:eastAsia="Arial" w:hAnsi="Arial"/>
                <w:sz w:val="12"/>
                <w:szCs w:val="12"/>
                <w:color w:val="auto"/>
              </w:rPr>
              <w:t>685,007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9.02</w:t>
            </w:r>
          </w:p>
        </w:tc>
        <w:tc>
          <w:tcPr>
            <w:tcW w:w="1120" w:type="dxa"/>
            <w:vAlign w:val="bottom"/>
            <w:gridSpan w:val="2"/>
          </w:tcPr>
          <w:p>
            <w:pPr>
              <w:jc w:val="right"/>
              <w:ind w:right="272"/>
              <w:spacing w:after="0" w:line="131" w:lineRule="exact"/>
              <w:rPr>
                <w:sz w:val="20"/>
                <w:szCs w:val="20"/>
                <w:color w:val="auto"/>
              </w:rPr>
            </w:pPr>
            <w:r>
              <w:rPr>
                <w:rFonts w:ascii="Arial" w:cs="Arial" w:eastAsia="Arial" w:hAnsi="Arial"/>
                <w:sz w:val="12"/>
                <w:szCs w:val="12"/>
                <w:color w:val="auto"/>
              </w:rPr>
              <w:t>4.28</w:t>
            </w:r>
          </w:p>
        </w:tc>
        <w:tc>
          <w:tcPr>
            <w:tcW w:w="24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246"/>
              <w:spacing w:after="0" w:line="131" w:lineRule="exact"/>
              <w:rPr>
                <w:sz w:val="20"/>
                <w:szCs w:val="20"/>
                <w:color w:val="auto"/>
              </w:rPr>
            </w:pPr>
            <w:r>
              <w:rPr>
                <w:rFonts w:ascii="Arial" w:cs="Arial" w:eastAsia="Arial" w:hAnsi="Arial"/>
                <w:sz w:val="12"/>
                <w:szCs w:val="12"/>
                <w:color w:val="auto"/>
              </w:rPr>
              <w:t>6,288</w:t>
            </w:r>
          </w:p>
        </w:tc>
      </w:tr>
    </w:tbl>
    <w:p>
      <w:pPr>
        <w:spacing w:after="0" w:line="135" w:lineRule="exact"/>
        <w:rPr>
          <w:sz w:val="20"/>
          <w:szCs w:val="20"/>
          <w:color w:val="auto"/>
        </w:rPr>
      </w:pPr>
    </w:p>
    <w:p>
      <w:pPr>
        <w:ind w:left="20" w:right="339"/>
        <w:spacing w:after="0" w:line="276" w:lineRule="auto"/>
        <w:rPr>
          <w:sz w:val="20"/>
          <w:szCs w:val="20"/>
          <w:color w:val="auto"/>
        </w:rPr>
      </w:pPr>
      <w:r>
        <w:rPr>
          <w:rFonts w:ascii="Arial" w:cs="Arial" w:eastAsia="Arial" w:hAnsi="Arial"/>
          <w:sz w:val="12"/>
          <w:szCs w:val="12"/>
          <w:color w:val="auto"/>
        </w:rPr>
        <w:t>The intrinsic value of options exercised, calculated as the difference between the market value on the date of exercise and the exercise price, was $9.9 million, $2.1 million and $1.5 million for fiscal years 2020, 2019 and 2018, respectively.</w:t>
      </w:r>
    </w:p>
    <w:p>
      <w:pPr>
        <w:spacing w:after="0" w:line="115" w:lineRule="exact"/>
        <w:rPr>
          <w:sz w:val="20"/>
          <w:szCs w:val="20"/>
          <w:color w:val="auto"/>
        </w:rPr>
      </w:pPr>
    </w:p>
    <w:p>
      <w:pPr>
        <w:ind w:left="20" w:right="139"/>
        <w:spacing w:after="0" w:line="263" w:lineRule="auto"/>
        <w:rPr>
          <w:sz w:val="20"/>
          <w:szCs w:val="20"/>
          <w:color w:val="auto"/>
        </w:rPr>
      </w:pPr>
      <w:r>
        <w:rPr>
          <w:rFonts w:ascii="Arial" w:cs="Arial" w:eastAsia="Arial" w:hAnsi="Arial"/>
          <w:sz w:val="12"/>
          <w:szCs w:val="12"/>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3" w:name="page94"/>
    <w:bookmarkEnd w:id="9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139"/>
        <w:spacing w:after="0" w:line="280" w:lineRule="auto"/>
        <w:rPr>
          <w:sz w:val="20"/>
          <w:szCs w:val="20"/>
          <w:color w:val="auto"/>
        </w:rPr>
      </w:pPr>
      <w:r>
        <w:rPr>
          <w:rFonts w:ascii="Arial" w:cs="Arial" w:eastAsia="Arial" w:hAnsi="Arial"/>
          <w:sz w:val="11"/>
          <w:szCs w:val="11"/>
          <w:color w:val="auto"/>
        </w:rPr>
        <w:t>to which the performance criteria related.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estimated using four publicly-traded companies in our market category. These are selected based on similarities of market capitalization, size, and other financial and operational characteristics. Volatility is calculated by taking the historical daily closing equity prices of our peer companies, prior to the grant date, over a period equal to the expected term.</w:t>
      </w:r>
    </w:p>
    <w:p>
      <w:pPr>
        <w:spacing w:after="0" w:line="115" w:lineRule="exact"/>
        <w:rPr>
          <w:sz w:val="20"/>
          <w:szCs w:val="20"/>
          <w:color w:val="auto"/>
        </w:rPr>
      </w:pPr>
    </w:p>
    <w:p>
      <w:pPr>
        <w:ind w:left="20" w:right="379"/>
        <w:spacing w:after="0" w:line="276" w:lineRule="auto"/>
        <w:rPr>
          <w:sz w:val="20"/>
          <w:szCs w:val="20"/>
          <w:color w:val="auto"/>
        </w:rPr>
      </w:pPr>
      <w:r>
        <w:rPr>
          <w:rFonts w:ascii="Arial" w:cs="Arial" w:eastAsia="Arial" w:hAnsi="Arial"/>
          <w:sz w:val="12"/>
          <w:szCs w:val="12"/>
          <w:color w:val="auto"/>
        </w:rPr>
        <w:t>The weighted-average estimated fair value of employee stock options granted in fiscal 2019 and fiscal 2018 was $3.85 per share and $3.78 per share, respectively, using the Black– Scholes model with the following weighted-average assumptions used to value the option grants: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25, 2019</w:t>
            </w:r>
          </w:p>
        </w:tc>
        <w:tc>
          <w:tcPr>
            <w:tcW w:w="13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December 26, 2018</w:t>
            </w:r>
          </w:p>
        </w:tc>
      </w:tr>
      <w:tr>
        <w:trPr>
          <w:trHeight w:val="133"/>
        </w:trPr>
        <w:tc>
          <w:tcPr>
            <w:tcW w:w="6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Expected volatility</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28.7</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74"/>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28.4</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4"/>
              </w:rPr>
              <w:t>%</w:t>
            </w:r>
          </w:p>
        </w:tc>
      </w:tr>
      <w:tr>
        <w:trPr>
          <w:trHeight w:val="144"/>
        </w:trPr>
        <w:tc>
          <w:tcPr>
            <w:tcW w:w="620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2.3 %</w:t>
            </w:r>
          </w:p>
        </w:tc>
        <w:tc>
          <w:tcPr>
            <w:tcW w:w="1340" w:type="dxa"/>
            <w:vAlign w:val="bottom"/>
            <w:gridSpan w:val="2"/>
          </w:tcPr>
          <w:p>
            <w:pPr>
              <w:jc w:val="right"/>
              <w:spacing w:after="0"/>
              <w:rPr>
                <w:sz w:val="20"/>
                <w:szCs w:val="20"/>
                <w:color w:val="auto"/>
              </w:rPr>
            </w:pPr>
            <w:r>
              <w:rPr>
                <w:rFonts w:ascii="Arial" w:cs="Arial" w:eastAsia="Arial" w:hAnsi="Arial"/>
                <w:sz w:val="12"/>
                <w:szCs w:val="12"/>
                <w:color w:val="auto"/>
              </w:rPr>
              <w:t>2.9 %</w:t>
            </w:r>
          </w:p>
        </w:tc>
      </w:tr>
      <w:tr>
        <w:trPr>
          <w:trHeight w:val="144"/>
        </w:trPr>
        <w:tc>
          <w:tcPr>
            <w:tcW w:w="620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140" w:type="dxa"/>
            <w:vAlign w:val="bottom"/>
            <w:shd w:val="clear" w:color="auto" w:fill="CCEEFF"/>
          </w:tcPr>
          <w:p>
            <w:pPr>
              <w:spacing w:after="0"/>
              <w:rPr>
                <w:sz w:val="12"/>
                <w:szCs w:val="12"/>
                <w:color w:val="auto"/>
              </w:rPr>
            </w:pPr>
          </w:p>
        </w:tc>
      </w:tr>
      <w:tr>
        <w:trPr>
          <w:trHeight w:val="153"/>
        </w:trPr>
        <w:tc>
          <w:tcPr>
            <w:tcW w:w="6200" w:type="dxa"/>
            <w:vAlign w:val="bottom"/>
          </w:tcPr>
          <w:p>
            <w:pPr>
              <w:spacing w:after="0"/>
              <w:rPr>
                <w:sz w:val="20"/>
                <w:szCs w:val="20"/>
                <w:color w:val="auto"/>
              </w:rPr>
            </w:pPr>
            <w:r>
              <w:rPr>
                <w:rFonts w:ascii="Arial" w:cs="Arial" w:eastAsia="Arial" w:hAnsi="Arial"/>
                <w:sz w:val="12"/>
                <w:szCs w:val="12"/>
                <w:color w:val="auto"/>
              </w:rPr>
              <w:t>Expected dividends</w:t>
            </w:r>
          </w:p>
        </w:tc>
        <w:tc>
          <w:tcPr>
            <w:tcW w:w="1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ind w:left="20" w:right="139"/>
        <w:spacing w:after="0" w:line="276" w:lineRule="auto"/>
        <w:rPr>
          <w:sz w:val="20"/>
          <w:szCs w:val="20"/>
          <w:color w:val="auto"/>
        </w:rPr>
      </w:pPr>
      <w:r>
        <w:rPr>
          <w:rFonts w:ascii="Arial" w:cs="Arial" w:eastAsia="Arial" w:hAnsi="Arial"/>
          <w:sz w:val="12"/>
          <w:szCs w:val="12"/>
          <w:color w:val="auto"/>
        </w:rPr>
        <w:t>As of December 30, 2020, we had total unrecognized compensation expense of $1.0 million related to unvested stock options, which the Company expects to recognize over a weighted average period of 1.99 years.</w:t>
      </w:r>
    </w:p>
    <w:p>
      <w:pPr>
        <w:spacing w:after="0" w:line="115" w:lineRule="exact"/>
        <w:rPr>
          <w:sz w:val="20"/>
          <w:szCs w:val="20"/>
          <w:color w:val="auto"/>
        </w:rPr>
      </w:pPr>
    </w:p>
    <w:p>
      <w:pPr>
        <w:ind w:left="20" w:right="259"/>
        <w:spacing w:after="0" w:line="298" w:lineRule="auto"/>
        <w:rPr>
          <w:sz w:val="20"/>
          <w:szCs w:val="20"/>
          <w:color w:val="auto"/>
        </w:rPr>
      </w:pPr>
      <w:r>
        <w:rPr>
          <w:rFonts w:ascii="Arial" w:cs="Arial" w:eastAsia="Arial" w:hAnsi="Arial"/>
          <w:sz w:val="11"/>
          <w:szCs w:val="11"/>
          <w:color w:val="auto"/>
        </w:rPr>
        <w:t>The above assumptions generally require significant judgment. If in the future we determine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w:t>
      </w:r>
    </w:p>
    <w:p>
      <w:pPr>
        <w:spacing w:after="0" w:line="105" w:lineRule="exact"/>
        <w:rPr>
          <w:sz w:val="20"/>
          <w:szCs w:val="20"/>
          <w:color w:val="auto"/>
        </w:rPr>
      </w:pPr>
    </w:p>
    <w:p>
      <w:pPr>
        <w:ind w:left="20" w:right="39"/>
        <w:spacing w:after="0" w:line="254" w:lineRule="auto"/>
        <w:rPr>
          <w:sz w:val="20"/>
          <w:szCs w:val="20"/>
          <w:color w:val="auto"/>
        </w:rPr>
      </w:pPr>
      <w:r>
        <w:rPr>
          <w:rFonts w:ascii="Arial" w:cs="Arial" w:eastAsia="Arial" w:hAnsi="Arial"/>
          <w:sz w:val="12"/>
          <w:szCs w:val="12"/>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2020, 2019 and 2018. We will continue to use significant judgment in evaluating the expected term, volatility, and forfeiture rate related to our stock-based compensation.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Restricted Shares</w:t>
      </w:r>
    </w:p>
    <w:p>
      <w:pPr>
        <w:spacing w:after="0" w:line="154" w:lineRule="exact"/>
        <w:rPr>
          <w:sz w:val="20"/>
          <w:szCs w:val="20"/>
          <w:color w:val="auto"/>
        </w:rPr>
      </w:pPr>
    </w:p>
    <w:p>
      <w:pPr>
        <w:ind w:left="20" w:right="39"/>
        <w:spacing w:after="0" w:line="285" w:lineRule="auto"/>
        <w:rPr>
          <w:sz w:val="20"/>
          <w:szCs w:val="20"/>
          <w:color w:val="auto"/>
        </w:rPr>
      </w:pPr>
      <w:r>
        <w:rPr>
          <w:rFonts w:ascii="Arial" w:cs="Arial" w:eastAsia="Arial" w:hAnsi="Arial"/>
          <w:sz w:val="11"/>
          <w:szCs w:val="11"/>
          <w:color w:val="auto"/>
        </w:rPr>
        <w:t>In fiscal 2020 and 2019, 415,022 and 299,052 restricted share awards were granted, respectively, at the fair market value on the date of grant. These grants vest based on continued service over three years for directors and four years for employees. Additionally, in fiscal 2018, 72,116 performance share units were granted, which vest over a minimum of one year and a maximum of five years. Performance share units are granted at fair market value on the date of grant and are subject to service-based and market-based vesting conditions. A portion of the performance share units satisfied their market-based vesting conditions during the fourth quarter of fiscal 2018 and vested upon the satisfaction of their service condition in the second quarter of fiscal 2019. The Company bases the amount of unearned compensation recorded on the fair market value of the awards on the date of issuance.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4" w:name="page95"/>
    <w:bookmarkEnd w:id="9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Changes in restricted shares for the years ended December 30, 2020 and December 25, 2019,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42"/>
              <w:spacing w:after="0"/>
              <w:rPr>
                <w:sz w:val="20"/>
                <w:szCs w:val="20"/>
                <w:color w:val="auto"/>
              </w:rPr>
            </w:pPr>
            <w:r>
              <w:rPr>
                <w:rFonts w:ascii="Arial" w:cs="Arial" w:eastAsia="Arial" w:hAnsi="Arial"/>
                <w:sz w:val="10"/>
                <w:szCs w:val="10"/>
                <w:b w:val="1"/>
                <w:bCs w:val="1"/>
                <w:color w:val="auto"/>
                <w:w w:val="93"/>
              </w:rPr>
              <w:t>Weighted-Average</w:t>
            </w:r>
          </w:p>
        </w:tc>
      </w:tr>
      <w:tr>
        <w:trPr>
          <w:trHeight w:val="113"/>
        </w:trPr>
        <w:tc>
          <w:tcPr>
            <w:tcW w:w="6680" w:type="dxa"/>
            <w:vAlign w:val="bottom"/>
          </w:tcPr>
          <w:p>
            <w:pPr>
              <w:spacing w:after="0"/>
              <w:rPr>
                <w:sz w:val="9"/>
                <w:szCs w:val="9"/>
                <w:color w:val="auto"/>
              </w:rPr>
            </w:pPr>
          </w:p>
        </w:tc>
        <w:tc>
          <w:tcPr>
            <w:tcW w:w="102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302"/>
              <w:spacing w:after="0" w:line="114" w:lineRule="exact"/>
              <w:rPr>
                <w:sz w:val="20"/>
                <w:szCs w:val="20"/>
                <w:color w:val="auto"/>
              </w:rPr>
            </w:pPr>
            <w:r>
              <w:rPr>
                <w:rFonts w:ascii="Arial" w:cs="Arial" w:eastAsia="Arial" w:hAnsi="Arial"/>
                <w:sz w:val="10"/>
                <w:szCs w:val="10"/>
                <w:b w:val="1"/>
                <w:bCs w:val="1"/>
                <w:color w:val="auto"/>
              </w:rPr>
              <w:t>Fair Value</w:t>
            </w:r>
          </w:p>
        </w:tc>
      </w:tr>
      <w:tr>
        <w:trPr>
          <w:trHeight w:val="133"/>
        </w:trPr>
        <w:tc>
          <w:tcPr>
            <w:tcW w:w="6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shares at December 26, 2018</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490,700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10.91</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Granted</w:t>
            </w:r>
          </w:p>
        </w:tc>
        <w:tc>
          <w:tcPr>
            <w:tcW w:w="920" w:type="dxa"/>
            <w:vAlign w:val="bottom"/>
          </w:tcPr>
          <w:p>
            <w:pPr>
              <w:jc w:val="right"/>
              <w:spacing w:after="0"/>
              <w:rPr>
                <w:sz w:val="20"/>
                <w:szCs w:val="20"/>
                <w:color w:val="auto"/>
              </w:rPr>
            </w:pPr>
            <w:r>
              <w:rPr>
                <w:rFonts w:ascii="Arial" w:cs="Arial" w:eastAsia="Arial" w:hAnsi="Arial"/>
                <w:sz w:val="12"/>
                <w:szCs w:val="12"/>
                <w:color w:val="auto"/>
              </w:rPr>
              <w:t>299,052</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11.62</w:t>
            </w: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Released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(147,862)</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Forfeited, cancelled, or expired</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(53,882)</w:t>
            </w: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11.81</w:t>
            </w:r>
          </w:p>
        </w:tc>
      </w:tr>
      <w:tr>
        <w:trPr>
          <w:trHeight w:val="133"/>
        </w:trPr>
        <w:tc>
          <w:tcPr>
            <w:tcW w:w="66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shares at December 25, 2019</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588,008</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gridSpan w:val="2"/>
            <w:shd w:val="clear" w:color="auto" w:fill="CCEEFF"/>
          </w:tcPr>
          <w:p>
            <w:pPr>
              <w:jc w:val="right"/>
              <w:ind w:right="32"/>
              <w:spacing w:after="0" w:line="133" w:lineRule="exact"/>
              <w:rPr>
                <w:sz w:val="20"/>
                <w:szCs w:val="20"/>
                <w:color w:val="auto"/>
              </w:rPr>
            </w:pPr>
            <w:r>
              <w:rPr>
                <w:rFonts w:ascii="Arial" w:cs="Arial" w:eastAsia="Arial" w:hAnsi="Arial"/>
                <w:sz w:val="12"/>
                <w:szCs w:val="12"/>
                <w:color w:val="auto"/>
              </w:rPr>
              <w:t>$</w:t>
            </w:r>
          </w:p>
        </w:tc>
        <w:tc>
          <w:tcPr>
            <w:tcW w:w="10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11.23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Granted</w:t>
            </w:r>
          </w:p>
        </w:tc>
        <w:tc>
          <w:tcPr>
            <w:tcW w:w="920" w:type="dxa"/>
            <w:vAlign w:val="bottom"/>
          </w:tcPr>
          <w:p>
            <w:pPr>
              <w:jc w:val="right"/>
              <w:spacing w:after="0"/>
              <w:rPr>
                <w:sz w:val="20"/>
                <w:szCs w:val="20"/>
                <w:color w:val="auto"/>
              </w:rPr>
            </w:pPr>
            <w:r>
              <w:rPr>
                <w:rFonts w:ascii="Arial" w:cs="Arial" w:eastAsia="Arial" w:hAnsi="Arial"/>
                <w:sz w:val="12"/>
                <w:szCs w:val="12"/>
                <w:color w:val="auto"/>
              </w:rPr>
              <w:t>415,022</w:t>
            </w:r>
          </w:p>
        </w:tc>
        <w:tc>
          <w:tcPr>
            <w:tcW w:w="100" w:type="dxa"/>
            <w:vAlign w:val="bottom"/>
          </w:tcPr>
          <w:p>
            <w:pPr>
              <w:spacing w:after="0"/>
              <w:rPr>
                <w:sz w:val="12"/>
                <w:szCs w:val="12"/>
                <w:color w:val="auto"/>
              </w:rPr>
            </w:pP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12.50</w:t>
            </w: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Released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(158,748)</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w:t>
            </w:r>
          </w:p>
        </w:tc>
      </w:tr>
      <w:tr>
        <w:trPr>
          <w:trHeight w:val="144"/>
        </w:trPr>
        <w:tc>
          <w:tcPr>
            <w:tcW w:w="6680" w:type="dxa"/>
            <w:vAlign w:val="bottom"/>
          </w:tcPr>
          <w:p>
            <w:pPr>
              <w:spacing w:after="0"/>
              <w:rPr>
                <w:sz w:val="20"/>
                <w:szCs w:val="20"/>
                <w:color w:val="auto"/>
              </w:rPr>
            </w:pPr>
            <w:r>
              <w:rPr>
                <w:rFonts w:ascii="Arial" w:cs="Arial" w:eastAsia="Arial" w:hAnsi="Arial"/>
                <w:sz w:val="12"/>
                <w:szCs w:val="12"/>
                <w:color w:val="auto"/>
              </w:rPr>
              <w:t>Forfeited, cancelled, or expired</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(101,878)</w:t>
            </w: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12.32</w:t>
            </w:r>
          </w:p>
        </w:tc>
      </w:tr>
      <w:tr>
        <w:trPr>
          <w:trHeight w:val="140"/>
        </w:trPr>
        <w:tc>
          <w:tcPr>
            <w:tcW w:w="66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shares at December 30, 2020</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742,404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2"/>
            <w:shd w:val="clear" w:color="auto" w:fill="CCEEFF"/>
          </w:tcPr>
          <w:p>
            <w:pPr>
              <w:jc w:val="right"/>
              <w:ind w:right="32"/>
              <w:spacing w:after="0" w:line="133" w:lineRule="exact"/>
              <w:rPr>
                <w:sz w:val="20"/>
                <w:szCs w:val="20"/>
                <w:color w:val="auto"/>
              </w:rPr>
            </w:pPr>
            <w:r>
              <w:rPr>
                <w:rFonts w:ascii="Arial" w:cs="Arial" w:eastAsia="Arial" w:hAnsi="Arial"/>
                <w:sz w:val="12"/>
                <w:szCs w:val="12"/>
                <w:color w:val="auto"/>
              </w:rPr>
              <w:t>$</w:t>
            </w:r>
          </w:p>
        </w:tc>
        <w:tc>
          <w:tcPr>
            <w:tcW w:w="10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11.68</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Unvested shares at December 30, 2020, included 658,268 unvested restricted shares, 36,058 unvested performance stock units and 48,078 unvested restricted units.</w:t>
      </w:r>
    </w:p>
    <w:p>
      <w:pPr>
        <w:spacing w:after="0" w:line="150" w:lineRule="exact"/>
        <w:rPr>
          <w:sz w:val="20"/>
          <w:szCs w:val="20"/>
          <w:color w:val="auto"/>
        </w:rPr>
      </w:pPr>
    </w:p>
    <w:p>
      <w:pPr>
        <w:ind w:left="20" w:right="39"/>
        <w:spacing w:after="0" w:line="259" w:lineRule="auto"/>
        <w:rPr>
          <w:sz w:val="20"/>
          <w:szCs w:val="20"/>
          <w:color w:val="auto"/>
        </w:rPr>
      </w:pPr>
      <w:r>
        <w:rPr>
          <w:rFonts w:ascii="Arial" w:cs="Arial" w:eastAsia="Arial" w:hAnsi="Arial"/>
          <w:sz w:val="12"/>
          <w:szCs w:val="12"/>
          <w:color w:val="auto"/>
        </w:rPr>
        <w:t>As of December 30, 2020, there was total unrecognized compensation expense of $6.3 million related to unvested restricted share awards, which the Company expects to recognize over a weighted-average period of 2.77 years, unrecognized compensation expense of $0.1 million related to performance stock units, which it expects to recognize over a weighted-average period of 2.35 years and unrecognized compensation expense of $0.3 million related to unvested restricted units, which it expects to recognize over a weighted-average period of 1.35 years.</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12. EARNINGS PER SHARE</w:t>
      </w:r>
    </w:p>
    <w:p>
      <w:pPr>
        <w:spacing w:after="0" w:line="154" w:lineRule="exact"/>
        <w:rPr>
          <w:sz w:val="20"/>
          <w:szCs w:val="20"/>
          <w:color w:val="auto"/>
        </w:rPr>
      </w:pPr>
    </w:p>
    <w:p>
      <w:pPr>
        <w:jc w:val="both"/>
        <w:ind w:left="20" w:right="179"/>
        <w:spacing w:after="0" w:line="379" w:lineRule="auto"/>
        <w:rPr>
          <w:sz w:val="20"/>
          <w:szCs w:val="20"/>
          <w:color w:val="auto"/>
        </w:rPr>
      </w:pPr>
      <w:r>
        <w:rPr>
          <w:rFonts w:ascii="Arial" w:cs="Arial" w:eastAsia="Arial" w:hAnsi="Arial"/>
          <w:sz w:val="10"/>
          <w:szCs w:val="10"/>
          <w:color w:val="auto"/>
        </w:rPr>
        <w:t>Basic EPS is calculated using the weighted-average number of shares of common stock outstanding during the years ended December 30, 2020, December 25, 2019, and December 26, 2018. Diluted EPS is calculated using the weighted-average number of shares of common stock outstanding and potentially dilutive during the period, using the treasury stock method.</w:t>
      </w:r>
    </w:p>
    <w:p>
      <w:pPr>
        <w:spacing w:after="0" w:line="69" w:lineRule="exact"/>
        <w:rPr>
          <w:sz w:val="20"/>
          <w:szCs w:val="20"/>
          <w:color w:val="auto"/>
        </w:rPr>
      </w:pPr>
    </w:p>
    <w:p>
      <w:pPr>
        <w:jc w:val="both"/>
        <w:ind w:left="20" w:right="219"/>
        <w:spacing w:after="0" w:line="263" w:lineRule="auto"/>
        <w:rPr>
          <w:sz w:val="20"/>
          <w:szCs w:val="20"/>
          <w:color w:val="auto"/>
        </w:rPr>
      </w:pPr>
      <w:r>
        <w:rPr>
          <w:rFonts w:ascii="Arial" w:cs="Arial" w:eastAsia="Arial" w:hAnsi="Arial"/>
          <w:sz w:val="12"/>
          <w:szCs w:val="12"/>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122" w:lineRule="exact"/>
        <w:rPr>
          <w:sz w:val="20"/>
          <w:szCs w:val="20"/>
          <w:color w:val="auto"/>
        </w:rPr>
      </w:pPr>
    </w:p>
    <w:p>
      <w:pPr>
        <w:ind w:left="20" w:right="459"/>
        <w:spacing w:after="0" w:line="263" w:lineRule="auto"/>
        <w:rPr>
          <w:sz w:val="20"/>
          <w:szCs w:val="20"/>
          <w:color w:val="auto"/>
        </w:rPr>
      </w:pPr>
      <w:r>
        <w:rPr>
          <w:rFonts w:ascii="Arial" w:cs="Arial" w:eastAsia="Arial" w:hAnsi="Arial"/>
          <w:sz w:val="12"/>
          <w:szCs w:val="12"/>
          <w:color w:val="auto"/>
        </w:rPr>
        <w:t>On April 30, 2019, as part of the Company’s focus on stockholder returns, the Board of Directors approved a new stock repurchase program. The Company entered into a stock repurchase plan on May 17, 2019 (the “2019 Stock Repurchase Plan”), which allowed for the repurchase of up to $30.0 million of the Company’s common stock. The 2019 Stock Repurchase Plan commenced on June 27, 2019, and was exhausted on September 26, 2019.</w:t>
      </w:r>
    </w:p>
    <w:p>
      <w:pPr>
        <w:spacing w:after="0" w:line="122" w:lineRule="exact"/>
        <w:rPr>
          <w:sz w:val="20"/>
          <w:szCs w:val="20"/>
          <w:color w:val="auto"/>
        </w:rPr>
      </w:pPr>
    </w:p>
    <w:p>
      <w:pPr>
        <w:jc w:val="both"/>
        <w:ind w:left="20" w:right="159"/>
        <w:spacing w:after="0" w:line="263" w:lineRule="auto"/>
        <w:rPr>
          <w:sz w:val="20"/>
          <w:szCs w:val="20"/>
          <w:color w:val="auto"/>
        </w:rPr>
      </w:pPr>
      <w:r>
        <w:rPr>
          <w:rFonts w:ascii="Arial" w:cs="Arial" w:eastAsia="Arial" w:hAnsi="Arial"/>
          <w:sz w:val="12"/>
          <w:szCs w:val="12"/>
          <w:color w:val="auto"/>
        </w:rPr>
        <w:t>Under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122" w:lineRule="exact"/>
        <w:rPr>
          <w:sz w:val="20"/>
          <w:szCs w:val="20"/>
          <w:color w:val="auto"/>
        </w:rPr>
      </w:pPr>
    </w:p>
    <w:p>
      <w:pPr>
        <w:jc w:val="both"/>
        <w:ind w:left="20" w:right="499"/>
        <w:spacing w:after="0" w:line="289" w:lineRule="auto"/>
        <w:rPr>
          <w:sz w:val="20"/>
          <w:szCs w:val="20"/>
          <w:color w:val="auto"/>
        </w:rPr>
      </w:pPr>
      <w:r>
        <w:rPr>
          <w:rFonts w:ascii="Arial" w:cs="Arial" w:eastAsia="Arial" w:hAnsi="Arial"/>
          <w:sz w:val="11"/>
          <w:szCs w:val="11"/>
          <w:color w:val="auto"/>
        </w:rPr>
        <w:t>For the year ended December 25, 2019, the Company repurchased 1,558,836 and 2,836,768 shares of common stock under the 2018 Stock Repurchase Plan and the 2019 Stock Repurchase Plan, respectively, executed using open market purchases, for total consideration of approximately $18.4 million and $30.0 million, respectively. The common stock repurchased under both the 2018 Stock Repurchase Plan and the 2019 Stock Repurchase Plan was retired upon repurchase. For the year ended December 26, 2018, the Company repurchased 66,409 shares of common stock under the 2018 Stock Repurchase Plan for total considerations of approximately $1.0 million.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5" w:name="page96"/>
    <w:bookmarkEnd w:id="9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ind w:left="29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Below are basic and diluted EPS data for the periods indicated, which are in thousands except for per share data.</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86"/>
              </w:rPr>
              <w:t>For the Years Ended</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5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tcPr>
          <w:p>
            <w:pPr>
              <w:ind w:left="80"/>
              <w:spacing w:after="0" w:line="88" w:lineRule="exact"/>
              <w:rPr>
                <w:sz w:val="20"/>
                <w:szCs w:val="20"/>
                <w:color w:val="auto"/>
              </w:rPr>
            </w:pPr>
            <w:r>
              <w:rPr>
                <w:rFonts w:ascii="Arial" w:cs="Arial" w:eastAsia="Arial" w:hAnsi="Arial"/>
                <w:sz w:val="10"/>
                <w:szCs w:val="10"/>
                <w:b w:val="1"/>
                <w:bCs w:val="1"/>
                <w:color w:val="auto"/>
              </w:rPr>
              <w:t>December 30,</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tcPr>
          <w:p>
            <w:pPr>
              <w:jc w:val="center"/>
              <w:ind w:right="340"/>
              <w:spacing w:after="0" w:line="88" w:lineRule="exact"/>
              <w:rPr>
                <w:sz w:val="20"/>
                <w:szCs w:val="20"/>
                <w:color w:val="auto"/>
              </w:rPr>
            </w:pPr>
            <w:r>
              <w:rPr>
                <w:rFonts w:ascii="Arial" w:cs="Arial" w:eastAsia="Arial" w:hAnsi="Arial"/>
                <w:sz w:val="10"/>
                <w:szCs w:val="10"/>
                <w:b w:val="1"/>
                <w:bCs w:val="1"/>
                <w:color w:val="auto"/>
                <w:w w:val="86"/>
              </w:rPr>
              <w:t>December 25,</w:t>
            </w:r>
          </w:p>
        </w:tc>
        <w:tc>
          <w:tcPr>
            <w:tcW w:w="80" w:type="dxa"/>
            <w:vAlign w:val="bottom"/>
          </w:tcPr>
          <w:p>
            <w:pPr>
              <w:spacing w:after="0"/>
              <w:rPr>
                <w:sz w:val="7"/>
                <w:szCs w:val="7"/>
                <w:color w:val="auto"/>
              </w:rPr>
            </w:pPr>
          </w:p>
        </w:tc>
        <w:tc>
          <w:tcPr>
            <w:tcW w:w="940" w:type="dxa"/>
            <w:vAlign w:val="bottom"/>
          </w:tcPr>
          <w:p>
            <w:pPr>
              <w:jc w:val="right"/>
              <w:ind w:right="184"/>
              <w:spacing w:after="0" w:line="88" w:lineRule="exact"/>
              <w:rPr>
                <w:sz w:val="20"/>
                <w:szCs w:val="20"/>
                <w:color w:val="auto"/>
              </w:rPr>
            </w:pPr>
            <w:r>
              <w:rPr>
                <w:rFonts w:ascii="Arial" w:cs="Arial" w:eastAsia="Arial" w:hAnsi="Arial"/>
                <w:sz w:val="10"/>
                <w:szCs w:val="10"/>
                <w:b w:val="1"/>
                <w:bCs w:val="1"/>
                <w:color w:val="auto"/>
              </w:rPr>
              <w:t>December 26,</w:t>
            </w:r>
          </w:p>
        </w:tc>
        <w:tc>
          <w:tcPr>
            <w:tcW w:w="20" w:type="dxa"/>
            <w:vAlign w:val="bottom"/>
          </w:tcPr>
          <w:p>
            <w:pPr>
              <w:spacing w:after="0"/>
              <w:rPr>
                <w:sz w:val="7"/>
                <w:szCs w:val="7"/>
                <w:color w:val="auto"/>
              </w:rPr>
            </w:pPr>
          </w:p>
        </w:tc>
      </w:tr>
      <w:tr>
        <w:trPr>
          <w:trHeight w:val="99"/>
        </w:trPr>
        <w:tc>
          <w:tcPr>
            <w:tcW w:w="56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gridSpan w:val="2"/>
            <w:shd w:val="clear" w:color="auto" w:fill="CCEEFF"/>
          </w:tcPr>
          <w:p>
            <w:pPr>
              <w:jc w:val="right"/>
              <w:ind w:right="344"/>
              <w:spacing w:after="0" w:line="99" w:lineRule="exact"/>
              <w:rPr>
                <w:sz w:val="20"/>
                <w:szCs w:val="20"/>
                <w:color w:val="auto"/>
              </w:rPr>
            </w:pPr>
            <w:r>
              <w:rPr>
                <w:rFonts w:ascii="Arial" w:cs="Arial" w:eastAsia="Arial" w:hAnsi="Arial"/>
                <w:sz w:val="10"/>
                <w:szCs w:val="10"/>
                <w:b w:val="1"/>
                <w:bCs w:val="1"/>
                <w:color w:val="auto"/>
              </w:rPr>
              <w:t>2020</w:t>
            </w:r>
          </w:p>
        </w:tc>
        <w:tc>
          <w:tcPr>
            <w:tcW w:w="1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gridSpan w:val="2"/>
            <w:shd w:val="clear" w:color="auto" w:fill="CCEEFF"/>
          </w:tcPr>
          <w:p>
            <w:pPr>
              <w:jc w:val="center"/>
              <w:ind w:right="7"/>
              <w:spacing w:after="0" w:line="99" w:lineRule="exact"/>
              <w:rPr>
                <w:sz w:val="20"/>
                <w:szCs w:val="20"/>
                <w:color w:val="auto"/>
              </w:rPr>
            </w:pPr>
            <w:r>
              <w:rPr>
                <w:rFonts w:ascii="Arial" w:cs="Arial" w:eastAsia="Arial" w:hAnsi="Arial"/>
                <w:sz w:val="10"/>
                <w:szCs w:val="10"/>
                <w:b w:val="1"/>
                <w:bCs w:val="1"/>
                <w:color w:val="auto"/>
                <w:w w:val="89"/>
              </w:rPr>
              <w:t>2018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jc w:val="right"/>
              <w:ind w:right="364"/>
              <w:spacing w:after="0" w:line="99"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r>
      <w:tr>
        <w:trPr>
          <w:trHeight w:val="133"/>
        </w:trPr>
        <w:tc>
          <w:tcPr>
            <w:tcW w:w="5600" w:type="dxa"/>
            <w:vAlign w:val="bottom"/>
          </w:tcPr>
          <w:p>
            <w:pPr>
              <w:spacing w:after="0" w:line="133" w:lineRule="exact"/>
              <w:rPr>
                <w:sz w:val="20"/>
                <w:szCs w:val="20"/>
                <w:color w:val="auto"/>
              </w:rPr>
            </w:pPr>
            <w:r>
              <w:rPr>
                <w:rFonts w:ascii="Arial" w:cs="Arial" w:eastAsia="Arial" w:hAnsi="Arial"/>
                <w:sz w:val="12"/>
                <w:szCs w:val="12"/>
                <w:color w:val="auto"/>
              </w:rPr>
              <w:t>Numerator: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24,474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24,900</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(8,994)</w:t>
            </w:r>
          </w:p>
        </w:tc>
        <w:tc>
          <w:tcPr>
            <w:tcW w:w="20" w:type="dxa"/>
            <w:vAlign w:val="bottom"/>
          </w:tcPr>
          <w:p>
            <w:pPr>
              <w:spacing w:after="0"/>
              <w:rPr>
                <w:sz w:val="14"/>
                <w:szCs w:val="14"/>
                <w:color w:val="auto"/>
              </w:rPr>
            </w:pPr>
          </w:p>
        </w:tc>
      </w:tr>
      <w:tr>
        <w:trPr>
          <w:trHeight w:val="131"/>
        </w:trPr>
        <w:tc>
          <w:tcPr>
            <w:tcW w:w="5600" w:type="dxa"/>
            <w:vAlign w:val="bottom"/>
          </w:tcPr>
          <w:p>
            <w:pPr>
              <w:spacing w:after="0" w:line="131" w:lineRule="exact"/>
              <w:rPr>
                <w:sz w:val="20"/>
                <w:szCs w:val="20"/>
                <w:color w:val="auto"/>
              </w:rPr>
            </w:pPr>
            <w:r>
              <w:rPr>
                <w:rFonts w:ascii="Arial" w:cs="Arial" w:eastAsia="Arial" w:hAnsi="Arial"/>
                <w:sz w:val="12"/>
                <w:szCs w:val="12"/>
                <w:color w:val="auto"/>
              </w:rPr>
              <w:t>Denominator: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shares outstanding—basic</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35,193,325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36,739,209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2"/>
                <w:szCs w:val="12"/>
                <w:color w:val="auto"/>
              </w:rPr>
            </w:pPr>
          </w:p>
        </w:tc>
      </w:tr>
      <w:tr>
        <w:trPr>
          <w:trHeight w:val="151"/>
        </w:trPr>
        <w:tc>
          <w:tcPr>
            <w:tcW w:w="5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Weighted-average shares outstanding—diluted</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35,796,406</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37,441,503</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3"/>
                <w:szCs w:val="13"/>
                <w:color w:val="auto"/>
              </w:rPr>
            </w:pPr>
          </w:p>
        </w:tc>
      </w:tr>
      <w:tr>
        <w:trPr>
          <w:trHeight w:val="144"/>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per share—basic</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(0.23)</w:t>
            </w:r>
          </w:p>
        </w:tc>
        <w:tc>
          <w:tcPr>
            <w:tcW w:w="20" w:type="dxa"/>
            <w:vAlign w:val="bottom"/>
          </w:tcPr>
          <w:p>
            <w:pPr>
              <w:spacing w:after="0"/>
              <w:rPr>
                <w:sz w:val="12"/>
                <w:szCs w:val="12"/>
                <w:color w:val="auto"/>
              </w:rPr>
            </w:pPr>
          </w:p>
        </w:tc>
      </w:tr>
      <w:tr>
        <w:trPr>
          <w:trHeight w:val="151"/>
        </w:trPr>
        <w:tc>
          <w:tcPr>
            <w:tcW w:w="5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 (loss) per share—diluted</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0.68</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0.67</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(0.23)</w:t>
            </w:r>
          </w:p>
        </w:tc>
        <w:tc>
          <w:tcPr>
            <w:tcW w:w="20" w:type="dxa"/>
            <w:vAlign w:val="bottom"/>
          </w:tcPr>
          <w:p>
            <w:pPr>
              <w:spacing w:after="0"/>
              <w:rPr>
                <w:sz w:val="13"/>
                <w:szCs w:val="13"/>
                <w:color w:val="auto"/>
              </w:rPr>
            </w:pPr>
          </w:p>
        </w:tc>
      </w:tr>
      <w:tr>
        <w:trPr>
          <w:trHeight w:val="144"/>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Anti-dilutive securities not considered in diluted EPS calculation</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81,041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526,295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2,593,104</w:t>
            </w:r>
          </w:p>
        </w:tc>
        <w:tc>
          <w:tcPr>
            <w:tcW w:w="20" w:type="dxa"/>
            <w:vAlign w:val="bottom"/>
          </w:tcPr>
          <w:p>
            <w:pPr>
              <w:spacing w:after="0"/>
              <w:rPr>
                <w:sz w:val="12"/>
                <w:szCs w:val="12"/>
                <w:color w:val="auto"/>
              </w:rPr>
            </w:pPr>
          </w:p>
        </w:tc>
      </w:tr>
      <w:tr>
        <w:trPr>
          <w:trHeight w:val="288"/>
        </w:trPr>
        <w:tc>
          <w:tcPr>
            <w:tcW w:w="5600" w:type="dxa"/>
            <w:vAlign w:val="bottom"/>
          </w:tcPr>
          <w:p>
            <w:pPr>
              <w:spacing w:after="0"/>
              <w:rPr>
                <w:sz w:val="20"/>
                <w:szCs w:val="20"/>
                <w:color w:val="auto"/>
              </w:rPr>
            </w:pPr>
            <w:r>
              <w:rPr>
                <w:rFonts w:ascii="Arial" w:cs="Arial" w:eastAsia="Arial" w:hAnsi="Arial"/>
                <w:sz w:val="12"/>
                <w:szCs w:val="12"/>
                <w:color w:val="auto"/>
              </w:rPr>
              <w:t>Below is a reconciliation of basic and diluted share counts.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0"/>
                <w:szCs w:val="10"/>
                <w:b w:val="1"/>
                <w:bCs w:val="1"/>
                <w:color w:val="auto"/>
                <w:w w:val="86"/>
              </w:rPr>
              <w:t>For the Years Ended</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5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ind w:left="200"/>
              <w:spacing w:after="0" w:line="88" w:lineRule="exact"/>
              <w:rPr>
                <w:sz w:val="20"/>
                <w:szCs w:val="20"/>
                <w:color w:val="auto"/>
              </w:rPr>
            </w:pPr>
            <w:r>
              <w:rPr>
                <w:rFonts w:ascii="Arial" w:cs="Arial" w:eastAsia="Arial" w:hAnsi="Arial"/>
                <w:sz w:val="10"/>
                <w:szCs w:val="10"/>
                <w:b w:val="1"/>
                <w:bCs w:val="1"/>
                <w:color w:val="auto"/>
              </w:rPr>
              <w:t>December 30,</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tcPr>
          <w:p>
            <w:pPr>
              <w:jc w:val="center"/>
              <w:ind w:right="60"/>
              <w:spacing w:after="0" w:line="88" w:lineRule="exact"/>
              <w:rPr>
                <w:sz w:val="20"/>
                <w:szCs w:val="20"/>
                <w:color w:val="auto"/>
              </w:rPr>
            </w:pPr>
            <w:r>
              <w:rPr>
                <w:rFonts w:ascii="Arial" w:cs="Arial" w:eastAsia="Arial" w:hAnsi="Arial"/>
                <w:sz w:val="10"/>
                <w:szCs w:val="10"/>
                <w:b w:val="1"/>
                <w:bCs w:val="1"/>
                <w:color w:val="auto"/>
                <w:w w:val="86"/>
              </w:rPr>
              <w:t>December 25,</w:t>
            </w:r>
          </w:p>
        </w:tc>
        <w:tc>
          <w:tcPr>
            <w:tcW w:w="80" w:type="dxa"/>
            <w:vAlign w:val="bottom"/>
          </w:tcPr>
          <w:p>
            <w:pPr>
              <w:spacing w:after="0"/>
              <w:rPr>
                <w:sz w:val="7"/>
                <w:szCs w:val="7"/>
                <w:color w:val="auto"/>
              </w:rPr>
            </w:pPr>
          </w:p>
        </w:tc>
        <w:tc>
          <w:tcPr>
            <w:tcW w:w="940" w:type="dxa"/>
            <w:vAlign w:val="bottom"/>
          </w:tcPr>
          <w:p>
            <w:pPr>
              <w:jc w:val="right"/>
              <w:ind w:right="124"/>
              <w:spacing w:after="0" w:line="88" w:lineRule="exact"/>
              <w:rPr>
                <w:sz w:val="20"/>
                <w:szCs w:val="20"/>
                <w:color w:val="auto"/>
              </w:rPr>
            </w:pPr>
            <w:r>
              <w:rPr>
                <w:rFonts w:ascii="Arial" w:cs="Arial" w:eastAsia="Arial" w:hAnsi="Arial"/>
                <w:sz w:val="10"/>
                <w:szCs w:val="10"/>
                <w:b w:val="1"/>
                <w:bCs w:val="1"/>
                <w:color w:val="auto"/>
              </w:rPr>
              <w:t>December 26,</w:t>
            </w:r>
          </w:p>
        </w:tc>
        <w:tc>
          <w:tcPr>
            <w:tcW w:w="20" w:type="dxa"/>
            <w:vAlign w:val="bottom"/>
          </w:tcPr>
          <w:p>
            <w:pPr>
              <w:spacing w:after="0"/>
              <w:rPr>
                <w:sz w:val="7"/>
                <w:szCs w:val="7"/>
                <w:color w:val="auto"/>
              </w:rPr>
            </w:pPr>
          </w:p>
        </w:tc>
      </w:tr>
      <w:tr>
        <w:trPr>
          <w:trHeight w:val="99"/>
        </w:trPr>
        <w:tc>
          <w:tcPr>
            <w:tcW w:w="5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24"/>
              <w:spacing w:after="0" w:line="99" w:lineRule="exact"/>
              <w:rPr>
                <w:sz w:val="20"/>
                <w:szCs w:val="20"/>
                <w:color w:val="auto"/>
              </w:rPr>
            </w:pPr>
            <w:r>
              <w:rPr>
                <w:rFonts w:ascii="Arial" w:cs="Arial" w:eastAsia="Arial" w:hAnsi="Arial"/>
                <w:sz w:val="10"/>
                <w:szCs w:val="10"/>
                <w:b w:val="1"/>
                <w:bCs w:val="1"/>
                <w:color w:val="auto"/>
              </w:rPr>
              <w:t>2020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center"/>
              <w:ind w:left="164"/>
              <w:spacing w:after="0" w:line="99" w:lineRule="exact"/>
              <w:rPr>
                <w:sz w:val="20"/>
                <w:szCs w:val="20"/>
                <w:color w:val="auto"/>
              </w:rPr>
            </w:pPr>
            <w:r>
              <w:rPr>
                <w:rFonts w:ascii="Arial" w:cs="Arial" w:eastAsia="Arial" w:hAnsi="Arial"/>
                <w:sz w:val="10"/>
                <w:szCs w:val="10"/>
                <w:b w:val="1"/>
                <w:bCs w:val="1"/>
                <w:color w:val="auto"/>
                <w:w w:val="89"/>
              </w:rPr>
              <w:t>2019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304"/>
              <w:spacing w:after="0" w:line="99"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8"/>
                <w:szCs w:val="8"/>
                <w:color w:val="auto"/>
              </w:rPr>
            </w:pPr>
          </w:p>
        </w:tc>
      </w:tr>
      <w:tr>
        <w:trPr>
          <w:trHeight w:val="133"/>
        </w:trPr>
        <w:tc>
          <w:tcPr>
            <w:tcW w:w="5600" w:type="dxa"/>
            <w:vAlign w:val="bottom"/>
          </w:tcPr>
          <w:p>
            <w:pPr>
              <w:spacing w:after="0" w:line="133" w:lineRule="exact"/>
              <w:rPr>
                <w:sz w:val="20"/>
                <w:szCs w:val="20"/>
                <w:color w:val="auto"/>
              </w:rPr>
            </w:pPr>
            <w:r>
              <w:rPr>
                <w:rFonts w:ascii="Arial" w:cs="Arial" w:eastAsia="Arial" w:hAnsi="Arial"/>
                <w:sz w:val="12"/>
                <w:szCs w:val="12"/>
                <w:color w:val="auto"/>
              </w:rPr>
              <w:t>Weighted-average shares outstanding—basic</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35,193,325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36,739,209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1"/>
                <w:szCs w:val="11"/>
                <w:color w:val="auto"/>
              </w:rPr>
            </w:pPr>
          </w:p>
        </w:tc>
      </w:tr>
      <w:tr>
        <w:trPr>
          <w:trHeight w:val="144"/>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Dilutive effect of stock options and restricted shares</w:t>
            </w:r>
          </w:p>
        </w:tc>
        <w:tc>
          <w:tcPr>
            <w:tcW w:w="16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603,081</w:t>
            </w:r>
          </w:p>
        </w:tc>
        <w:tc>
          <w:tcPr>
            <w:tcW w:w="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702,294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0"/>
        </w:trPr>
        <w:tc>
          <w:tcPr>
            <w:tcW w:w="5600" w:type="dxa"/>
            <w:vAlign w:val="bottom"/>
          </w:tcPr>
          <w:p>
            <w:pPr>
              <w:spacing w:after="0" w:line="133" w:lineRule="exact"/>
              <w:rPr>
                <w:sz w:val="20"/>
                <w:szCs w:val="20"/>
                <w:color w:val="auto"/>
              </w:rPr>
            </w:pPr>
            <w:r>
              <w:rPr>
                <w:rFonts w:ascii="Arial" w:cs="Arial" w:eastAsia="Arial" w:hAnsi="Arial"/>
                <w:sz w:val="12"/>
                <w:szCs w:val="12"/>
                <w:color w:val="auto"/>
              </w:rPr>
              <w:t>Weighted-average shares outstanding—diluted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35,796,406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color w:val="auto"/>
              </w:rPr>
              <w:t>37,441,503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38,574,553</w:t>
            </w:r>
          </w:p>
        </w:tc>
        <w:tc>
          <w:tcPr>
            <w:tcW w:w="20" w:type="dxa"/>
            <w:vAlign w:val="bottom"/>
          </w:tcPr>
          <w:p>
            <w:pPr>
              <w:spacing w:after="0"/>
              <w:rPr>
                <w:sz w:val="12"/>
                <w:szCs w:val="12"/>
                <w:color w:val="auto"/>
              </w:rPr>
            </w:pPr>
          </w:p>
        </w:tc>
      </w:tr>
    </w:tbl>
    <w:p>
      <w:pPr>
        <w:spacing w:after="0" w:line="140" w:lineRule="exact"/>
        <w:rPr>
          <w:sz w:val="20"/>
          <w:szCs w:val="20"/>
          <w:color w:val="auto"/>
        </w:rPr>
      </w:pPr>
    </w:p>
    <w:p>
      <w:pPr>
        <w:ind w:left="20" w:right="6519" w:firstLine="2"/>
        <w:spacing w:after="0" w:line="504" w:lineRule="auto"/>
        <w:tabs>
          <w:tab w:leader="none" w:pos="200"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Legal Matters</w:t>
      </w:r>
    </w:p>
    <w:p>
      <w:pPr>
        <w:ind w:left="20" w:right="59"/>
        <w:spacing w:after="0" w:line="306" w:lineRule="auto"/>
        <w:rPr>
          <w:sz w:val="20"/>
          <w:szCs w:val="20"/>
          <w:color w:val="auto"/>
        </w:rPr>
      </w:pPr>
      <w:r>
        <w:rPr>
          <w:rFonts w:ascii="Arial" w:cs="Arial" w:eastAsia="Arial" w:hAnsi="Arial"/>
          <w:sz w:val="10"/>
          <w:szCs w:val="10"/>
          <w:color w:val="auto"/>
        </w:rPr>
        <w:t xml:space="preserve">On or about February 24, 2014, a former employee filed a class action in the Superior Court of the State of California, County of Orange, under the caption </w:t>
      </w:r>
      <w:r>
        <w:rPr>
          <w:rFonts w:ascii="Arial" w:cs="Arial" w:eastAsia="Arial" w:hAnsi="Arial"/>
          <w:sz w:val="10"/>
          <w:szCs w:val="10"/>
          <w:u w:val="single" w:color="auto"/>
          <w:color w:val="auto"/>
        </w:rPr>
        <w:t>Elliott Olvera, et al v. El Pollo</w:t>
      </w:r>
      <w:r>
        <w:rPr>
          <w:rFonts w:ascii="Arial" w:cs="Arial" w:eastAsia="Arial" w:hAnsi="Arial"/>
          <w:sz w:val="10"/>
          <w:szCs w:val="10"/>
          <w:color w:val="auto"/>
        </w:rPr>
        <w:t xml:space="preserve"> </w:t>
      </w:r>
      <w:r>
        <w:rPr>
          <w:rFonts w:ascii="Arial" w:cs="Arial" w:eastAsia="Arial" w:hAnsi="Arial"/>
          <w:sz w:val="10"/>
          <w:szCs w:val="10"/>
          <w:u w:val="single" w:color="auto"/>
          <w:color w:val="auto"/>
        </w:rPr>
        <w:t>Loco, Inc., et al</w:t>
      </w:r>
      <w:r>
        <w:rPr>
          <w:rFonts w:ascii="Arial" w:cs="Arial" w:eastAsia="Arial" w:hAnsi="Arial"/>
          <w:sz w:val="10"/>
          <w:szCs w:val="10"/>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Arial" w:cs="Arial" w:eastAsia="Arial" w:hAnsi="Arial"/>
          <w:sz w:val="10"/>
          <w:szCs w:val="10"/>
          <w:u w:val="single" w:color="auto"/>
          <w:color w:val="auto"/>
        </w:rPr>
        <w:t>Olvera</w:t>
      </w:r>
      <w:r>
        <w:rPr>
          <w:rFonts w:ascii="Arial" w:cs="Arial" w:eastAsia="Arial" w:hAnsi="Arial"/>
          <w:sz w:val="10"/>
          <w:szCs w:val="10"/>
          <w:color w:val="auto"/>
        </w:rPr>
        <w:t xml:space="preserve"> Action, as well as all claims for failure to pay overtime compensation, failure to provide meal periods and rest breaks, and failure to provide itemized wage statements brought in the class actions captioned </w:t>
      </w:r>
      <w:r>
        <w:rPr>
          <w:rFonts w:ascii="Arial" w:cs="Arial" w:eastAsia="Arial" w:hAnsi="Arial"/>
          <w:sz w:val="10"/>
          <w:szCs w:val="10"/>
          <w:u w:val="single" w:color="auto"/>
          <w:color w:val="auto"/>
        </w:rPr>
        <w:t>Martha Perez v. El Pollo Loco, Inc.</w:t>
      </w:r>
      <w:r>
        <w:rPr>
          <w:rFonts w:ascii="Arial" w:cs="Arial" w:eastAsia="Arial" w:hAnsi="Arial"/>
          <w:sz w:val="10"/>
          <w:szCs w:val="10"/>
          <w:color w:val="auto"/>
        </w:rPr>
        <w:t xml:space="preserve"> (Los Angeles Superior Court Case No. BC624001), </w:t>
      </w:r>
      <w:r>
        <w:rPr>
          <w:rFonts w:ascii="Arial" w:cs="Arial" w:eastAsia="Arial" w:hAnsi="Arial"/>
          <w:sz w:val="10"/>
          <w:szCs w:val="10"/>
          <w:u w:val="single" w:color="auto"/>
          <w:color w:val="auto"/>
        </w:rPr>
        <w:t>Maria Vega, et al. v. El Pollo Loco, Inc.</w:t>
      </w:r>
      <w:r>
        <w:rPr>
          <w:rFonts w:ascii="Arial" w:cs="Arial" w:eastAsia="Arial" w:hAnsi="Arial"/>
          <w:sz w:val="10"/>
          <w:szCs w:val="10"/>
          <w:color w:val="auto"/>
        </w:rPr>
        <w:t xml:space="preserve"> (Los Angeles Superior Court Case No. BC649719), and </w:t>
      </w:r>
      <w:r>
        <w:rPr>
          <w:rFonts w:ascii="Arial" w:cs="Arial" w:eastAsia="Arial" w:hAnsi="Arial"/>
          <w:sz w:val="10"/>
          <w:szCs w:val="10"/>
          <w:u w:val="single" w:color="auto"/>
          <w:color w:val="auto"/>
        </w:rPr>
        <w:t>Gonzalez v. El Pollo Loco, Inc.</w:t>
      </w:r>
      <w:r>
        <w:rPr>
          <w:rFonts w:ascii="Arial" w:cs="Arial" w:eastAsia="Arial" w:hAnsi="Arial"/>
          <w:sz w:val="10"/>
          <w:szCs w:val="10"/>
          <w:color w:val="auto"/>
        </w:rPr>
        <w:t xml:space="preserve"> (Los Angeles Superior Court Case No. BC712867). The settlement reached in principle in the </w:t>
      </w:r>
      <w:r>
        <w:rPr>
          <w:rFonts w:ascii="Arial" w:cs="Arial" w:eastAsia="Arial" w:hAnsi="Arial"/>
          <w:sz w:val="10"/>
          <w:szCs w:val="10"/>
          <w:u w:val="single" w:color="auto"/>
          <w:color w:val="auto"/>
        </w:rPr>
        <w:t>Olvera</w:t>
      </w:r>
      <w:r>
        <w:rPr>
          <w:rFonts w:ascii="Arial" w:cs="Arial" w:eastAsia="Arial" w:hAnsi="Arial"/>
          <w:sz w:val="10"/>
          <w:szCs w:val="10"/>
          <w:color w:val="auto"/>
        </w:rPr>
        <w:t xml:space="preserve">, </w:t>
      </w:r>
      <w:r>
        <w:rPr>
          <w:rFonts w:ascii="Arial" w:cs="Arial" w:eastAsia="Arial" w:hAnsi="Arial"/>
          <w:sz w:val="10"/>
          <w:szCs w:val="10"/>
          <w:u w:val="single" w:color="auto"/>
          <w:color w:val="auto"/>
        </w:rPr>
        <w:t>Perez</w:t>
      </w:r>
      <w:r>
        <w:rPr>
          <w:rFonts w:ascii="Arial" w:cs="Arial" w:eastAsia="Arial" w:hAnsi="Arial"/>
          <w:sz w:val="10"/>
          <w:szCs w:val="10"/>
          <w:color w:val="auto"/>
        </w:rPr>
        <w:t xml:space="preserve">, </w:t>
      </w:r>
      <w:r>
        <w:rPr>
          <w:rFonts w:ascii="Arial" w:cs="Arial" w:eastAsia="Arial" w:hAnsi="Arial"/>
          <w:sz w:val="10"/>
          <w:szCs w:val="10"/>
          <w:u w:val="single" w:color="auto"/>
          <w:color w:val="auto"/>
        </w:rPr>
        <w:t>Vega</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Gonzalez</w:t>
      </w:r>
      <w:r>
        <w:rPr>
          <w:rFonts w:ascii="Arial" w:cs="Arial" w:eastAsia="Arial" w:hAnsi="Arial"/>
          <w:sz w:val="10"/>
          <w:szCs w:val="10"/>
          <w:color w:val="auto"/>
        </w:rPr>
        <w:t xml:space="preserve"> actions resolves all potential claims from April 12, 2010 through April 1, 2019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251" w:lineRule="exact"/>
        <w:rPr>
          <w:sz w:val="20"/>
          <w:szCs w:val="20"/>
          <w:color w:val="auto"/>
        </w:rPr>
      </w:pPr>
    </w:p>
    <w:p>
      <w:pPr>
        <w:ind w:left="20" w:right="319"/>
        <w:spacing w:after="0" w:line="323" w:lineRule="auto"/>
        <w:rPr>
          <w:sz w:val="20"/>
          <w:szCs w:val="20"/>
          <w:color w:val="auto"/>
        </w:rPr>
      </w:pPr>
      <w:r>
        <w:rPr>
          <w:rFonts w:ascii="Arial" w:cs="Arial" w:eastAsia="Arial" w:hAnsi="Arial"/>
          <w:sz w:val="11"/>
          <w:szCs w:val="11"/>
          <w:u w:val="single" w:color="auto"/>
          <w:color w:val="auto"/>
        </w:rPr>
        <w:t>Daniel Turocy, et al. v. El Pollo Loco Holdings, Inc., et al.</w:t>
      </w:r>
      <w:r>
        <w:rPr>
          <w:rFonts w:ascii="Arial" w:cs="Arial" w:eastAsia="Arial" w:hAnsi="Arial"/>
          <w:sz w:val="11"/>
          <w:szCs w:val="11"/>
          <w:color w:val="auto"/>
        </w:rPr>
        <w:t xml:space="preserve"> (Case No. 8:15-cv-01343) was filed in the United States District Court for the Central District of California on August 24, 2015, and </w:t>
      </w:r>
      <w:r>
        <w:rPr>
          <w:rFonts w:ascii="Arial" w:cs="Arial" w:eastAsia="Arial" w:hAnsi="Arial"/>
          <w:sz w:val="11"/>
          <w:szCs w:val="11"/>
          <w:u w:val="single" w:color="auto"/>
          <w:color w:val="auto"/>
        </w:rPr>
        <w:t>Ron Huston, et al. v. El Pollo Loco Holdings, Inc., et al.</w:t>
      </w:r>
      <w:r>
        <w:rPr>
          <w:rFonts w:ascii="Arial" w:cs="Arial" w:eastAsia="Arial" w:hAnsi="Arial"/>
          <w:sz w:val="11"/>
          <w:szCs w:val="11"/>
          <w:color w:val="auto"/>
        </w:rPr>
        <w:t xml:space="preserve"> (Case No. 8:15-cv-01710) was filed in the United States District Court for the Central District of</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6" w:name="page97"/>
    <w:bookmarkEnd w:id="9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59"/>
        <w:spacing w:after="0" w:line="308" w:lineRule="auto"/>
        <w:rPr>
          <w:sz w:val="20"/>
          <w:szCs w:val="20"/>
          <w:color w:val="auto"/>
        </w:rPr>
      </w:pPr>
      <w:r>
        <w:rPr>
          <w:rFonts w:ascii="Arial" w:cs="Arial" w:eastAsia="Arial" w:hAnsi="Arial"/>
          <w:sz w:val="10"/>
          <w:szCs w:val="10"/>
          <w:color w:val="auto"/>
        </w:rPr>
        <w:t>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05" w:lineRule="exact"/>
        <w:rPr>
          <w:sz w:val="20"/>
          <w:szCs w:val="20"/>
          <w:color w:val="auto"/>
        </w:rPr>
      </w:pPr>
    </w:p>
    <w:p>
      <w:pPr>
        <w:ind w:left="20" w:right="39"/>
        <w:spacing w:after="0" w:line="283" w:lineRule="auto"/>
        <w:rPr>
          <w:sz w:val="20"/>
          <w:szCs w:val="20"/>
          <w:color w:val="auto"/>
        </w:rPr>
      </w:pPr>
      <w:r>
        <w:rPr>
          <w:rFonts w:ascii="Arial" w:cs="Arial" w:eastAsia="Arial" w:hAnsi="Arial"/>
          <w:sz w:val="11"/>
          <w:szCs w:val="11"/>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113" w:lineRule="exact"/>
        <w:rPr>
          <w:sz w:val="20"/>
          <w:szCs w:val="20"/>
          <w:color w:val="auto"/>
        </w:rPr>
      </w:pPr>
    </w:p>
    <w:p>
      <w:pPr>
        <w:ind w:left="20" w:right="139"/>
        <w:spacing w:after="0" w:line="283" w:lineRule="auto"/>
        <w:rPr>
          <w:sz w:val="20"/>
          <w:szCs w:val="20"/>
          <w:color w:val="auto"/>
        </w:rPr>
      </w:pPr>
      <w:r>
        <w:rPr>
          <w:rFonts w:ascii="Arial" w:cs="Arial" w:eastAsia="Arial" w:hAnsi="Arial"/>
          <w:sz w:val="11"/>
          <w:szCs w:val="11"/>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and did so file, a Stipulation of Settlement and a motion for preliminary approval of the settlement. The court granted preliminary approval of the settlement on May 13, 2019. Defendants maintain that the Plaintiffs’ claims are without merit, and entered into the settlement with Plaintiffs to eliminate the uncertainties, burden and expense of further protracted litigation. A $20.0 million accrual of an expected settlement amount related to this matter was recorded as of December 26, 2018 and all settlement payments were made during the year ended December 25, 2019.</w:t>
      </w:r>
    </w:p>
    <w:p>
      <w:pPr>
        <w:spacing w:after="0" w:line="113" w:lineRule="exact"/>
        <w:rPr>
          <w:sz w:val="20"/>
          <w:szCs w:val="20"/>
          <w:color w:val="auto"/>
        </w:rPr>
      </w:pPr>
    </w:p>
    <w:p>
      <w:pPr>
        <w:ind w:left="20" w:right="79"/>
        <w:spacing w:after="0" w:line="279" w:lineRule="auto"/>
        <w:rPr>
          <w:sz w:val="20"/>
          <w:szCs w:val="20"/>
          <w:color w:val="auto"/>
        </w:rPr>
      </w:pPr>
      <w:r>
        <w:rPr>
          <w:rFonts w:ascii="Arial" w:cs="Arial" w:eastAsia="Arial" w:hAnsi="Arial"/>
          <w:sz w:val="11"/>
          <w:szCs w:val="11"/>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1"/>
          <w:szCs w:val="11"/>
          <w:u w:val="single" w:color="auto"/>
          <w:color w:val="auto"/>
        </w:rPr>
        <w:t>Armen Galustyan v. Sather, et al.</w:t>
      </w:r>
      <w:r>
        <w:rPr>
          <w:rFonts w:ascii="Arial" w:cs="Arial" w:eastAsia="Arial" w:hAnsi="Arial"/>
          <w:sz w:val="11"/>
          <w:szCs w:val="11"/>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1"/>
          <w:szCs w:val="11"/>
          <w:u w:val="single" w:color="auto"/>
          <w:color w:val="auto"/>
        </w:rPr>
        <w:t>Turocy v. El Pollo Loco Holdings, Inc.</w:t>
      </w:r>
      <w:r>
        <w:rPr>
          <w:rFonts w:ascii="Arial" w:cs="Arial" w:eastAsia="Arial" w:hAnsi="Arial"/>
          <w:sz w:val="11"/>
          <w:szCs w:val="11"/>
          <w:color w:val="auto"/>
        </w:rPr>
        <w:t xml:space="preserve">, discussed above. A second purported Holdings shareholder filed a derivative complaint on or about September 23, 2016, under the caption </w:t>
      </w:r>
      <w:r>
        <w:rPr>
          <w:rFonts w:ascii="Arial" w:cs="Arial" w:eastAsia="Arial" w:hAnsi="Arial"/>
          <w:sz w:val="11"/>
          <w:szCs w:val="11"/>
          <w:u w:val="single" w:color="auto"/>
          <w:color w:val="auto"/>
        </w:rPr>
        <w:t>Diep v. Sather</w:t>
      </w:r>
      <w:r>
        <w:rPr>
          <w:rFonts w:ascii="Arial" w:cs="Arial" w:eastAsia="Arial" w:hAnsi="Arial"/>
          <w:sz w:val="11"/>
          <w:szCs w:val="11"/>
          <w:color w:val="auto"/>
        </w:rPr>
        <w:t xml:space="preserve">, CA 12760-VCL in the Delaware Court of Chancery. The </w:t>
      </w:r>
      <w:r>
        <w:rPr>
          <w:rFonts w:ascii="Arial" w:cs="Arial" w:eastAsia="Arial" w:hAnsi="Arial"/>
          <w:sz w:val="11"/>
          <w:szCs w:val="11"/>
          <w:u w:val="single" w:color="auto"/>
          <w:color w:val="auto"/>
        </w:rPr>
        <w:t>Diep</w:t>
      </w:r>
      <w:r>
        <w:rPr>
          <w:rFonts w:ascii="Arial" w:cs="Arial" w:eastAsia="Arial" w:hAnsi="Arial"/>
          <w:sz w:val="11"/>
          <w:szCs w:val="11"/>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1"/>
          <w:szCs w:val="11"/>
          <w:u w:val="single" w:color="auto"/>
          <w:color w:val="auto"/>
        </w:rPr>
        <w:t>Galustyan</w:t>
      </w:r>
      <w:r>
        <w:rPr>
          <w:rFonts w:ascii="Arial" w:cs="Arial" w:eastAsia="Arial" w:hAnsi="Arial"/>
          <w:sz w:val="11"/>
          <w:szCs w:val="11"/>
          <w:color w:val="auto"/>
        </w:rPr>
        <w:t xml:space="preserve">. Defendants moved to stay or dismiss the </w:t>
      </w:r>
      <w:r>
        <w:rPr>
          <w:rFonts w:ascii="Arial" w:cs="Arial" w:eastAsia="Arial" w:hAnsi="Arial"/>
          <w:sz w:val="11"/>
          <w:szCs w:val="11"/>
          <w:u w:val="single" w:color="auto"/>
          <w:color w:val="auto"/>
        </w:rPr>
        <w:t>Diep</w:t>
      </w:r>
      <w:r>
        <w:rPr>
          <w:rFonts w:ascii="Arial" w:cs="Arial" w:eastAsia="Arial" w:hAnsi="Arial"/>
          <w:sz w:val="11"/>
          <w:szCs w:val="11"/>
          <w:color w:val="auto"/>
        </w:rPr>
        <w:t xml:space="preserve"> action.</w:t>
      </w:r>
    </w:p>
    <w:p>
      <w:pPr>
        <w:spacing w:after="0" w:line="117" w:lineRule="exact"/>
        <w:rPr>
          <w:sz w:val="20"/>
          <w:szCs w:val="20"/>
          <w:color w:val="auto"/>
        </w:rPr>
      </w:pPr>
    </w:p>
    <w:p>
      <w:pPr>
        <w:ind w:left="20" w:right="79"/>
        <w:spacing w:after="0" w:line="276" w:lineRule="auto"/>
        <w:rPr>
          <w:sz w:val="20"/>
          <w:szCs w:val="20"/>
          <w:color w:val="auto"/>
        </w:rPr>
      </w:pPr>
      <w:r>
        <w:rPr>
          <w:rFonts w:ascii="Arial" w:cs="Arial" w:eastAsia="Arial" w:hAnsi="Arial"/>
          <w:sz w:val="12"/>
          <w:szCs w:val="12"/>
          <w:color w:val="auto"/>
        </w:rPr>
        <w:t xml:space="preserve">On March 17, 2017, the Delaware court granted in part, and denied in part, the motion to stay the </w:t>
      </w:r>
      <w:r>
        <w:rPr>
          <w:rFonts w:ascii="Arial" w:cs="Arial" w:eastAsia="Arial" w:hAnsi="Arial"/>
          <w:sz w:val="12"/>
          <w:szCs w:val="12"/>
          <w:u w:val="single" w:color="auto"/>
          <w:color w:val="auto"/>
        </w:rPr>
        <w:t>Diep</w:t>
      </w:r>
      <w:r>
        <w:rPr>
          <w:rFonts w:ascii="Arial" w:cs="Arial" w:eastAsia="Arial" w:hAnsi="Arial"/>
          <w:sz w:val="12"/>
          <w:szCs w:val="12"/>
          <w:color w:val="auto"/>
        </w:rPr>
        <w:t xml:space="preserve"> action. The court denied defendants’ motion to dismiss the complaint for failure to state a claim. On January 17, 2018, the court entered an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7" w:name="page98"/>
    <w:bookmarkEnd w:id="9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79"/>
        <w:spacing w:after="0" w:line="285" w:lineRule="auto"/>
        <w:rPr>
          <w:sz w:val="20"/>
          <w:szCs w:val="20"/>
          <w:color w:val="auto"/>
        </w:rPr>
      </w:pPr>
      <w:r>
        <w:rPr>
          <w:rFonts w:ascii="Arial" w:cs="Arial" w:eastAsia="Arial" w:hAnsi="Arial"/>
          <w:sz w:val="11"/>
          <w:szCs w:val="11"/>
          <w:color w:val="auto"/>
        </w:rPr>
        <w:t xml:space="preserve">order granting the parties’ stipulation staying all proceedings in the </w:t>
      </w:r>
      <w:r>
        <w:rPr>
          <w:rFonts w:ascii="Arial" w:cs="Arial" w:eastAsia="Arial" w:hAnsi="Arial"/>
          <w:sz w:val="11"/>
          <w:szCs w:val="11"/>
          <w:u w:val="single" w:color="auto"/>
          <w:color w:val="auto"/>
        </w:rPr>
        <w:t>Diep</w:t>
      </w:r>
      <w:r>
        <w:rPr>
          <w:rFonts w:ascii="Arial" w:cs="Arial" w:eastAsia="Arial" w:hAnsi="Arial"/>
          <w:sz w:val="11"/>
          <w:szCs w:val="11"/>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Following discovery related to the SLC’s motion, on September 25, 2020, the SLC filed its opening brief with the Delaware court in support of the motion to dismiss. Plaintiff filed his brief in Opposition to SLC’s motion to dismiss on or about January 7, 2021. SLC filed its reply brief on or about January 21, 2021. The hearing for the motion to dismiss is currently scheduled for April 23, 2021.</w:t>
      </w:r>
    </w:p>
    <w:p>
      <w:pPr>
        <w:spacing w:after="0" w:line="113" w:lineRule="exact"/>
        <w:rPr>
          <w:sz w:val="20"/>
          <w:szCs w:val="20"/>
          <w:color w:val="auto"/>
        </w:rPr>
      </w:pPr>
    </w:p>
    <w:p>
      <w:pPr>
        <w:ind w:left="20" w:right="39"/>
        <w:spacing w:after="0" w:line="274" w:lineRule="auto"/>
        <w:rPr>
          <w:sz w:val="20"/>
          <w:szCs w:val="20"/>
          <w:color w:val="auto"/>
        </w:rPr>
      </w:pPr>
      <w:r>
        <w:rPr>
          <w:rFonts w:ascii="Arial" w:cs="Arial" w:eastAsia="Arial" w:hAnsi="Arial"/>
          <w:sz w:val="11"/>
          <w:szCs w:val="11"/>
          <w:u w:val="single" w:color="auto"/>
          <w:color w:val="auto"/>
        </w:rPr>
        <w:t>Janice P. Handlers-Bryman and Michael D. Bryman v. El Pollo Loco, Inc.</w:t>
      </w:r>
      <w:r>
        <w:rPr>
          <w:rFonts w:ascii="Arial" w:cs="Arial" w:eastAsia="Arial" w:hAnsi="Arial"/>
          <w:sz w:val="11"/>
          <w:szCs w:val="11"/>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w:t>
      </w:r>
    </w:p>
    <w:p>
      <w:pPr>
        <w:spacing w:after="0" w:line="4" w:lineRule="exact"/>
        <w:rPr>
          <w:sz w:val="20"/>
          <w:szCs w:val="20"/>
          <w:color w:val="auto"/>
        </w:rPr>
      </w:pPr>
    </w:p>
    <w:p>
      <w:pPr>
        <w:ind w:left="20" w:right="239"/>
        <w:spacing w:after="0" w:line="273" w:lineRule="auto"/>
        <w:rPr>
          <w:sz w:val="20"/>
          <w:szCs w:val="20"/>
          <w:color w:val="auto"/>
        </w:rPr>
      </w:pPr>
      <w:r>
        <w:rPr>
          <w:rFonts w:ascii="Arial" w:cs="Arial" w:eastAsia="Arial" w:hAnsi="Arial"/>
          <w:sz w:val="11"/>
          <w:szCs w:val="11"/>
          <w:color w:val="auto"/>
        </w:rPr>
        <w:t>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w:t>
      </w:r>
    </w:p>
    <w:p>
      <w:pPr>
        <w:ind w:left="20" w:right="79"/>
        <w:spacing w:after="0" w:line="253" w:lineRule="auto"/>
        <w:rPr>
          <w:sz w:val="20"/>
          <w:szCs w:val="20"/>
          <w:color w:val="auto"/>
        </w:rPr>
      </w:pPr>
      <w:r>
        <w:rPr>
          <w:rFonts w:ascii="Arial" w:cs="Arial" w:eastAsia="Arial" w:hAnsi="Arial"/>
          <w:sz w:val="12"/>
          <w:szCs w:val="12"/>
          <w:color w:val="auto"/>
        </w:rPr>
        <w:t>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28" w:lineRule="exact"/>
        <w:rPr>
          <w:sz w:val="20"/>
          <w:szCs w:val="20"/>
          <w:color w:val="auto"/>
        </w:rPr>
      </w:pPr>
    </w:p>
    <w:p>
      <w:pPr>
        <w:ind w:left="20" w:right="99"/>
        <w:spacing w:after="0" w:line="303" w:lineRule="auto"/>
        <w:rPr>
          <w:sz w:val="20"/>
          <w:szCs w:val="20"/>
          <w:color w:val="auto"/>
        </w:rPr>
      </w:pPr>
      <w:r>
        <w:rPr>
          <w:rFonts w:ascii="Arial" w:cs="Arial" w:eastAsia="Arial" w:hAnsi="Arial"/>
          <w:sz w:val="10"/>
          <w:szCs w:val="10"/>
          <w:color w:val="auto"/>
        </w:rPr>
        <w:t>The damages phase of the trial commenced on April 20, 2018. On May 1, 2018, the jury returned a verdict on damages in favor of Plaintiffs in the following amounts: (1) $4,356,600 in “impact damages” arising out of our construction of the two new company-operated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w:t>
      </w:r>
    </w:p>
    <w:p>
      <w:pPr>
        <w:spacing w:after="0" w:line="1" w:lineRule="exact"/>
        <w:rPr>
          <w:sz w:val="20"/>
          <w:szCs w:val="20"/>
          <w:color w:val="auto"/>
        </w:rPr>
      </w:pPr>
    </w:p>
    <w:p>
      <w:pPr>
        <w:ind w:left="20" w:right="79"/>
        <w:spacing w:after="0" w:line="255" w:lineRule="auto"/>
        <w:rPr>
          <w:sz w:val="20"/>
          <w:szCs w:val="20"/>
          <w:color w:val="auto"/>
        </w:rPr>
      </w:pPr>
      <w:r>
        <w:rPr>
          <w:rFonts w:ascii="Arial" w:cs="Arial" w:eastAsia="Arial" w:hAnsi="Arial"/>
          <w:sz w:val="12"/>
          <w:szCs w:val="12"/>
          <w:color w:val="auto"/>
        </w:rPr>
        <w:t>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attorneys’ fees.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8" w:name="page99"/>
    <w:bookmarkEnd w:id="9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right="159"/>
        <w:spacing w:after="0" w:line="276" w:lineRule="auto"/>
        <w:rPr>
          <w:sz w:val="20"/>
          <w:szCs w:val="20"/>
          <w:color w:val="auto"/>
        </w:rPr>
      </w:pPr>
      <w:r>
        <w:rPr>
          <w:rFonts w:ascii="Arial" w:cs="Arial" w:eastAsia="Arial" w:hAnsi="Arial"/>
          <w:sz w:val="12"/>
          <w:szCs w:val="12"/>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w:t>
      </w:r>
    </w:p>
    <w:p>
      <w:pPr>
        <w:spacing w:after="0" w:line="115" w:lineRule="exact"/>
        <w:rPr>
          <w:sz w:val="20"/>
          <w:szCs w:val="20"/>
          <w:color w:val="auto"/>
        </w:rPr>
      </w:pPr>
    </w:p>
    <w:p>
      <w:pPr>
        <w:ind w:left="20" w:right="59"/>
        <w:spacing w:after="0" w:line="340" w:lineRule="auto"/>
        <w:rPr>
          <w:sz w:val="20"/>
          <w:szCs w:val="20"/>
          <w:color w:val="auto"/>
        </w:rPr>
      </w:pPr>
      <w:r>
        <w:rPr>
          <w:rFonts w:ascii="Arial" w:cs="Arial" w:eastAsia="Arial" w:hAnsi="Arial"/>
          <w:sz w:val="10"/>
          <w:szCs w:val="10"/>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w:t>
      </w:r>
    </w:p>
    <w:p>
      <w:pPr>
        <w:spacing w:after="0" w:line="87" w:lineRule="exact"/>
        <w:rPr>
          <w:sz w:val="20"/>
          <w:szCs w:val="20"/>
          <w:color w:val="auto"/>
        </w:rPr>
      </w:pPr>
    </w:p>
    <w:p>
      <w:pPr>
        <w:ind w:left="20" w:right="99"/>
        <w:spacing w:after="0" w:line="285" w:lineRule="auto"/>
        <w:rPr>
          <w:sz w:val="20"/>
          <w:szCs w:val="20"/>
          <w:color w:val="auto"/>
        </w:rPr>
      </w:pPr>
      <w:r>
        <w:rPr>
          <w:rFonts w:ascii="Arial" w:cs="Arial" w:eastAsia="Arial" w:hAnsi="Arial"/>
          <w:sz w:val="11"/>
          <w:szCs w:val="11"/>
          <w:color w:val="auto"/>
        </w:rPr>
        <w:t>During fiscal 2020, the Company reached an agreement with the Plaintiffs to resolve the lawsuit for a payment by the Company of $2.5 million, which was recorded within operating expenses in the Company’s statement of operations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and the appeal bond has been released.</w:t>
      </w:r>
    </w:p>
    <w:p>
      <w:pPr>
        <w:spacing w:after="0" w:line="113" w:lineRule="exact"/>
        <w:rPr>
          <w:sz w:val="20"/>
          <w:szCs w:val="20"/>
          <w:color w:val="auto"/>
        </w:rPr>
      </w:pPr>
    </w:p>
    <w:p>
      <w:pPr>
        <w:ind w:left="20" w:right="79"/>
        <w:spacing w:after="0" w:line="313" w:lineRule="auto"/>
        <w:rPr>
          <w:sz w:val="20"/>
          <w:szCs w:val="20"/>
          <w:color w:val="auto"/>
        </w:rPr>
      </w:pPr>
      <w:r>
        <w:rPr>
          <w:rFonts w:ascii="Arial" w:cs="Arial" w:eastAsia="Arial" w:hAnsi="Arial"/>
          <w:sz w:val="10"/>
          <w:szCs w:val="10"/>
          <w:color w:val="auto"/>
        </w:rPr>
        <w:t xml:space="preserve">On or about November 9, 2020, a former employee filed a representative action for violation of the Private Attorneys General Act of 2004 (“PAGA”) pursuant to Labor Code sections 2698 </w:t>
      </w:r>
      <w:r>
        <w:rPr>
          <w:rFonts w:ascii="Arial" w:cs="Arial" w:eastAsia="Arial" w:hAnsi="Arial"/>
          <w:sz w:val="10"/>
          <w:szCs w:val="10"/>
          <w:i w:val="1"/>
          <w:iCs w:val="1"/>
          <w:color w:val="auto"/>
        </w:rPr>
        <w:t>et seq.</w:t>
      </w:r>
      <w:r>
        <w:rPr>
          <w:rFonts w:ascii="Arial" w:cs="Arial" w:eastAsia="Arial" w:hAnsi="Arial"/>
          <w:sz w:val="10"/>
          <w:szCs w:val="10"/>
          <w:color w:val="auto"/>
        </w:rPr>
        <w:t xml:space="preserve"> in the Superior Court of the State of California, County of Los Angeles, under the caption </w:t>
      </w:r>
      <w:r>
        <w:rPr>
          <w:rFonts w:ascii="Arial" w:cs="Arial" w:eastAsia="Arial" w:hAnsi="Arial"/>
          <w:sz w:val="10"/>
          <w:szCs w:val="10"/>
          <w:u w:val="single" w:color="auto"/>
          <w:color w:val="auto"/>
        </w:rPr>
        <w:t>Kenneth E. Reising, et al v. El Pollo Loco, Inc., et al</w:t>
      </w:r>
      <w:r>
        <w:rPr>
          <w:rFonts w:ascii="Arial" w:cs="Arial" w:eastAsia="Arial" w:hAnsi="Arial"/>
          <w:sz w:val="10"/>
          <w:szCs w:val="10"/>
          <w:color w:val="auto"/>
        </w:rPr>
        <w:t xml:space="preserve"> (Case No. 20STCV42951) on behalf of all non-exempt employees from June 19, 2020 to the present, alleging certain violations of California labor laws. The claims include failure to pay overtime compensation, failure to provide meal periods and rest breaks, failure to reimburse employees for business expenses, failure to provide suitable seating, and failure to provide accurate itemized wage statements. The requested remedies include statutory penalties and reasonable attorneys’ fees and costs. No specific amount of damages sought was specified in the complaint. The Company filed an Answer to the complaint on or about January 5, 2021. Based on the assessment by management of the numerous legal arguments that can be raised on this claim, the Company believes that a loss is currently not probable or estimable under ASC 450, "Contingencies", and as of December 30, 2020 no accrual has been made with regard to the verdict.</w:t>
      </w:r>
    </w:p>
    <w:p>
      <w:pPr>
        <w:spacing w:after="0" w:line="102" w:lineRule="exact"/>
        <w:rPr>
          <w:sz w:val="20"/>
          <w:szCs w:val="20"/>
          <w:color w:val="auto"/>
        </w:rPr>
      </w:pPr>
    </w:p>
    <w:p>
      <w:pPr>
        <w:ind w:left="20" w:right="59"/>
        <w:spacing w:after="0" w:line="280" w:lineRule="auto"/>
        <w:rPr>
          <w:sz w:val="20"/>
          <w:szCs w:val="20"/>
          <w:color w:val="auto"/>
        </w:rPr>
      </w:pPr>
      <w:r>
        <w:rPr>
          <w:rFonts w:ascii="Arial" w:cs="Arial" w:eastAsia="Arial" w:hAnsi="Arial"/>
          <w:sz w:val="11"/>
          <w:szCs w:val="11"/>
          <w:color w:val="auto"/>
        </w:rPr>
        <w:t xml:space="preserve">On or about February 4, 2021, a former employee filed a class action in the Superior Court of the State of California, County of Riverside, under the caption </w:t>
      </w:r>
      <w:r>
        <w:rPr>
          <w:rFonts w:ascii="Arial" w:cs="Arial" w:eastAsia="Arial" w:hAnsi="Arial"/>
          <w:sz w:val="11"/>
          <w:szCs w:val="11"/>
          <w:u w:val="single" w:color="auto"/>
          <w:color w:val="auto"/>
        </w:rPr>
        <w:t>Brandie Crispin, et al v. El</w:t>
      </w:r>
      <w:r>
        <w:rPr>
          <w:rFonts w:ascii="Arial" w:cs="Arial" w:eastAsia="Arial" w:hAnsi="Arial"/>
          <w:sz w:val="11"/>
          <w:szCs w:val="11"/>
          <w:color w:val="auto"/>
        </w:rPr>
        <w:t xml:space="preserve"> </w:t>
      </w:r>
      <w:r>
        <w:rPr>
          <w:rFonts w:ascii="Arial" w:cs="Arial" w:eastAsia="Arial" w:hAnsi="Arial"/>
          <w:sz w:val="11"/>
          <w:szCs w:val="11"/>
          <w:u w:val="single" w:color="auto"/>
          <w:color w:val="auto"/>
        </w:rPr>
        <w:t>Pollo Loco, Inc. et al</w:t>
      </w:r>
      <w:r>
        <w:rPr>
          <w:rFonts w:ascii="Arial" w:cs="Arial" w:eastAsia="Arial" w:hAnsi="Arial"/>
          <w:sz w:val="11"/>
          <w:szCs w:val="11"/>
          <w:color w:val="auto"/>
        </w:rPr>
        <w:t xml:space="preserve"> (Case No. CVRI2100490) on behalf of all putative class members (all non-exempt General Managers from February 4, 2017 to the present) alleging certain violations of California labor laws. The claims include failure to pay overtime compensation, failure to provide meal periods and rest breaks, and failure to provide accurate itemized wage statements. The putative lead plaintiff’s requested remedies include compensatory damages, statutory penalties, injunctive relief, and reasonable attorneys’ fees and costs. No specific amount of damages sought was specified in the complaint. As of the date of this filing, the Company has not yet been served the complaint. Plaintiff also notified the Labor and Workforce Development Agency and the Company that it intends to commence a representative action against the Company for violation of the Private Attorneys General Act of 2004 (“PAGA”) pursuant to Labor Code sections 2698 et seq. Based on the assessment by management of the numerous legal arguments that can be raised on this claim, the Company believes that a loss is currently not probable or estimable under ASC 450, "Contingencies", and as of December 30, 2020 no accrual has been made with regard to the verdict.</w:t>
      </w:r>
    </w:p>
    <w:p>
      <w:pPr>
        <w:spacing w:after="0" w:line="115" w:lineRule="exact"/>
        <w:rPr>
          <w:sz w:val="20"/>
          <w:szCs w:val="20"/>
          <w:color w:val="auto"/>
        </w:rPr>
      </w:pPr>
    </w:p>
    <w:p>
      <w:pPr>
        <w:ind w:left="20" w:right="59"/>
        <w:spacing w:after="0" w:line="298" w:lineRule="auto"/>
        <w:rPr>
          <w:sz w:val="20"/>
          <w:szCs w:val="20"/>
          <w:color w:val="auto"/>
        </w:rPr>
      </w:pPr>
      <w:r>
        <w:rPr>
          <w:rFonts w:ascii="Arial" w:cs="Arial" w:eastAsia="Arial" w:hAnsi="Arial"/>
          <w:sz w:val="11"/>
          <w:szCs w:val="11"/>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Purchase Commitments</w:t>
      </w:r>
    </w:p>
    <w:p>
      <w:pPr>
        <w:spacing w:after="0" w:line="154" w:lineRule="exact"/>
        <w:rPr>
          <w:sz w:val="20"/>
          <w:szCs w:val="20"/>
          <w:color w:val="auto"/>
        </w:rPr>
      </w:pPr>
    </w:p>
    <w:p>
      <w:pPr>
        <w:ind w:left="20" w:right="439"/>
        <w:spacing w:after="0" w:line="276" w:lineRule="auto"/>
        <w:rPr>
          <w:sz w:val="20"/>
          <w:szCs w:val="20"/>
          <w:color w:val="auto"/>
        </w:rPr>
      </w:pPr>
      <w:r>
        <w:rPr>
          <w:rFonts w:ascii="Arial" w:cs="Arial" w:eastAsia="Arial" w:hAnsi="Arial"/>
          <w:sz w:val="12"/>
          <w:szCs w:val="12"/>
          <w:color w:val="auto"/>
        </w:rPr>
        <w:t>The Company has long-term beverage supply agreements with certain major beverage vendors. Pursuant to the terms of these arrangements, marketing rebates are provided to the Company and its franchisees from the beverage vendors based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99" w:name="page100"/>
    <w:bookmarkEnd w:id="99"/>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1"/>
          <w:szCs w:val="11"/>
          <w:color w:val="auto"/>
        </w:rPr>
        <w:t>upon the dollar volume of purchases for system-wide restaurants which will vary according to their demand for beverage syrup and fluctuations in the market rates for beverage syrup.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These contracts have terms extending through the end of 2024.</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At December 30, 2020, the Company’s total estimated commitment to purchase chicken was $32.3 million.</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Contingent Lease Obligations</w:t>
      </w:r>
    </w:p>
    <w:p>
      <w:pPr>
        <w:spacing w:after="0" w:line="154" w:lineRule="exact"/>
        <w:rPr>
          <w:sz w:val="20"/>
          <w:szCs w:val="20"/>
          <w:color w:val="auto"/>
        </w:rPr>
      </w:pPr>
    </w:p>
    <w:p>
      <w:pPr>
        <w:ind w:left="20" w:right="119"/>
        <w:spacing w:after="0" w:line="280" w:lineRule="auto"/>
        <w:rPr>
          <w:sz w:val="20"/>
          <w:szCs w:val="20"/>
          <w:color w:val="auto"/>
        </w:rPr>
      </w:pPr>
      <w:r>
        <w:rPr>
          <w:rFonts w:ascii="Arial" w:cs="Arial" w:eastAsia="Arial" w:hAnsi="Arial"/>
          <w:sz w:val="11"/>
          <w:szCs w:val="11"/>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December 30, 2020, the potential amount of undiscounted payments the Company could be required to make in the event of non-payment by the primary lessee was $3.0 million. The present value of these potential payments discounted at the Company’s estimated pre-tax cost of debt at December 30, 2020 was $2.7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the impact it has had on the ability of the Company’s franchisees to make their lease payments, the Company has recorded a $0.1 million liability in the Company’s consolidated financial statements related to these contingent liabilities.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Employment Agreements</w:t>
      </w:r>
    </w:p>
    <w:p>
      <w:pPr>
        <w:spacing w:after="0" w:line="154" w:lineRule="exact"/>
        <w:rPr>
          <w:sz w:val="20"/>
          <w:szCs w:val="20"/>
          <w:color w:val="auto"/>
        </w:rPr>
      </w:pPr>
    </w:p>
    <w:p>
      <w:pPr>
        <w:jc w:val="both"/>
        <w:ind w:left="20" w:right="219"/>
        <w:spacing w:after="0" w:line="276" w:lineRule="auto"/>
        <w:rPr>
          <w:sz w:val="20"/>
          <w:szCs w:val="20"/>
          <w:color w:val="auto"/>
        </w:rPr>
      </w:pPr>
      <w:r>
        <w:rPr>
          <w:rFonts w:ascii="Arial" w:cs="Arial" w:eastAsia="Arial" w:hAnsi="Arial"/>
          <w:sz w:val="12"/>
          <w:szCs w:val="12"/>
          <w:color w:val="auto"/>
        </w:rPr>
        <w:t>As of December 30, 2020,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Indemnification Agreements</w:t>
      </w:r>
    </w:p>
    <w:p>
      <w:pPr>
        <w:spacing w:after="0" w:line="154" w:lineRule="exact"/>
        <w:rPr>
          <w:sz w:val="20"/>
          <w:szCs w:val="20"/>
          <w:color w:val="auto"/>
        </w:rPr>
      </w:pPr>
    </w:p>
    <w:p>
      <w:pPr>
        <w:jc w:val="both"/>
        <w:ind w:left="20" w:right="219"/>
        <w:spacing w:after="0" w:line="298" w:lineRule="auto"/>
        <w:rPr>
          <w:sz w:val="20"/>
          <w:szCs w:val="20"/>
          <w:color w:val="auto"/>
        </w:rPr>
      </w:pPr>
      <w:r>
        <w:rPr>
          <w:rFonts w:ascii="Arial" w:cs="Arial" w:eastAsia="Arial" w:hAnsi="Arial"/>
          <w:sz w:val="11"/>
          <w:szCs w:val="11"/>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14. RELATED PARTY TRANSACTIONS</w:t>
      </w:r>
    </w:p>
    <w:p>
      <w:pPr>
        <w:spacing w:after="0" w:line="154" w:lineRule="exact"/>
        <w:rPr>
          <w:sz w:val="20"/>
          <w:szCs w:val="20"/>
          <w:color w:val="auto"/>
        </w:rPr>
      </w:pPr>
    </w:p>
    <w:p>
      <w:pPr>
        <w:ind w:left="20" w:right="79"/>
        <w:spacing w:after="0" w:line="283" w:lineRule="auto"/>
        <w:rPr>
          <w:sz w:val="20"/>
          <w:szCs w:val="20"/>
          <w:color w:val="auto"/>
        </w:rPr>
      </w:pPr>
      <w:r>
        <w:rPr>
          <w:rFonts w:ascii="Arial" w:cs="Arial" w:eastAsia="Arial" w:hAnsi="Arial"/>
          <w:sz w:val="11"/>
          <w:szCs w:val="11"/>
          <w:color w:val="auto"/>
        </w:rPr>
        <w:t>LLC owns approximately 46.0%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0" w:name="page101"/>
    <w:bookmarkEnd w:id="100"/>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ind w:left="20" w:right="5899" w:firstLine="2"/>
        <w:spacing w:after="0" w:line="504" w:lineRule="auto"/>
        <w:tabs>
          <w:tab w:leader="none" w:pos="200"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REVENUE FROM CONTRACTS WITH CUSTOMERS Revenue Recognition</w:t>
      </w:r>
    </w:p>
    <w:p>
      <w:pPr>
        <w:ind w:left="20"/>
        <w:spacing w:after="0"/>
        <w:rPr>
          <w:sz w:val="20"/>
          <w:szCs w:val="20"/>
          <w:color w:val="auto"/>
        </w:rPr>
      </w:pPr>
      <w:r>
        <w:rPr>
          <w:rFonts w:ascii="Arial" w:cs="Arial" w:eastAsia="Arial" w:hAnsi="Arial"/>
          <w:sz w:val="12"/>
          <w:szCs w:val="12"/>
          <w:i w:val="1"/>
          <w:iCs w:val="1"/>
          <w:color w:val="auto"/>
        </w:rPr>
        <w:t>Nature of products and services</w:t>
      </w:r>
    </w:p>
    <w:p>
      <w:pPr>
        <w:spacing w:after="0" w:line="150"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The Company has two revenue streams, company-operated restaurant revenue and franchise related revenue. See Note 2 “Summary of Significant Accounting Policies” for a description of the revenue recognition policies.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Franchise and franchise advertising revenue</w:t>
      </w:r>
    </w:p>
    <w:p>
      <w:pPr>
        <w:spacing w:after="0" w:line="150"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Disaggregated revenue</w:t>
      </w:r>
    </w:p>
    <w:p>
      <w:pPr>
        <w:spacing w:after="0" w:line="150" w:lineRule="exact"/>
        <w:rPr>
          <w:sz w:val="20"/>
          <w:szCs w:val="20"/>
          <w:color w:val="auto"/>
        </w:rPr>
      </w:pPr>
    </w:p>
    <w:p>
      <w:pPr>
        <w:ind w:left="20" w:right="559"/>
        <w:spacing w:after="0" w:line="276" w:lineRule="auto"/>
        <w:rPr>
          <w:sz w:val="20"/>
          <w:szCs w:val="20"/>
          <w:color w:val="auto"/>
        </w:rPr>
      </w:pPr>
      <w:r>
        <w:rPr>
          <w:rFonts w:ascii="Arial" w:cs="Arial" w:eastAsia="Arial" w:hAnsi="Arial"/>
          <w:sz w:val="12"/>
          <w:szCs w:val="12"/>
          <w:color w:val="auto"/>
        </w:rPr>
        <w:t>The following table presents our revenues for the years ended December 30, 2020, December 25, 2019 and December 26, 2018 disaggregated by revenue source and market (in thousands):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102"/>
              <w:spacing w:after="0"/>
              <w:rPr>
                <w:sz w:val="20"/>
                <w:szCs w:val="20"/>
                <w:color w:val="auto"/>
              </w:rPr>
            </w:pPr>
            <w:r>
              <w:rPr>
                <w:rFonts w:ascii="Arial" w:cs="Arial" w:eastAsia="Arial" w:hAnsi="Arial"/>
                <w:sz w:val="10"/>
                <w:szCs w:val="10"/>
                <w:b w:val="1"/>
                <w:bCs w:val="1"/>
                <w:color w:val="auto"/>
                <w:w w:val="95"/>
              </w:rPr>
              <w:t>December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02"/>
              <w:spacing w:after="0"/>
              <w:rPr>
                <w:sz w:val="20"/>
                <w:szCs w:val="20"/>
                <w:color w:val="auto"/>
              </w:rPr>
            </w:pPr>
            <w:r>
              <w:rPr>
                <w:rFonts w:ascii="Arial" w:cs="Arial" w:eastAsia="Arial" w:hAnsi="Arial"/>
                <w:sz w:val="10"/>
                <w:szCs w:val="10"/>
                <w:b w:val="1"/>
                <w:bCs w:val="1"/>
                <w:color w:val="auto"/>
                <w:w w:val="98"/>
              </w:rPr>
              <w:t>December 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122"/>
              <w:spacing w:after="0"/>
              <w:rPr>
                <w:sz w:val="20"/>
                <w:szCs w:val="20"/>
                <w:color w:val="auto"/>
              </w:rPr>
            </w:pPr>
            <w:r>
              <w:rPr>
                <w:rFonts w:ascii="Arial" w:cs="Arial" w:eastAsia="Arial" w:hAnsi="Arial"/>
                <w:sz w:val="10"/>
                <w:szCs w:val="10"/>
                <w:b w:val="1"/>
                <w:bCs w:val="1"/>
                <w:color w:val="auto"/>
                <w:w w:val="92"/>
              </w:rPr>
              <w:t>December 25,</w:t>
            </w:r>
          </w:p>
        </w:tc>
      </w:tr>
      <w:tr>
        <w:trPr>
          <w:trHeight w:val="113"/>
        </w:trPr>
        <w:tc>
          <w:tcPr>
            <w:tcW w:w="2240" w:type="dxa"/>
            <w:vAlign w:val="bottom"/>
            <w:tcBorders>
              <w:bottom w:val="single" w:sz="8" w:color="CCEEFF"/>
            </w:tcBorders>
          </w:tcPr>
          <w:p>
            <w:pPr>
              <w:spacing w:after="0"/>
              <w:rPr>
                <w:sz w:val="9"/>
                <w:szCs w:val="9"/>
                <w:color w:val="auto"/>
              </w:rPr>
            </w:pPr>
          </w:p>
        </w:tc>
        <w:tc>
          <w:tcPr>
            <w:tcW w:w="36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282"/>
              <w:spacing w:after="0" w:line="114"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2"/>
              <w:spacing w:after="0" w:line="114" w:lineRule="exact"/>
              <w:rPr>
                <w:sz w:val="20"/>
                <w:szCs w:val="20"/>
                <w:color w:val="auto"/>
              </w:rPr>
            </w:pPr>
            <w:r>
              <w:rPr>
                <w:rFonts w:ascii="Arial" w:cs="Arial" w:eastAsia="Arial" w:hAnsi="Arial"/>
                <w:sz w:val="10"/>
                <w:szCs w:val="10"/>
                <w:b w:val="1"/>
                <w:bCs w:val="1"/>
                <w:color w:val="auto"/>
              </w:rPr>
              <w:t>2018</w:t>
            </w:r>
          </w:p>
        </w:tc>
      </w:tr>
      <w:tr>
        <w:trPr>
          <w:trHeight w:val="133"/>
        </w:trPr>
        <w:tc>
          <w:tcPr>
            <w:tcW w:w="2240" w:type="dxa"/>
            <w:vAlign w:val="bottom"/>
            <w:shd w:val="clear" w:color="auto" w:fill="CCEEFF"/>
          </w:tcPr>
          <w:p>
            <w:pPr>
              <w:spacing w:after="0" w:line="133" w:lineRule="exact"/>
              <w:rPr>
                <w:sz w:val="20"/>
                <w:szCs w:val="20"/>
                <w:color w:val="auto"/>
              </w:rPr>
            </w:pPr>
            <w:r>
              <w:rPr>
                <w:rFonts w:ascii="Arial" w:cs="Arial" w:eastAsia="Arial" w:hAnsi="Arial"/>
                <w:sz w:val="11"/>
                <w:szCs w:val="11"/>
                <w:b w:val="1"/>
                <w:bCs w:val="1"/>
                <w:color w:val="auto"/>
              </w:rPr>
              <w:t>Core Market</w:t>
            </w:r>
            <w:r>
              <w:rPr>
                <w:rFonts w:ascii="Arial" w:cs="Arial" w:eastAsia="Arial" w:hAnsi="Arial"/>
                <w:sz w:val="15"/>
                <w:szCs w:val="15"/>
                <w:b w:val="1"/>
                <w:bCs w:val="1"/>
                <w:color w:val="auto"/>
                <w:vertAlign w:val="superscript"/>
              </w:rPr>
              <w:t>(1)</w:t>
            </w:r>
            <w:r>
              <w:rPr>
                <w:rFonts w:ascii="Arial" w:cs="Arial" w:eastAsia="Arial" w:hAnsi="Arial"/>
                <w:sz w:val="11"/>
                <w:szCs w:val="11"/>
                <w:b w:val="1"/>
                <w:bCs w:val="1"/>
                <w:color w:val="auto"/>
              </w:rPr>
              <w:t>:</w:t>
            </w:r>
          </w:p>
        </w:tc>
        <w:tc>
          <w:tcPr>
            <w:tcW w:w="3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4"/>
        </w:trPr>
        <w:tc>
          <w:tcPr>
            <w:tcW w:w="2240" w:type="dxa"/>
            <w:vAlign w:val="bottom"/>
          </w:tcPr>
          <w:p>
            <w:pPr>
              <w:ind w:left="80"/>
              <w:spacing w:after="0"/>
              <w:rPr>
                <w:sz w:val="20"/>
                <w:szCs w:val="20"/>
                <w:color w:val="auto"/>
              </w:rPr>
            </w:pPr>
            <w:r>
              <w:rPr>
                <w:rFonts w:ascii="Arial" w:cs="Arial" w:eastAsia="Arial" w:hAnsi="Arial"/>
                <w:sz w:val="12"/>
                <w:szCs w:val="12"/>
                <w:color w:val="auto"/>
              </w:rPr>
              <w:t>Company-operated restaurant revenue</w:t>
            </w:r>
          </w:p>
        </w:tc>
        <w:tc>
          <w:tcPr>
            <w:tcW w:w="376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346,662</w:t>
            </w:r>
          </w:p>
        </w:tc>
        <w:tc>
          <w:tcPr>
            <w:tcW w:w="32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351,624</w:t>
            </w:r>
          </w:p>
        </w:tc>
        <w:tc>
          <w:tcPr>
            <w:tcW w:w="22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340,421</w:t>
            </w:r>
          </w:p>
        </w:tc>
      </w:tr>
      <w:tr>
        <w:trPr>
          <w:trHeight w:val="144"/>
        </w:trPr>
        <w:tc>
          <w:tcPr>
            <w:tcW w:w="2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Franchise revenue</w:t>
            </w:r>
          </w:p>
        </w:tc>
        <w:tc>
          <w:tcPr>
            <w:tcW w:w="3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14,216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14,144</w:t>
            </w:r>
          </w:p>
        </w:tc>
      </w:tr>
      <w:tr>
        <w:trPr>
          <w:trHeight w:val="144"/>
        </w:trPr>
        <w:tc>
          <w:tcPr>
            <w:tcW w:w="22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Franchise advertising fee revenue</w:t>
            </w:r>
          </w:p>
        </w:tc>
        <w:tc>
          <w:tcPr>
            <w:tcW w:w="3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11,049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10,831</w:t>
            </w:r>
          </w:p>
        </w:tc>
      </w:tr>
      <w:tr>
        <w:trPr>
          <w:trHeight w:val="133"/>
        </w:trPr>
        <w:tc>
          <w:tcPr>
            <w:tcW w:w="224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rPr>
              <w:t>Total core market</w:t>
            </w:r>
          </w:p>
        </w:tc>
        <w:tc>
          <w:tcPr>
            <w:tcW w:w="36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371,510</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377,591</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365,396</w:t>
            </w: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1"/>
                <w:szCs w:val="11"/>
                <w:b w:val="1"/>
                <w:bCs w:val="1"/>
                <w:color w:val="auto"/>
              </w:rPr>
              <w:t>Non-Core Market</w:t>
            </w:r>
            <w:r>
              <w:rPr>
                <w:rFonts w:ascii="Arial" w:cs="Arial" w:eastAsia="Arial" w:hAnsi="Arial"/>
                <w:sz w:val="15"/>
                <w:szCs w:val="15"/>
                <w:b w:val="1"/>
                <w:bCs w:val="1"/>
                <w:color w:val="auto"/>
                <w:vertAlign w:val="superscript"/>
              </w:rPr>
              <w:t>(2)</w:t>
            </w:r>
            <w:r>
              <w:rPr>
                <w:rFonts w:ascii="Arial" w:cs="Arial" w:eastAsia="Arial" w:hAnsi="Arial"/>
                <w:sz w:val="11"/>
                <w:szCs w:val="11"/>
                <w:b w:val="1"/>
                <w:bCs w:val="1"/>
                <w:color w:val="auto"/>
              </w:rPr>
              <w:t>:</w:t>
            </w:r>
          </w:p>
        </w:tc>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4"/>
        </w:trPr>
        <w:tc>
          <w:tcPr>
            <w:tcW w:w="2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Company-operated restaurant revenue</w:t>
            </w:r>
          </w:p>
        </w:tc>
        <w:tc>
          <w:tcPr>
            <w:tcW w:w="37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27,402</w:t>
            </w: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39,488</w:t>
            </w:r>
          </w:p>
        </w:tc>
        <w:tc>
          <w:tcPr>
            <w:tcW w:w="2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48,414</w:t>
            </w:r>
          </w:p>
        </w:tc>
      </w:tr>
      <w:tr>
        <w:trPr>
          <w:trHeight w:val="144"/>
        </w:trPr>
        <w:tc>
          <w:tcPr>
            <w:tcW w:w="2240" w:type="dxa"/>
            <w:vAlign w:val="bottom"/>
          </w:tcPr>
          <w:p>
            <w:pPr>
              <w:ind w:left="80"/>
              <w:spacing w:after="0"/>
              <w:rPr>
                <w:sz w:val="20"/>
                <w:szCs w:val="20"/>
                <w:color w:val="auto"/>
              </w:rPr>
            </w:pPr>
            <w:r>
              <w:rPr>
                <w:rFonts w:ascii="Arial" w:cs="Arial" w:eastAsia="Arial" w:hAnsi="Arial"/>
                <w:sz w:val="12"/>
                <w:szCs w:val="12"/>
                <w:color w:val="auto"/>
              </w:rPr>
              <w:t>Franchise revenue</w:t>
            </w: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15,202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13,901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11,627</w:t>
            </w:r>
          </w:p>
        </w:tc>
      </w:tr>
      <w:tr>
        <w:trPr>
          <w:trHeight w:val="144"/>
        </w:trPr>
        <w:tc>
          <w:tcPr>
            <w:tcW w:w="2240" w:type="dxa"/>
            <w:vAlign w:val="bottom"/>
            <w:shd w:val="clear" w:color="auto" w:fill="CCEEFF"/>
          </w:tcPr>
          <w:p>
            <w:pPr>
              <w:ind w:left="80"/>
              <w:spacing w:after="0"/>
              <w:rPr>
                <w:sz w:val="20"/>
                <w:szCs w:val="20"/>
                <w:color w:val="auto"/>
              </w:rPr>
            </w:pPr>
            <w:r>
              <w:rPr>
                <w:rFonts w:ascii="Arial" w:cs="Arial" w:eastAsia="Arial" w:hAnsi="Arial"/>
                <w:sz w:val="12"/>
                <w:szCs w:val="12"/>
                <w:color w:val="auto"/>
              </w:rPr>
              <w:t>Franchise advertising fee revenue</w:t>
            </w:r>
          </w:p>
        </w:tc>
        <w:tc>
          <w:tcPr>
            <w:tcW w:w="36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11,973</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11,350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10,391</w:t>
            </w:r>
          </w:p>
        </w:tc>
      </w:tr>
      <w:tr>
        <w:trPr>
          <w:trHeight w:val="133"/>
        </w:trPr>
        <w:tc>
          <w:tcPr>
            <w:tcW w:w="224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Total non-core market</w:t>
            </w:r>
          </w:p>
        </w:tc>
        <w:tc>
          <w:tcPr>
            <w:tcW w:w="36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54,577</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64,739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70,432</w:t>
            </w:r>
          </w:p>
        </w:tc>
      </w:tr>
      <w:tr>
        <w:trPr>
          <w:trHeight w:val="140"/>
        </w:trPr>
        <w:tc>
          <w:tcPr>
            <w:tcW w:w="22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revenue</w:t>
            </w:r>
          </w:p>
        </w:tc>
        <w:tc>
          <w:tcPr>
            <w:tcW w:w="36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426,087</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442,330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435,828</w:t>
            </w:r>
          </w:p>
        </w:tc>
      </w:tr>
      <w:tr>
        <w:trPr>
          <w:trHeight w:val="72"/>
        </w:trPr>
        <w:tc>
          <w:tcPr>
            <w:tcW w:w="2240" w:type="dxa"/>
            <w:vAlign w:val="bottom"/>
            <w:tcBorders>
              <w:bottom w:val="single" w:sz="8" w:color="auto"/>
            </w:tcBorders>
          </w:tcPr>
          <w:p>
            <w:pPr>
              <w:spacing w:after="0"/>
              <w:rPr>
                <w:sz w:val="6"/>
                <w:szCs w:val="6"/>
                <w:color w:val="auto"/>
              </w:rPr>
            </w:pPr>
          </w:p>
        </w:tc>
        <w:tc>
          <w:tcPr>
            <w:tcW w:w="3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4" w:lineRule="exact"/>
        <w:rPr>
          <w:sz w:val="20"/>
          <w:szCs w:val="20"/>
          <w:color w:val="auto"/>
        </w:rPr>
      </w:pPr>
    </w:p>
    <w:p>
      <w:pPr>
        <w:ind w:left="240" w:hanging="218"/>
        <w:spacing w:after="0"/>
        <w:tabs>
          <w:tab w:leader="none" w:pos="2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Core Market includes markets with existing company-operated restaurants at the time of the Company’s Initial Public Offering ("IPO") on July 28, 2014.</w:t>
      </w:r>
    </w:p>
    <w:p>
      <w:pPr>
        <w:spacing w:after="0" w:line="150" w:lineRule="exact"/>
        <w:rPr>
          <w:rFonts w:ascii="Arial" w:cs="Arial" w:eastAsia="Arial" w:hAnsi="Arial"/>
          <w:sz w:val="12"/>
          <w:szCs w:val="12"/>
          <w:color w:val="auto"/>
        </w:rPr>
      </w:pPr>
    </w:p>
    <w:p>
      <w:pPr>
        <w:ind w:left="240" w:hanging="218"/>
        <w:spacing w:after="0"/>
        <w:tabs>
          <w:tab w:leader="none" w:pos="2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Non-Core Market includes markets entered into by the Company subsequent to the IPO date.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table presents our revenues disaggregated by geographic market for the years ended December 30, 2020, December 25, 2019 and December 26, 2018:</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December 30, 2020</w:t>
            </w:r>
          </w:p>
        </w:tc>
        <w:tc>
          <w:tcPr>
            <w:tcW w:w="146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December 25, 2019</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December 26, 2018</w:t>
            </w:r>
          </w:p>
        </w:tc>
        <w:tc>
          <w:tcPr>
            <w:tcW w:w="20" w:type="dxa"/>
            <w:vAlign w:val="bottom"/>
          </w:tcPr>
          <w:p>
            <w:pPr>
              <w:spacing w:after="0"/>
              <w:rPr>
                <w:sz w:val="10"/>
                <w:szCs w:val="10"/>
                <w:color w:val="auto"/>
              </w:rPr>
            </w:pPr>
          </w:p>
        </w:tc>
      </w:tr>
      <w:tr>
        <w:trPr>
          <w:trHeight w:val="133"/>
        </w:trPr>
        <w:tc>
          <w:tcPr>
            <w:tcW w:w="3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Greater Los Angeles area market</w:t>
            </w:r>
          </w:p>
        </w:tc>
        <w:tc>
          <w:tcPr>
            <w:tcW w:w="16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71.3</w:t>
            </w:r>
          </w:p>
        </w:tc>
        <w:tc>
          <w:tcPr>
            <w:tcW w:w="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70.5</w:t>
            </w:r>
          </w:p>
        </w:tc>
        <w:tc>
          <w:tcPr>
            <w:tcW w:w="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69.2</w:t>
            </w:r>
          </w:p>
        </w:tc>
        <w:tc>
          <w:tcPr>
            <w:tcW w:w="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3000" w:type="dxa"/>
            <w:vAlign w:val="bottom"/>
          </w:tcPr>
          <w:p>
            <w:pPr>
              <w:spacing w:after="0"/>
              <w:rPr>
                <w:sz w:val="20"/>
                <w:szCs w:val="20"/>
                <w:color w:val="auto"/>
              </w:rPr>
            </w:pPr>
            <w:r>
              <w:rPr>
                <w:rFonts w:ascii="Arial" w:cs="Arial" w:eastAsia="Arial" w:hAnsi="Arial"/>
                <w:sz w:val="12"/>
                <w:szCs w:val="12"/>
                <w:color w:val="auto"/>
              </w:rPr>
              <w:t>Other markets</w:t>
            </w:r>
          </w:p>
        </w:tc>
        <w:tc>
          <w:tcPr>
            <w:tcW w:w="3120" w:type="dxa"/>
            <w:vAlign w:val="bottom"/>
            <w:gridSpan w:val="3"/>
          </w:tcPr>
          <w:p>
            <w:pPr>
              <w:jc w:val="right"/>
              <w:ind w:right="100"/>
              <w:spacing w:after="0"/>
              <w:rPr>
                <w:sz w:val="20"/>
                <w:szCs w:val="20"/>
                <w:color w:val="auto"/>
              </w:rPr>
            </w:pPr>
            <w:r>
              <w:rPr>
                <w:rFonts w:ascii="Arial" w:cs="Arial" w:eastAsia="Arial" w:hAnsi="Arial"/>
                <w:sz w:val="12"/>
                <w:szCs w:val="12"/>
                <w:color w:val="auto"/>
              </w:rPr>
              <w:t>28.7 %</w:t>
            </w:r>
          </w:p>
        </w:tc>
        <w:tc>
          <w:tcPr>
            <w:tcW w:w="1460" w:type="dxa"/>
            <w:vAlign w:val="bottom"/>
            <w:gridSpan w:val="2"/>
          </w:tcPr>
          <w:p>
            <w:pPr>
              <w:jc w:val="right"/>
              <w:ind w:right="100"/>
              <w:spacing w:after="0"/>
              <w:rPr>
                <w:sz w:val="20"/>
                <w:szCs w:val="20"/>
                <w:color w:val="auto"/>
              </w:rPr>
            </w:pPr>
            <w:r>
              <w:rPr>
                <w:rFonts w:ascii="Arial" w:cs="Arial" w:eastAsia="Arial" w:hAnsi="Arial"/>
                <w:sz w:val="12"/>
                <w:szCs w:val="12"/>
                <w:color w:val="auto"/>
              </w:rPr>
              <w:t>29.5 %</w:t>
            </w:r>
          </w:p>
        </w:tc>
        <w:tc>
          <w:tcPr>
            <w:tcW w:w="1380" w:type="dxa"/>
            <w:vAlign w:val="bottom"/>
            <w:gridSpan w:val="2"/>
          </w:tcPr>
          <w:p>
            <w:pPr>
              <w:jc w:val="right"/>
              <w:ind w:right="20"/>
              <w:spacing w:after="0"/>
              <w:rPr>
                <w:sz w:val="20"/>
                <w:szCs w:val="20"/>
                <w:color w:val="auto"/>
              </w:rPr>
            </w:pPr>
            <w:r>
              <w:rPr>
                <w:rFonts w:ascii="Arial" w:cs="Arial" w:eastAsia="Arial" w:hAnsi="Arial"/>
                <w:sz w:val="12"/>
                <w:szCs w:val="12"/>
                <w:color w:val="auto"/>
              </w:rPr>
              <w:t>30.8 %</w:t>
            </w:r>
          </w:p>
        </w:tc>
        <w:tc>
          <w:tcPr>
            <w:tcW w:w="20" w:type="dxa"/>
            <w:vAlign w:val="bottom"/>
          </w:tcPr>
          <w:p>
            <w:pPr>
              <w:spacing w:after="0"/>
              <w:rPr>
                <w:sz w:val="12"/>
                <w:szCs w:val="12"/>
                <w:color w:val="auto"/>
              </w:rPr>
            </w:pPr>
          </w:p>
        </w:tc>
      </w:tr>
      <w:tr>
        <w:trPr>
          <w:trHeight w:val="153"/>
        </w:trPr>
        <w:tc>
          <w:tcPr>
            <w:tcW w:w="300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Total</w:t>
            </w:r>
          </w:p>
        </w:tc>
        <w:tc>
          <w:tcPr>
            <w:tcW w:w="166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100</w:t>
            </w:r>
          </w:p>
        </w:tc>
        <w:tc>
          <w:tcPr>
            <w:tcW w:w="2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100</w:t>
            </w:r>
          </w:p>
        </w:tc>
        <w:tc>
          <w:tcPr>
            <w:tcW w:w="2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100</w:t>
            </w:r>
          </w:p>
        </w:tc>
        <w:tc>
          <w:tcPr>
            <w:tcW w:w="1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563"/>
        </w:trPr>
        <w:tc>
          <w:tcPr>
            <w:tcW w:w="3000" w:type="dxa"/>
            <w:vAlign w:val="bottom"/>
          </w:tcPr>
          <w:p>
            <w:pPr>
              <w:spacing w:after="0"/>
              <w:rPr>
                <w:sz w:val="24"/>
                <w:szCs w:val="24"/>
                <w:color w:val="auto"/>
              </w:rPr>
            </w:pP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99</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3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01" w:name="page102"/>
    <w:bookmarkEnd w:id="10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balances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table provides information about the change in the franchise contract liability balances during the year ended December 30, 2020 and December 25, 2019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26, 2018</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5,593</w:t>
            </w:r>
          </w:p>
        </w:tc>
      </w:tr>
      <w:tr>
        <w:trPr>
          <w:trHeight w:val="144"/>
        </w:trPr>
        <w:tc>
          <w:tcPr>
            <w:tcW w:w="7700" w:type="dxa"/>
            <w:vAlign w:val="bottom"/>
          </w:tcPr>
          <w:p>
            <w:pPr>
              <w:ind w:left="80"/>
              <w:spacing w:after="0"/>
              <w:rPr>
                <w:sz w:val="20"/>
                <w:szCs w:val="20"/>
                <w:color w:val="auto"/>
              </w:rPr>
            </w:pPr>
            <w:r>
              <w:rPr>
                <w:rFonts w:ascii="Arial" w:cs="Arial" w:eastAsia="Arial" w:hAnsi="Arial"/>
                <w:sz w:val="12"/>
                <w:szCs w:val="12"/>
                <w:color w:val="auto"/>
              </w:rPr>
              <w:t>Revenue recognized - beginning balance</w:t>
            </w: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(441)</w:t>
            </w:r>
          </w:p>
        </w:tc>
      </w:tr>
      <w:tr>
        <w:trPr>
          <w:trHeight w:val="144"/>
        </w:trPr>
        <w:tc>
          <w:tcPr>
            <w:tcW w:w="7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contract liability</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w:t>
            </w:r>
          </w:p>
        </w:tc>
      </w:tr>
      <w:tr>
        <w:trPr>
          <w:trHeight w:val="144"/>
        </w:trPr>
        <w:tc>
          <w:tcPr>
            <w:tcW w:w="77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Revenue recognized - additional contract liability</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w:t>
            </w:r>
          </w:p>
        </w:tc>
      </w:tr>
      <w:tr>
        <w:trPr>
          <w:trHeight w:val="133"/>
        </w:trPr>
        <w:tc>
          <w:tcPr>
            <w:tcW w:w="77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December 25, 2019</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6,317</w:t>
            </w:r>
          </w:p>
        </w:tc>
      </w:tr>
      <w:tr>
        <w:trPr>
          <w:trHeight w:val="144"/>
        </w:trPr>
        <w:tc>
          <w:tcPr>
            <w:tcW w:w="7700" w:type="dxa"/>
            <w:vAlign w:val="bottom"/>
          </w:tcPr>
          <w:p>
            <w:pPr>
              <w:ind w:left="80"/>
              <w:spacing w:after="0"/>
              <w:rPr>
                <w:sz w:val="20"/>
                <w:szCs w:val="20"/>
                <w:color w:val="auto"/>
              </w:rPr>
            </w:pPr>
            <w:r>
              <w:rPr>
                <w:rFonts w:ascii="Arial" w:cs="Arial" w:eastAsia="Arial" w:hAnsi="Arial"/>
                <w:sz w:val="12"/>
                <w:szCs w:val="12"/>
                <w:color w:val="auto"/>
              </w:rPr>
              <w:t>Revenue recognized - beginning balance</w:t>
            </w: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(1,082)</w:t>
            </w:r>
          </w:p>
        </w:tc>
      </w:tr>
      <w:tr>
        <w:trPr>
          <w:trHeight w:val="144"/>
        </w:trPr>
        <w:tc>
          <w:tcPr>
            <w:tcW w:w="7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contract liability</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r>
      <w:tr>
        <w:trPr>
          <w:trHeight w:val="144"/>
        </w:trPr>
        <w:tc>
          <w:tcPr>
            <w:tcW w:w="77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Revenue recognized - additional contract liability</w:t>
            </w: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r>
      <w:tr>
        <w:trPr>
          <w:trHeight w:val="140"/>
        </w:trPr>
        <w:tc>
          <w:tcPr>
            <w:tcW w:w="77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December 30, 2020</w:t>
            </w: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5,628</w:t>
            </w:r>
          </w:p>
        </w:tc>
      </w:tr>
    </w:tbl>
    <w:p>
      <w:pPr>
        <w:spacing w:after="0" w:line="135" w:lineRule="exact"/>
        <w:rPr>
          <w:sz w:val="20"/>
          <w:szCs w:val="20"/>
          <w:color w:val="auto"/>
        </w:rPr>
      </w:pPr>
    </w:p>
    <w:p>
      <w:pPr>
        <w:ind w:left="20" w:right="119"/>
        <w:spacing w:after="0" w:line="256" w:lineRule="auto"/>
        <w:rPr>
          <w:sz w:val="20"/>
          <w:szCs w:val="20"/>
          <w:color w:val="auto"/>
        </w:rPr>
      </w:pPr>
      <w:r>
        <w:rPr>
          <w:rFonts w:ascii="Arial" w:cs="Arial" w:eastAsia="Arial" w:hAnsi="Arial"/>
          <w:sz w:val="12"/>
          <w:szCs w:val="12"/>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28" w:lineRule="exact"/>
        <w:rPr>
          <w:sz w:val="20"/>
          <w:szCs w:val="20"/>
          <w:color w:val="auto"/>
        </w:rPr>
      </w:pPr>
    </w:p>
    <w:p>
      <w:pPr>
        <w:ind w:left="20" w:right="59"/>
        <w:spacing w:after="0" w:line="298" w:lineRule="auto"/>
        <w:rPr>
          <w:sz w:val="20"/>
          <w:szCs w:val="20"/>
          <w:color w:val="auto"/>
        </w:rPr>
      </w:pPr>
      <w:r>
        <w:rPr>
          <w:rFonts w:ascii="Arial" w:cs="Arial" w:eastAsia="Arial" w:hAnsi="Arial"/>
          <w:sz w:val="11"/>
          <w:szCs w:val="11"/>
          <w:color w:val="auto"/>
        </w:rPr>
        <w:t>For the year ended December 25, 2019, there was an increase to the contract liability balance due to the Company’s completion of the sale of four company-operated restaurants within the San Francisco area to an existing franchisee and seven company-operated restaurants in the Phoenix area to another existing franchisee. This resulted in an additional contract liability of $0.7 million, relating to allocation of the transaction price to various performance obligations under the applicable contracts of the sale.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following table illustrates the estimated revenue to be recognized in the future related to performance obligations that are unsatisfied as of December 30, 2020 (in thousands):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Franchise revenues:</w:t>
      </w:r>
    </w:p>
    <w:tbl>
      <w:tblPr>
        <w:tblLayout w:type="fixed"/>
        <w:tblInd w:w="20" w:type="dxa"/>
        <w:tblCellMar>
          <w:top w:w="0" w:type="dxa"/>
          <w:left w:w="0" w:type="dxa"/>
          <w:bottom w:w="0" w:type="dxa"/>
          <w:right w:w="0" w:type="dxa"/>
        </w:tblCellMar>
      </w:tblPr>
      <w:tr>
        <w:trPr>
          <w:trHeight w:val="133"/>
        </w:trPr>
        <w:tc>
          <w:tcPr>
            <w:tcW w:w="4140" w:type="dxa"/>
            <w:vAlign w:val="bottom"/>
            <w:tcBorders>
              <w:top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2021</w:t>
            </w:r>
          </w:p>
        </w:tc>
        <w:tc>
          <w:tcPr>
            <w:tcW w:w="4080" w:type="dxa"/>
            <w:vAlign w:val="bottom"/>
            <w:tcBorders>
              <w:top w:val="single" w:sz="8" w:color="auto"/>
            </w:tcBorders>
            <w:gridSpan w:val="2"/>
            <w:shd w:val="clear" w:color="auto" w:fill="CCEEFF"/>
          </w:tcPr>
          <w:p>
            <w:pPr>
              <w:jc w:val="right"/>
              <w:ind w:right="412"/>
              <w:spacing w:after="0" w:line="133"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508</w:t>
            </w:r>
          </w:p>
        </w:tc>
      </w:tr>
      <w:tr>
        <w:trPr>
          <w:trHeight w:val="144"/>
        </w:trPr>
        <w:tc>
          <w:tcPr>
            <w:tcW w:w="4140" w:type="dxa"/>
            <w:vAlign w:val="bottom"/>
          </w:tcPr>
          <w:p>
            <w:pPr>
              <w:ind w:left="80"/>
              <w:spacing w:after="0"/>
              <w:rPr>
                <w:sz w:val="20"/>
                <w:szCs w:val="20"/>
                <w:color w:val="auto"/>
              </w:rPr>
            </w:pPr>
            <w:r>
              <w:rPr>
                <w:rFonts w:ascii="Arial" w:cs="Arial" w:eastAsia="Arial" w:hAnsi="Arial"/>
                <w:sz w:val="12"/>
                <w:szCs w:val="12"/>
                <w:color w:val="auto"/>
              </w:rPr>
              <w:t>2022</w:t>
            </w:r>
          </w:p>
        </w:tc>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427</w:t>
            </w:r>
          </w:p>
        </w:tc>
      </w:tr>
      <w:tr>
        <w:trPr>
          <w:trHeight w:val="144"/>
        </w:trPr>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2023</w:t>
            </w:r>
          </w:p>
        </w:tc>
        <w:tc>
          <w:tcPr>
            <w:tcW w:w="3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r>
      <w:tr>
        <w:trPr>
          <w:trHeight w:val="144"/>
        </w:trPr>
        <w:tc>
          <w:tcPr>
            <w:tcW w:w="4140" w:type="dxa"/>
            <w:vAlign w:val="bottom"/>
          </w:tcPr>
          <w:p>
            <w:pPr>
              <w:ind w:left="80"/>
              <w:spacing w:after="0"/>
              <w:rPr>
                <w:sz w:val="20"/>
                <w:szCs w:val="20"/>
                <w:color w:val="auto"/>
              </w:rPr>
            </w:pPr>
            <w:r>
              <w:rPr>
                <w:rFonts w:ascii="Arial" w:cs="Arial" w:eastAsia="Arial" w:hAnsi="Arial"/>
                <w:sz w:val="12"/>
                <w:szCs w:val="12"/>
                <w:color w:val="auto"/>
              </w:rPr>
              <w:t>2024</w:t>
            </w:r>
          </w:p>
        </w:tc>
        <w:tc>
          <w:tcPr>
            <w:tcW w:w="3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394</w:t>
            </w:r>
          </w:p>
        </w:tc>
      </w:tr>
      <w:tr>
        <w:trPr>
          <w:trHeight w:val="144"/>
        </w:trPr>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2025</w:t>
            </w:r>
          </w:p>
        </w:tc>
        <w:tc>
          <w:tcPr>
            <w:tcW w:w="3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r>
      <w:tr>
        <w:trPr>
          <w:trHeight w:val="144"/>
        </w:trPr>
        <w:tc>
          <w:tcPr>
            <w:tcW w:w="41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Thereafter</w:t>
            </w:r>
          </w:p>
        </w:tc>
        <w:tc>
          <w:tcPr>
            <w:tcW w:w="35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3,503</w:t>
            </w:r>
          </w:p>
        </w:tc>
      </w:tr>
      <w:tr>
        <w:trPr>
          <w:trHeight w:val="140"/>
        </w:trPr>
        <w:tc>
          <w:tcPr>
            <w:tcW w:w="4140" w:type="dxa"/>
            <w:vAlign w:val="bottom"/>
            <w:tcBorders>
              <w:bottom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Total</w:t>
            </w:r>
          </w:p>
        </w:tc>
        <w:tc>
          <w:tcPr>
            <w:tcW w:w="35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5,628</w:t>
            </w:r>
          </w:p>
        </w:tc>
      </w:tr>
    </w:tbl>
    <w:p>
      <w:pPr>
        <w:spacing w:after="0" w:line="135" w:lineRule="exact"/>
        <w:rPr>
          <w:sz w:val="20"/>
          <w:szCs w:val="20"/>
          <w:color w:val="auto"/>
        </w:rPr>
      </w:pPr>
    </w:p>
    <w:p>
      <w:pPr>
        <w:ind w:left="20" w:right="119"/>
        <w:spacing w:after="0" w:line="276" w:lineRule="auto"/>
        <w:rPr>
          <w:sz w:val="20"/>
          <w:szCs w:val="20"/>
          <w:color w:val="auto"/>
        </w:rPr>
      </w:pPr>
      <w:r>
        <w:rPr>
          <w:rFonts w:ascii="Arial" w:cs="Arial" w:eastAsia="Arial" w:hAnsi="Arial"/>
          <w:sz w:val="12"/>
          <w:szCs w:val="12"/>
          <w:color w:val="auto"/>
        </w:rPr>
        <w:t>Changes in the loyalty rewards program liability included in deferred revenue within other accrued expenses and current liabilities on the consolidated balance sheets were as follows (in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December 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4"/>
              </w:rPr>
              <w:t>December 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20"/>
              <w:spacing w:after="0"/>
              <w:rPr>
                <w:sz w:val="20"/>
                <w:szCs w:val="20"/>
                <w:color w:val="auto"/>
              </w:rPr>
            </w:pPr>
            <w:r>
              <w:rPr>
                <w:rFonts w:ascii="Arial" w:cs="Arial" w:eastAsia="Arial" w:hAnsi="Arial"/>
                <w:sz w:val="12"/>
                <w:szCs w:val="12"/>
                <w:b w:val="1"/>
                <w:bCs w:val="1"/>
                <w:color w:val="auto"/>
                <w:w w:val="94"/>
              </w:rPr>
              <w:t>December 26,</w:t>
            </w:r>
          </w:p>
        </w:tc>
      </w:tr>
      <w:tr>
        <w:trPr>
          <w:trHeight w:val="157"/>
        </w:trPr>
        <w:tc>
          <w:tcPr>
            <w:tcW w:w="5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2018</w:t>
            </w:r>
          </w:p>
        </w:tc>
      </w:tr>
      <w:tr>
        <w:trPr>
          <w:trHeight w:val="133"/>
        </w:trPr>
        <w:tc>
          <w:tcPr>
            <w:tcW w:w="5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Loyalty rewards liability, beginning balance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425</w:t>
            </w:r>
          </w:p>
        </w:tc>
      </w:tr>
      <w:tr>
        <w:trPr>
          <w:trHeight w:val="144"/>
        </w:trPr>
        <w:tc>
          <w:tcPr>
            <w:tcW w:w="5500" w:type="dxa"/>
            <w:vAlign w:val="bottom"/>
          </w:tcPr>
          <w:p>
            <w:pPr>
              <w:spacing w:after="0"/>
              <w:rPr>
                <w:sz w:val="20"/>
                <w:szCs w:val="20"/>
                <w:color w:val="auto"/>
              </w:rPr>
            </w:pPr>
            <w:r>
              <w:rPr>
                <w:rFonts w:ascii="Arial" w:cs="Arial" w:eastAsia="Arial" w:hAnsi="Arial"/>
                <w:sz w:val="12"/>
                <w:szCs w:val="12"/>
                <w:color w:val="auto"/>
              </w:rPr>
              <w:t>Revenue deferred</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2,395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1,850</w:t>
            </w:r>
          </w:p>
        </w:tc>
      </w:tr>
      <w:tr>
        <w:trPr>
          <w:trHeight w:val="144"/>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Revenue recognized</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(2,647)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w:t>
            </w:r>
          </w:p>
        </w:tc>
      </w:tr>
      <w:tr>
        <w:trPr>
          <w:trHeight w:val="140"/>
        </w:trPr>
        <w:tc>
          <w:tcPr>
            <w:tcW w:w="5500" w:type="dxa"/>
            <w:vAlign w:val="bottom"/>
          </w:tcPr>
          <w:p>
            <w:pPr>
              <w:spacing w:after="0" w:line="133" w:lineRule="exact"/>
              <w:rPr>
                <w:sz w:val="20"/>
                <w:szCs w:val="20"/>
                <w:color w:val="auto"/>
              </w:rPr>
            </w:pPr>
            <w:r>
              <w:rPr>
                <w:rFonts w:ascii="Arial" w:cs="Arial" w:eastAsia="Arial" w:hAnsi="Arial"/>
                <w:sz w:val="12"/>
                <w:szCs w:val="12"/>
                <w:color w:val="auto"/>
              </w:rPr>
              <w:t>Loyalty rewards liability, ending balance</w:t>
            </w: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900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1,084</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b w:val="1"/>
                <w:bCs w:val="1"/>
                <w:color w:val="auto"/>
                <w:w w:val="70"/>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1,048</w:t>
            </w:r>
          </w:p>
        </w:tc>
      </w:tr>
    </w:tbl>
    <w:p>
      <w:pPr>
        <w:spacing w:after="0" w:line="1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expects all loyalty points revenue related to performance obligations unsatisfied as of December 30, 2020 to be recognized within one year.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2" w:name="page103"/>
    <w:bookmarkEnd w:id="10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 POLLO LOCO HOLDINGS,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Gift Cards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gift card liability included in other accrued expenses and current liabilities on the consolidated balance sheets was as follows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December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December 25,</w:t>
            </w:r>
          </w:p>
        </w:tc>
      </w:tr>
      <w:tr>
        <w:trPr>
          <w:trHeight w:val="157"/>
        </w:trPr>
        <w:tc>
          <w:tcPr>
            <w:tcW w:w="6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2019</w:t>
            </w:r>
          </w:p>
        </w:tc>
      </w:tr>
      <w:tr>
        <w:trPr>
          <w:trHeight w:val="140"/>
        </w:trPr>
        <w:tc>
          <w:tcPr>
            <w:tcW w:w="62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Gift card liability</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4,008</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3,006</w:t>
            </w:r>
          </w:p>
        </w:tc>
      </w:tr>
    </w:tbl>
    <w:p>
      <w:pPr>
        <w:spacing w:after="0" w:line="279"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Revenue recognized from the redemption of gift cards that was included in other accrued expenses and current liabilities at the beginning of the year was as follows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center"/>
              <w:ind w:left="146"/>
              <w:spacing w:after="0"/>
              <w:rPr>
                <w:sz w:val="20"/>
                <w:szCs w:val="20"/>
                <w:color w:val="auto"/>
              </w:rPr>
            </w:pPr>
            <w:r>
              <w:rPr>
                <w:rFonts w:ascii="Arial" w:cs="Arial" w:eastAsia="Arial" w:hAnsi="Arial"/>
                <w:sz w:val="12"/>
                <w:szCs w:val="12"/>
                <w:b w:val="1"/>
                <w:bCs w:val="1"/>
                <w:color w:val="auto"/>
                <w:w w:val="89"/>
              </w:rPr>
              <w:t>December 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December 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December 26,</w:t>
            </w:r>
          </w:p>
        </w:tc>
      </w:tr>
      <w:tr>
        <w:trPr>
          <w:trHeight w:val="157"/>
        </w:trPr>
        <w:tc>
          <w:tcPr>
            <w:tcW w:w="4480" w:type="dxa"/>
            <w:vAlign w:val="bottom"/>
          </w:tcPr>
          <w:p>
            <w:pPr>
              <w:spacing w:after="0"/>
              <w:rPr>
                <w:sz w:val="13"/>
                <w:szCs w:val="13"/>
                <w:color w:val="auto"/>
              </w:rPr>
            </w:pPr>
          </w:p>
        </w:tc>
        <w:tc>
          <w:tcPr>
            <w:tcW w:w="1600" w:type="dxa"/>
            <w:vAlign w:val="bottom"/>
            <w:gridSpan w:val="2"/>
          </w:tcPr>
          <w:p>
            <w:pPr>
              <w:jc w:val="right"/>
              <w:ind w:right="186"/>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20"/>
              <w:spacing w:after="0"/>
              <w:rPr>
                <w:sz w:val="20"/>
                <w:szCs w:val="20"/>
                <w:color w:val="auto"/>
              </w:rPr>
            </w:pPr>
            <w:r>
              <w:rPr>
                <w:rFonts w:ascii="Arial" w:cs="Arial" w:eastAsia="Arial" w:hAnsi="Arial"/>
                <w:sz w:val="12"/>
                <w:szCs w:val="12"/>
                <w:b w:val="1"/>
                <w:bCs w:val="1"/>
                <w:color w:val="auto"/>
              </w:rPr>
              <w:t>2018</w:t>
            </w:r>
          </w:p>
        </w:tc>
      </w:tr>
      <w:tr>
        <w:trPr>
          <w:trHeight w:val="140"/>
        </w:trPr>
        <w:tc>
          <w:tcPr>
            <w:tcW w:w="44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 recognized from gift card liability balance at the beginning of the year</w:t>
            </w: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9"/>
              </w:rPr>
              <w:t>880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816</w:t>
            </w:r>
          </w:p>
        </w:tc>
      </w:tr>
    </w:tbl>
    <w:p>
      <w:pPr>
        <w:spacing w:after="0" w:line="14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Contract Costs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does not currently incur costs to obtain or fulfill a contract that would be considered contract assets under Topic 606.</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3" w:name="page104"/>
    <w:bookmarkEnd w:id="10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Disclosure Controls and Procedures</w:t>
      </w:r>
    </w:p>
    <w:p>
      <w:pPr>
        <w:spacing w:after="0" w:line="154" w:lineRule="exact"/>
        <w:rPr>
          <w:sz w:val="20"/>
          <w:szCs w:val="20"/>
          <w:color w:val="auto"/>
        </w:rPr>
      </w:pPr>
    </w:p>
    <w:p>
      <w:pPr>
        <w:jc w:val="both"/>
        <w:ind w:left="20" w:right="219"/>
        <w:spacing w:after="0" w:line="340" w:lineRule="auto"/>
        <w:rPr>
          <w:sz w:val="20"/>
          <w:szCs w:val="20"/>
          <w:color w:val="auto"/>
        </w:rPr>
      </w:pPr>
      <w:r>
        <w:rPr>
          <w:rFonts w:ascii="Arial" w:cs="Arial" w:eastAsia="Arial" w:hAnsi="Arial"/>
          <w:sz w:val="10"/>
          <w:szCs w:val="10"/>
          <w:color w:val="auto"/>
        </w:rPr>
        <w:t>We maintain disclosure controls and procedures (as defined in Rules 13a-15 (e)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Chief Financial Officer, as appropriate to allow timely decisions regarding required disclosure.</w:t>
      </w:r>
    </w:p>
    <w:p>
      <w:pPr>
        <w:spacing w:after="0" w:line="87" w:lineRule="exact"/>
        <w:rPr>
          <w:sz w:val="20"/>
          <w:szCs w:val="20"/>
          <w:color w:val="auto"/>
        </w:rPr>
      </w:pPr>
    </w:p>
    <w:p>
      <w:pPr>
        <w:ind w:left="20" w:right="79"/>
        <w:spacing w:after="0" w:line="263" w:lineRule="auto"/>
        <w:rPr>
          <w:sz w:val="20"/>
          <w:szCs w:val="20"/>
          <w:color w:val="auto"/>
        </w:rPr>
      </w:pPr>
      <w:r>
        <w:rPr>
          <w:rFonts w:ascii="Arial" w:cs="Arial" w:eastAsia="Arial" w:hAnsi="Arial"/>
          <w:sz w:val="12"/>
          <w:szCs w:val="12"/>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22" w:lineRule="exact"/>
        <w:rPr>
          <w:sz w:val="20"/>
          <w:szCs w:val="20"/>
          <w:color w:val="auto"/>
        </w:rPr>
      </w:pPr>
    </w:p>
    <w:p>
      <w:pPr>
        <w:jc w:val="both"/>
        <w:ind w:left="20" w:right="219"/>
        <w:spacing w:after="0" w:line="263" w:lineRule="auto"/>
        <w:rPr>
          <w:sz w:val="20"/>
          <w:szCs w:val="20"/>
          <w:color w:val="auto"/>
        </w:rPr>
      </w:pPr>
      <w:r>
        <w:rPr>
          <w:rFonts w:ascii="Arial" w:cs="Arial" w:eastAsia="Arial" w:hAnsi="Arial"/>
          <w:sz w:val="12"/>
          <w:szCs w:val="12"/>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December 30, 2020.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Management Report on Internal Control over Financial Reporting</w:t>
      </w:r>
    </w:p>
    <w:p>
      <w:pPr>
        <w:spacing w:after="0" w:line="154" w:lineRule="exact"/>
        <w:rPr>
          <w:sz w:val="20"/>
          <w:szCs w:val="20"/>
          <w:color w:val="auto"/>
        </w:rPr>
      </w:pPr>
    </w:p>
    <w:p>
      <w:pPr>
        <w:ind w:left="20" w:right="39"/>
        <w:spacing w:after="0" w:line="277"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left="20" w:right="99"/>
        <w:spacing w:after="0" w:line="259"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Chief Financial Officer, we carried out an evaluation of the effectiveness of our internal control over financial reporting as of December 30, 2020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30, 2020 based on the criteria established in the 2013 Framework.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4" w:name="page105"/>
    <w:bookmarkEnd w:id="104"/>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30, 2020 has been audited by BDO USA, LLP, the independent registered public accounting firm that audited the financial statements included in this Annual Report on Form 10-K, as stated in their report included herein.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ind w:left="20" w:right="219"/>
        <w:spacing w:after="0" w:line="276" w:lineRule="auto"/>
        <w:rPr>
          <w:sz w:val="20"/>
          <w:szCs w:val="20"/>
          <w:color w:val="auto"/>
        </w:rPr>
      </w:pPr>
      <w:r>
        <w:rPr>
          <w:rFonts w:ascii="Arial" w:cs="Arial" w:eastAsia="Arial" w:hAnsi="Arial"/>
          <w:sz w:val="12"/>
          <w:szCs w:val="12"/>
          <w:color w:val="auto"/>
        </w:rPr>
        <w:t>No changes in our internal control over financial reporting occurred during the quarter ended December 30, 2020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5" w:name="page106"/>
    <w:bookmarkEnd w:id="10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 Pollo Loco Holdings, Inc.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Costa Mesa, California</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27" w:lineRule="exact"/>
        <w:rPr>
          <w:sz w:val="20"/>
          <w:szCs w:val="20"/>
          <w:color w:val="auto"/>
        </w:rPr>
      </w:pPr>
    </w:p>
    <w:p>
      <w:pPr>
        <w:jc w:val="both"/>
        <w:ind w:left="20" w:right="39"/>
        <w:spacing w:after="0" w:line="263" w:lineRule="auto"/>
        <w:rPr>
          <w:sz w:val="20"/>
          <w:szCs w:val="20"/>
          <w:color w:val="auto"/>
        </w:rPr>
      </w:pPr>
      <w:r>
        <w:rPr>
          <w:rFonts w:ascii="Arial" w:cs="Arial" w:eastAsia="Arial" w:hAnsi="Arial"/>
          <w:sz w:val="12"/>
          <w:szCs w:val="12"/>
          <w:color w:val="auto"/>
        </w:rPr>
        <w:t>We have audited El Pollo Loco Holdings, Inc.’s (the “Company’s”) internal control over financial reporting as of December 30, 2020,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December 30, 2020, based on the COSO criteria.</w:t>
      </w:r>
    </w:p>
    <w:p>
      <w:pPr>
        <w:spacing w:after="0" w:line="122" w:lineRule="exact"/>
        <w:rPr>
          <w:sz w:val="20"/>
          <w:szCs w:val="20"/>
          <w:color w:val="auto"/>
        </w:rPr>
      </w:pPr>
    </w:p>
    <w:p>
      <w:pPr>
        <w:jc w:val="both"/>
        <w:ind w:left="20" w:right="39"/>
        <w:spacing w:after="0" w:line="298"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balance sheets of the Company as of December 30, 2020 and December 25, 2019, the related consolidated statements of operations, comprehensive income (loss), stockholders’ equity, and cash flows for each of the three years in the period ended December 30, 2020, and the related notes and our report dated March 15, 2021, expressed an unqualified opinion thereon.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left="20" w:right="39"/>
        <w:spacing w:after="0" w:line="289"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1" w:lineRule="exact"/>
        <w:rPr>
          <w:sz w:val="20"/>
          <w:szCs w:val="20"/>
          <w:color w:val="auto"/>
        </w:rPr>
      </w:pPr>
    </w:p>
    <w:p>
      <w:pPr>
        <w:jc w:val="both"/>
        <w:ind w:left="20" w:right="39"/>
        <w:spacing w:after="0" w:line="256" w:lineRule="auto"/>
        <w:rPr>
          <w:sz w:val="20"/>
          <w:szCs w:val="20"/>
          <w:color w:val="auto"/>
        </w:rPr>
      </w:pPr>
      <w:r>
        <w:rPr>
          <w:rFonts w:ascii="Arial" w:cs="Arial" w:eastAsia="Arial" w:hAnsi="Arial"/>
          <w:sz w:val="12"/>
          <w:szCs w:val="12"/>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jc w:val="both"/>
        <w:ind w:left="20" w:right="39"/>
        <w:spacing w:after="0" w:line="283"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left="20" w:right="39"/>
        <w:spacing w:after="0" w:line="323"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BDO USA,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Costa Mesa, California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March 15, 2021</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6" w:name="page107"/>
    <w:bookmarkEnd w:id="106"/>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252730</wp:posOffset>
            </wp:positionV>
            <wp:extent cx="56921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7" w:name="page108"/>
    <w:bookmarkEnd w:id="107"/>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50" w:lineRule="exact"/>
        <w:rPr>
          <w:sz w:val="20"/>
          <w:szCs w:val="20"/>
          <w:color w:val="auto"/>
        </w:rPr>
      </w:pPr>
    </w:p>
    <w:p>
      <w:pPr>
        <w:ind w:left="20" w:right="79"/>
        <w:spacing w:after="0" w:line="257" w:lineRule="auto"/>
        <w:rPr>
          <w:sz w:val="20"/>
          <w:szCs w:val="20"/>
          <w:color w:val="auto"/>
        </w:rPr>
      </w:pPr>
      <w:r>
        <w:rPr>
          <w:rFonts w:ascii="Arial" w:cs="Arial" w:eastAsia="Arial" w:hAnsi="Arial"/>
          <w:sz w:val="12"/>
          <w:szCs w:val="12"/>
          <w:color w:val="auto"/>
        </w:rPr>
        <w:t>Incorporated by reference from our definitive proxy statement to be filed not later than 120 days after the end of our 2020 fiscal year</w:t>
      </w:r>
      <w:r>
        <w:rPr>
          <w:rFonts w:ascii="Arial" w:cs="Arial" w:eastAsia="Arial" w:hAnsi="Arial"/>
          <w:sz w:val="12"/>
          <w:szCs w:val="12"/>
          <w:b w:val="1"/>
          <w:bCs w:val="1"/>
          <w:color w:val="auto"/>
        </w:rPr>
        <w:t>.</w:t>
      </w:r>
      <w:r>
        <w:rPr>
          <w:rFonts w:ascii="Arial" w:cs="Arial" w:eastAsia="Arial" w:hAnsi="Arial"/>
          <w:sz w:val="12"/>
          <w:szCs w:val="12"/>
          <w:color w:val="auto"/>
        </w:rPr>
        <w:t xml:space="preserve"> In addition, our Board of Directors has adopted a Code of Business Conduct and Ethics that applies to all of our directors, employees and officers, including our principal executive officer, principal financial officer, principal accounting officer, controller, and any persons performing similar functions. The current version of the Code of Business Conduct and Ethics is available on our website under the Corporate Governance section at </w:t>
      </w:r>
      <w:r>
        <w:rPr>
          <w:rFonts w:ascii="Arial" w:cs="Arial" w:eastAsia="Arial" w:hAnsi="Arial"/>
          <w:sz w:val="12"/>
          <w:szCs w:val="12"/>
          <w:i w:val="1"/>
          <w:iCs w:val="1"/>
          <w:color w:val="auto"/>
        </w:rPr>
        <w:t>www.elpolloloco.com</w:t>
      </w:r>
      <w:r>
        <w:rPr>
          <w:rFonts w:ascii="Arial" w:cs="Arial" w:eastAsia="Arial" w:hAnsi="Arial"/>
          <w:sz w:val="12"/>
          <w:szCs w:val="12"/>
          <w:color w:val="auto"/>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Arial" w:cs="Arial" w:eastAsia="Arial" w:hAnsi="Arial"/>
          <w:sz w:val="12"/>
          <w:szCs w:val="12"/>
          <w:i w:val="1"/>
          <w:iCs w:val="1"/>
          <w:color w:val="auto"/>
        </w:rPr>
        <w:t>www.elpolloloco.com</w:t>
      </w:r>
      <w:r>
        <w:rPr>
          <w:rFonts w:ascii="Arial" w:cs="Arial" w:eastAsia="Arial" w:hAnsi="Arial"/>
          <w:sz w:val="12"/>
          <w:szCs w:val="12"/>
          <w:color w:val="auto"/>
        </w:rPr>
        <w:t>.</w:t>
      </w:r>
    </w:p>
    <w:p>
      <w:pPr>
        <w:spacing w:after="0" w:line="121"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Incorporated by reference from our definitive proxy statement to be filed not later than 120 days after the end of our 2020 fiscal year.</w:t>
      </w:r>
    </w:p>
    <w:p>
      <w:pPr>
        <w:spacing w:after="0" w:line="14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Incorporated by reference from our definitive proxy statement to be filed not later than 120 days after the end of our 2020 fiscal year.</w:t>
      </w:r>
    </w:p>
    <w:p>
      <w:pPr>
        <w:spacing w:after="0" w:line="14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Incorporated by reference from our definitive proxy statement to be filed not later than 120 days after the end of our 2020 fiscal year.</w:t>
      </w:r>
    </w:p>
    <w:p>
      <w:pPr>
        <w:spacing w:after="0" w:line="14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Incorporated by reference from our definitive proxy statement to be filed not later than 120 days after the end of our 2020 fiscal year.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8" w:name="page109"/>
    <w:bookmarkEnd w:id="108"/>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2"/>
          <w:szCs w:val="12"/>
          <w:b w:val="1"/>
          <w:bCs w:val="1"/>
          <w:color w:val="auto"/>
        </w:rPr>
        <w:t>EXHIBITS, FINANCIAL STATEMENT SCHEDULES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following documents are filed as a part of this report:</w:t>
      </w:r>
    </w:p>
    <w:p>
      <w:pPr>
        <w:spacing w:after="0" w:line="150" w:lineRule="exact"/>
        <w:rPr>
          <w:sz w:val="20"/>
          <w:szCs w:val="20"/>
          <w:color w:val="auto"/>
        </w:rPr>
      </w:pPr>
    </w:p>
    <w:p>
      <w:pPr>
        <w:ind w:left="480" w:hanging="224"/>
        <w:spacing w:after="0"/>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Financial Statements: Consolidated financial statements filed as part of this report are listed under Item 8. Financial Statements and Supplementary Data.</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Financial Statement Schedules: None.</w:t>
      </w:r>
    </w:p>
    <w:p>
      <w:pPr>
        <w:spacing w:after="0" w:line="150" w:lineRule="exact"/>
        <w:rPr>
          <w:rFonts w:ascii="Arial" w:cs="Arial" w:eastAsia="Arial" w:hAnsi="Arial"/>
          <w:sz w:val="12"/>
          <w:szCs w:val="12"/>
          <w:color w:val="auto"/>
        </w:rPr>
      </w:pPr>
    </w:p>
    <w:p>
      <w:pPr>
        <w:ind w:left="480" w:hanging="224"/>
        <w:spacing w:after="0"/>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Exhibits: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ind w:left="480"/>
              <w:spacing w:after="0"/>
              <w:rPr>
                <w:sz w:val="20"/>
                <w:szCs w:val="20"/>
                <w:color w:val="auto"/>
              </w:rPr>
            </w:pPr>
            <w:r>
              <w:rPr>
                <w:rFonts w:ascii="Arial" w:cs="Arial" w:eastAsia="Arial" w:hAnsi="Arial"/>
                <w:sz w:val="10"/>
                <w:szCs w:val="10"/>
                <w:b w:val="1"/>
                <w:bCs w:val="1"/>
                <w:color w:val="auto"/>
                <w:w w:val="96"/>
              </w:rPr>
              <w:t>Incorporated by Reference</w:t>
            </w: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85"/>
        </w:trPr>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jc w:val="center"/>
              <w:ind w:right="60"/>
              <w:spacing w:after="0" w:line="85" w:lineRule="exact"/>
              <w:rPr>
                <w:sz w:val="20"/>
                <w:szCs w:val="20"/>
                <w:color w:val="auto"/>
              </w:rPr>
            </w:pPr>
            <w:r>
              <w:rPr>
                <w:rFonts w:ascii="Arial" w:cs="Arial" w:eastAsia="Arial" w:hAnsi="Arial"/>
                <w:sz w:val="8"/>
                <w:szCs w:val="8"/>
                <w:b w:val="1"/>
                <w:bCs w:val="1"/>
                <w:color w:val="auto"/>
              </w:rPr>
              <w:t>Filed</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340"/>
              <w:spacing w:after="0" w:line="85" w:lineRule="exact"/>
              <w:rPr>
                <w:sz w:val="20"/>
                <w:szCs w:val="20"/>
                <w:color w:val="auto"/>
              </w:rPr>
            </w:pPr>
            <w:r>
              <w:rPr>
                <w:rFonts w:ascii="Arial" w:cs="Arial" w:eastAsia="Arial" w:hAnsi="Arial"/>
                <w:sz w:val="8"/>
                <w:szCs w:val="8"/>
                <w:b w:val="1"/>
                <w:bCs w:val="1"/>
                <w:color w:val="auto"/>
              </w:rPr>
              <w:t>Period</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Filing</w:t>
            </w: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32"/>
        </w:trPr>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Number</w:t>
            </w:r>
          </w:p>
        </w:tc>
        <w:tc>
          <w:tcPr>
            <w:tcW w:w="20" w:type="dxa"/>
            <w:vAlign w:val="bottom"/>
          </w:tcPr>
          <w:p>
            <w:pPr>
              <w:spacing w:after="0"/>
              <w:rPr>
                <w:sz w:val="11"/>
                <w:szCs w:val="11"/>
                <w:color w:val="auto"/>
              </w:rPr>
            </w:pPr>
          </w:p>
        </w:tc>
        <w:tc>
          <w:tcPr>
            <w:tcW w:w="2540" w:type="dxa"/>
            <w:vAlign w:val="bottom"/>
            <w:gridSpan w:val="16"/>
          </w:tcPr>
          <w:p>
            <w:pPr>
              <w:spacing w:after="0"/>
              <w:rPr>
                <w:sz w:val="20"/>
                <w:szCs w:val="20"/>
                <w:color w:val="auto"/>
              </w:rPr>
            </w:pPr>
            <w:r>
              <w:rPr>
                <w:rFonts w:ascii="Arial" w:cs="Arial" w:eastAsia="Arial" w:hAnsi="Arial"/>
                <w:sz w:val="10"/>
                <w:szCs w:val="10"/>
                <w:b w:val="1"/>
                <w:bCs w:val="1"/>
                <w:color w:val="auto"/>
              </w:rPr>
              <w:t>Description</w:t>
            </w:r>
          </w:p>
        </w:tc>
        <w:tc>
          <w:tcPr>
            <w:tcW w:w="8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Herewith</w:t>
            </w:r>
          </w:p>
        </w:tc>
        <w:tc>
          <w:tcPr>
            <w:tcW w:w="620" w:type="dxa"/>
            <w:vAlign w:val="bottom"/>
            <w:gridSpan w:val="2"/>
          </w:tcPr>
          <w:p>
            <w:pPr>
              <w:ind w:left="160"/>
              <w:spacing w:after="0"/>
              <w:rPr>
                <w:sz w:val="20"/>
                <w:szCs w:val="20"/>
                <w:color w:val="auto"/>
              </w:rPr>
            </w:pPr>
            <w:r>
              <w:rPr>
                <w:rFonts w:ascii="Arial" w:cs="Arial" w:eastAsia="Arial" w:hAnsi="Arial"/>
                <w:sz w:val="10"/>
                <w:szCs w:val="10"/>
                <w:b w:val="1"/>
                <w:bCs w:val="1"/>
                <w:color w:val="auto"/>
              </w:rPr>
              <w:t>Form</w:t>
            </w:r>
          </w:p>
        </w:tc>
        <w:tc>
          <w:tcPr>
            <w:tcW w:w="1040" w:type="dxa"/>
            <w:vAlign w:val="bottom"/>
            <w:gridSpan w:val="2"/>
          </w:tcPr>
          <w:p>
            <w:pPr>
              <w:ind w:left="340"/>
              <w:spacing w:after="0"/>
              <w:rPr>
                <w:sz w:val="20"/>
                <w:szCs w:val="20"/>
                <w:color w:val="auto"/>
              </w:rPr>
            </w:pPr>
            <w:r>
              <w:rPr>
                <w:rFonts w:ascii="Arial" w:cs="Arial" w:eastAsia="Arial" w:hAnsi="Arial"/>
                <w:sz w:val="10"/>
                <w:szCs w:val="10"/>
                <w:b w:val="1"/>
                <w:bCs w:val="1"/>
                <w:color w:val="auto"/>
              </w:rPr>
              <w:t>Ended</w:t>
            </w:r>
          </w:p>
        </w:tc>
        <w:tc>
          <w:tcPr>
            <w:tcW w:w="680" w:type="dxa"/>
            <w:vAlign w:val="bottom"/>
            <w:gridSpan w:val="2"/>
          </w:tcPr>
          <w:p>
            <w:pPr>
              <w:ind w:left="140"/>
              <w:spacing w:after="0"/>
              <w:rPr>
                <w:sz w:val="20"/>
                <w:szCs w:val="20"/>
                <w:color w:val="auto"/>
              </w:rPr>
            </w:pPr>
            <w:r>
              <w:rPr>
                <w:rFonts w:ascii="Arial" w:cs="Arial" w:eastAsia="Arial" w:hAnsi="Arial"/>
                <w:sz w:val="10"/>
                <w:szCs w:val="10"/>
                <w:b w:val="1"/>
                <w:bCs w:val="1"/>
                <w:color w:val="auto"/>
              </w:rPr>
              <w:t>Exhibit</w:t>
            </w:r>
          </w:p>
        </w:tc>
        <w:tc>
          <w:tcPr>
            <w:tcW w:w="10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w:t>
            </w: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88"/>
              </w:rPr>
              <w:t>SEC File Number</w:t>
            </w:r>
          </w:p>
        </w:tc>
      </w:tr>
      <w:tr>
        <w:trPr>
          <w:trHeight w:val="114"/>
        </w:trPr>
        <w:tc>
          <w:tcPr>
            <w:tcW w:w="820" w:type="dxa"/>
            <w:vAlign w:val="bottom"/>
            <w:tcBorders>
              <w:top w:val="single" w:sz="8" w:color="auto"/>
            </w:tcBorders>
          </w:tcPr>
          <w:p>
            <w:pPr>
              <w:ind w:left="40"/>
              <w:spacing w:after="0" w:line="115" w:lineRule="exact"/>
              <w:rPr>
                <w:sz w:val="20"/>
                <w:szCs w:val="20"/>
                <w:color w:val="auto"/>
              </w:rPr>
            </w:pPr>
            <w:r>
              <w:rPr>
                <w:rFonts w:ascii="Arial" w:cs="Arial" w:eastAsia="Arial" w:hAnsi="Arial"/>
                <w:sz w:val="12"/>
                <w:szCs w:val="12"/>
                <w:color w:val="auto"/>
              </w:rPr>
              <w:t>3.1</w:t>
            </w: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80" w:type="dxa"/>
            <w:vAlign w:val="bottom"/>
            <w:tcBorders>
              <w:top w:val="single" w:sz="8" w:color="auto"/>
            </w:tcBorders>
            <w:gridSpan w:val="15"/>
          </w:tcPr>
          <w:p>
            <w:pPr>
              <w:spacing w:after="0" w:line="115" w:lineRule="exact"/>
              <w:rPr>
                <w:rFonts w:ascii="Arial" w:cs="Arial" w:eastAsia="Arial" w:hAnsi="Arial"/>
                <w:sz w:val="12"/>
                <w:szCs w:val="12"/>
                <w:color w:val="0000EE"/>
              </w:rPr>
            </w:pPr>
            <w:hyperlink r:id="rId114">
              <w:r>
                <w:rPr>
                  <w:rFonts w:ascii="Arial" w:cs="Arial" w:eastAsia="Arial" w:hAnsi="Arial"/>
                  <w:sz w:val="12"/>
                  <w:szCs w:val="12"/>
                  <w:color w:val="0000EE"/>
                </w:rPr>
                <w:t>Amended and Restated Certificate of</w:t>
              </w:r>
            </w:hyperlink>
          </w:p>
        </w:tc>
        <w:tc>
          <w:tcPr>
            <w:tcW w:w="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10-Q</w:t>
            </w:r>
          </w:p>
        </w:tc>
        <w:tc>
          <w:tcPr>
            <w:tcW w:w="80" w:type="dxa"/>
            <w:vAlign w:val="bottom"/>
          </w:tcPr>
          <w:p>
            <w:pPr>
              <w:spacing w:after="0"/>
              <w:rPr>
                <w:sz w:val="9"/>
                <w:szCs w:val="9"/>
                <w:color w:val="auto"/>
              </w:rPr>
            </w:pPr>
          </w:p>
        </w:tc>
        <w:tc>
          <w:tcPr>
            <w:tcW w:w="9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6/25/2014</w:t>
            </w:r>
          </w:p>
        </w:tc>
        <w:tc>
          <w:tcPr>
            <w:tcW w:w="80" w:type="dxa"/>
            <w:vAlign w:val="bottom"/>
          </w:tcPr>
          <w:p>
            <w:pPr>
              <w:spacing w:after="0"/>
              <w:rPr>
                <w:sz w:val="9"/>
                <w:szCs w:val="9"/>
                <w:color w:val="auto"/>
              </w:rPr>
            </w:pPr>
          </w:p>
        </w:tc>
        <w:tc>
          <w:tcPr>
            <w:tcW w:w="600" w:type="dxa"/>
            <w:vAlign w:val="bottom"/>
            <w:tcBorders>
              <w:top w:val="single" w:sz="8" w:color="auto"/>
            </w:tcBorders>
          </w:tcPr>
          <w:p>
            <w:pPr>
              <w:jc w:val="right"/>
              <w:ind w:right="2"/>
              <w:spacing w:after="0" w:line="115" w:lineRule="exact"/>
              <w:rPr>
                <w:sz w:val="20"/>
                <w:szCs w:val="20"/>
                <w:color w:val="auto"/>
              </w:rPr>
            </w:pPr>
            <w:r>
              <w:rPr>
                <w:rFonts w:ascii="Arial" w:cs="Arial" w:eastAsia="Arial" w:hAnsi="Arial"/>
                <w:sz w:val="12"/>
                <w:szCs w:val="12"/>
                <w:color w:val="auto"/>
              </w:rPr>
              <w:t>3.1</w:t>
            </w:r>
          </w:p>
        </w:tc>
        <w:tc>
          <w:tcPr>
            <w:tcW w:w="80" w:type="dxa"/>
            <w:vAlign w:val="bottom"/>
          </w:tcPr>
          <w:p>
            <w:pPr>
              <w:spacing w:after="0"/>
              <w:rPr>
                <w:sz w:val="9"/>
                <w:szCs w:val="9"/>
                <w:color w:val="auto"/>
              </w:rPr>
            </w:pPr>
          </w:p>
        </w:tc>
        <w:tc>
          <w:tcPr>
            <w:tcW w:w="9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9/5/2014</w:t>
            </w:r>
          </w:p>
        </w:tc>
        <w:tc>
          <w:tcPr>
            <w:tcW w:w="60" w:type="dxa"/>
            <w:vAlign w:val="bottom"/>
          </w:tcPr>
          <w:p>
            <w:pPr>
              <w:spacing w:after="0"/>
              <w:rPr>
                <w:sz w:val="9"/>
                <w:szCs w:val="9"/>
                <w:color w:val="auto"/>
              </w:rPr>
            </w:pPr>
          </w:p>
        </w:tc>
        <w:tc>
          <w:tcPr>
            <w:tcW w:w="12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color w:val="auto"/>
                <w:w w:val="90"/>
              </w:rPr>
              <w:t>001-36556</w:t>
            </w: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1"/>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16"/>
          </w:tcPr>
          <w:p>
            <w:pPr>
              <w:spacing w:after="0"/>
              <w:rPr>
                <w:rFonts w:ascii="Arial" w:cs="Arial" w:eastAsia="Arial" w:hAnsi="Arial"/>
                <w:sz w:val="12"/>
                <w:szCs w:val="12"/>
                <w:u w:val="single" w:color="auto"/>
                <w:color w:val="0000EE"/>
              </w:rPr>
            </w:pPr>
            <w:hyperlink r:id="rId114">
              <w:r>
                <w:rPr>
                  <w:rFonts w:ascii="Arial" w:cs="Arial" w:eastAsia="Arial" w:hAnsi="Arial"/>
                  <w:sz w:val="12"/>
                  <w:szCs w:val="12"/>
                  <w:u w:val="single" w:color="auto"/>
                  <w:color w:val="0000EE"/>
                </w:rPr>
                <w:t>Incorporation of El Pollo Loco Holdings, Inc.</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4"/>
        </w:trPr>
        <w:tc>
          <w:tcPr>
            <w:tcW w:w="820" w:type="dxa"/>
            <w:vAlign w:val="bottom"/>
          </w:tcPr>
          <w:p>
            <w:pPr>
              <w:ind w:left="4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Borders>
              <w:bottom w:val="single" w:sz="8" w:color="0000EE"/>
            </w:tcBorders>
            <w:gridSpan w:val="12"/>
          </w:tcPr>
          <w:p>
            <w:pPr>
              <w:spacing w:after="0"/>
              <w:rPr>
                <w:rFonts w:ascii="Arial" w:cs="Arial" w:eastAsia="Arial" w:hAnsi="Arial"/>
                <w:sz w:val="12"/>
                <w:szCs w:val="12"/>
                <w:color w:val="0000EE"/>
                <w:w w:val="91"/>
              </w:rPr>
            </w:pPr>
            <w:hyperlink r:id="rId115">
              <w:r>
                <w:rPr>
                  <w:rFonts w:ascii="Arial" w:cs="Arial" w:eastAsia="Arial" w:hAnsi="Arial"/>
                  <w:sz w:val="12"/>
                  <w:szCs w:val="12"/>
                  <w:color w:val="0000EE"/>
                  <w:w w:val="91"/>
                </w:rPr>
                <w:t>Amended and Restated By-Laws of El Pollo Loco</w:t>
              </w:r>
            </w:hyperlink>
          </w:p>
        </w:tc>
        <w:tc>
          <w:tcPr>
            <w:tcW w:w="12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10-Q</w:t>
            </w:r>
          </w:p>
        </w:tc>
        <w:tc>
          <w:tcPr>
            <w:tcW w:w="960" w:type="dxa"/>
            <w:vAlign w:val="bottom"/>
          </w:tcPr>
          <w:p>
            <w:pPr>
              <w:jc w:val="right"/>
              <w:spacing w:after="0"/>
              <w:rPr>
                <w:sz w:val="20"/>
                <w:szCs w:val="20"/>
                <w:color w:val="auto"/>
              </w:rPr>
            </w:pPr>
            <w:r>
              <w:rPr>
                <w:rFonts w:ascii="Arial" w:cs="Arial" w:eastAsia="Arial" w:hAnsi="Arial"/>
                <w:sz w:val="12"/>
                <w:szCs w:val="12"/>
                <w:color w:val="auto"/>
              </w:rPr>
              <w:t>6/25/2014</w:t>
            </w:r>
          </w:p>
        </w:tc>
        <w:tc>
          <w:tcPr>
            <w:tcW w:w="8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9/5/2014</w:t>
            </w: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bottom w:val="single" w:sz="8" w:color="0000EE"/>
            </w:tcBorders>
            <w:gridSpan w:val="2"/>
          </w:tcPr>
          <w:p>
            <w:pPr>
              <w:spacing w:after="0" w:line="124" w:lineRule="exact"/>
              <w:rPr>
                <w:rFonts w:ascii="Arial" w:cs="Arial" w:eastAsia="Arial" w:hAnsi="Arial"/>
                <w:sz w:val="12"/>
                <w:szCs w:val="12"/>
                <w:color w:val="0000EE"/>
                <w:w w:val="93"/>
              </w:rPr>
            </w:pPr>
            <w:hyperlink r:id="rId115">
              <w:r>
                <w:rPr>
                  <w:rFonts w:ascii="Arial" w:cs="Arial" w:eastAsia="Arial" w:hAnsi="Arial"/>
                  <w:sz w:val="12"/>
                  <w:szCs w:val="12"/>
                  <w:color w:val="0000EE"/>
                  <w:w w:val="93"/>
                </w:rPr>
                <w:t>Holdings, Inc.</w:t>
              </w:r>
            </w:hyperlink>
          </w:p>
        </w:tc>
        <w:tc>
          <w:tcPr>
            <w:tcW w:w="1840" w:type="dxa"/>
            <w:vAlign w:val="bottom"/>
            <w:gridSpan w:val="14"/>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1"/>
        </w:trPr>
        <w:tc>
          <w:tcPr>
            <w:tcW w:w="820" w:type="dxa"/>
            <w:vAlign w:val="bottom"/>
          </w:tcPr>
          <w:p>
            <w:pPr>
              <w:ind w:left="4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16"/>
          </w:tcPr>
          <w:p>
            <w:pPr>
              <w:spacing w:after="0"/>
              <w:rPr>
                <w:rFonts w:ascii="Arial" w:cs="Arial" w:eastAsia="Arial" w:hAnsi="Arial"/>
                <w:sz w:val="12"/>
                <w:szCs w:val="12"/>
                <w:color w:val="0000EE"/>
              </w:rPr>
            </w:pPr>
            <w:hyperlink r:id="rId116">
              <w:r>
                <w:rPr>
                  <w:rFonts w:ascii="Arial" w:cs="Arial" w:eastAsia="Arial" w:hAnsi="Arial"/>
                  <w:sz w:val="12"/>
                  <w:szCs w:val="12"/>
                  <w:color w:val="0000EE"/>
                </w:rPr>
                <w:t>Description of El Pollo Loco Holdings, Inc.</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10-K</w:t>
            </w:r>
          </w:p>
        </w:tc>
        <w:tc>
          <w:tcPr>
            <w:tcW w:w="960" w:type="dxa"/>
            <w:vAlign w:val="bottom"/>
          </w:tcPr>
          <w:p>
            <w:pPr>
              <w:jc w:val="right"/>
              <w:spacing w:after="0"/>
              <w:rPr>
                <w:sz w:val="20"/>
                <w:szCs w:val="20"/>
                <w:color w:val="auto"/>
              </w:rPr>
            </w:pPr>
            <w:r>
              <w:rPr>
                <w:rFonts w:ascii="Arial" w:cs="Arial" w:eastAsia="Arial" w:hAnsi="Arial"/>
                <w:sz w:val="12"/>
                <w:szCs w:val="12"/>
                <w:color w:val="auto"/>
              </w:rPr>
              <w:t>12/25/2019</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3/6/2020</w:t>
            </w:r>
          </w:p>
        </w:tc>
        <w:tc>
          <w:tcPr>
            <w:tcW w:w="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90"/>
              </w:rPr>
            </w:pPr>
            <w:hyperlink r:id="rId116">
              <w:r>
                <w:rPr>
                  <w:rFonts w:ascii="Arial" w:cs="Arial" w:eastAsia="Arial" w:hAnsi="Arial"/>
                  <w:sz w:val="12"/>
                  <w:szCs w:val="12"/>
                  <w:color w:val="0000EE"/>
                  <w:w w:val="90"/>
                </w:rPr>
                <w:t>Capital Stock</w:t>
              </w:r>
            </w:hyperlink>
          </w:p>
        </w:tc>
        <w:tc>
          <w:tcPr>
            <w:tcW w:w="1440" w:type="dxa"/>
            <w:vAlign w:val="bottom"/>
            <w:tcBorders>
              <w:top w:val="single" w:sz="8" w:color="0000EE"/>
            </w:tcBorders>
            <w:gridSpan w:val="6"/>
          </w:tcPr>
          <w:p>
            <w:pPr>
              <w:spacing w:after="0"/>
              <w:rPr>
                <w:sz w:val="10"/>
                <w:szCs w:val="10"/>
                <w:color w:val="auto"/>
              </w:rPr>
            </w:pPr>
          </w:p>
        </w:tc>
        <w:tc>
          <w:tcPr>
            <w:tcW w:w="440" w:type="dxa"/>
            <w:vAlign w:val="bottom"/>
            <w:gridSpan w:val="9"/>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1"/>
        </w:trPr>
        <w:tc>
          <w:tcPr>
            <w:tcW w:w="820" w:type="dxa"/>
            <w:vAlign w:val="bottom"/>
          </w:tcPr>
          <w:p>
            <w:pPr>
              <w:ind w:left="40"/>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EE"/>
            </w:tcBorders>
            <w:gridSpan w:val="13"/>
          </w:tcPr>
          <w:p>
            <w:pPr>
              <w:spacing w:after="0"/>
              <w:rPr>
                <w:rFonts w:ascii="Arial" w:cs="Arial" w:eastAsia="Arial" w:hAnsi="Arial"/>
                <w:sz w:val="12"/>
                <w:szCs w:val="12"/>
                <w:color w:val="0000EE"/>
                <w:w w:val="90"/>
              </w:rPr>
            </w:pPr>
            <w:hyperlink r:id="rId117">
              <w:r>
                <w:rPr>
                  <w:rFonts w:ascii="Arial" w:cs="Arial" w:eastAsia="Arial" w:hAnsi="Arial"/>
                  <w:sz w:val="12"/>
                  <w:szCs w:val="12"/>
                  <w:color w:val="0000EE"/>
                  <w:w w:val="90"/>
                </w:rPr>
                <w:t>Income Tax Receivable Agreement, dated July 30,</w:t>
              </w:r>
            </w:hyperlink>
          </w:p>
        </w:tc>
        <w:tc>
          <w:tcPr>
            <w:tcW w:w="10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10-Q</w:t>
            </w:r>
          </w:p>
        </w:tc>
        <w:tc>
          <w:tcPr>
            <w:tcW w:w="960" w:type="dxa"/>
            <w:vAlign w:val="bottom"/>
          </w:tcPr>
          <w:p>
            <w:pPr>
              <w:jc w:val="right"/>
              <w:spacing w:after="0"/>
              <w:rPr>
                <w:sz w:val="20"/>
                <w:szCs w:val="20"/>
                <w:color w:val="auto"/>
              </w:rPr>
            </w:pPr>
            <w:r>
              <w:rPr>
                <w:rFonts w:ascii="Arial" w:cs="Arial" w:eastAsia="Arial" w:hAnsi="Arial"/>
                <w:sz w:val="12"/>
                <w:szCs w:val="12"/>
                <w:color w:val="auto"/>
              </w:rPr>
              <w:t>9/24/2014</w:t>
            </w:r>
          </w:p>
        </w:tc>
        <w:tc>
          <w:tcPr>
            <w:tcW w:w="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11/7/2014</w:t>
            </w:r>
          </w:p>
        </w:tc>
        <w:tc>
          <w:tcPr>
            <w:tcW w:w="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17">
              <w:r>
                <w:rPr>
                  <w:rFonts w:ascii="Arial" w:cs="Arial" w:eastAsia="Arial" w:hAnsi="Arial"/>
                  <w:sz w:val="12"/>
                  <w:szCs w:val="12"/>
                  <w:color w:val="0000EE"/>
                  <w:w w:val="91"/>
                </w:rPr>
                <w:t>2014, between El Pollo Loco Holdings, Inc., and</w:t>
              </w:r>
            </w:hyperlink>
          </w:p>
        </w:tc>
        <w:tc>
          <w:tcPr>
            <w:tcW w:w="180" w:type="dxa"/>
            <w:vAlign w:val="bottom"/>
            <w:gridSpan w:val="5"/>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17">
              <w:r>
                <w:rPr>
                  <w:rFonts w:ascii="Arial" w:cs="Arial" w:eastAsia="Arial" w:hAnsi="Arial"/>
                  <w:sz w:val="12"/>
                  <w:szCs w:val="12"/>
                  <w:color w:val="0000EE"/>
                  <w:w w:val="91"/>
                </w:rPr>
                <w:t>Trimaran Pollo Partners, L.L.C.</w:t>
              </w:r>
            </w:hyperlink>
          </w:p>
        </w:tc>
        <w:tc>
          <w:tcPr>
            <w:tcW w:w="1000" w:type="dxa"/>
            <w:vAlign w:val="bottom"/>
            <w:gridSpan w:val="13"/>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1"/>
        </w:trPr>
        <w:tc>
          <w:tcPr>
            <w:tcW w:w="820" w:type="dxa"/>
            <w:vAlign w:val="bottom"/>
          </w:tcPr>
          <w:p>
            <w:pPr>
              <w:ind w:left="40"/>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bottom w:val="single" w:sz="8" w:color="0000EE"/>
            </w:tcBorders>
            <w:gridSpan w:val="14"/>
          </w:tcPr>
          <w:p>
            <w:pPr>
              <w:spacing w:after="0"/>
              <w:rPr>
                <w:rFonts w:ascii="Arial" w:cs="Arial" w:eastAsia="Arial" w:hAnsi="Arial"/>
                <w:sz w:val="12"/>
                <w:szCs w:val="12"/>
                <w:color w:val="0000EE"/>
                <w:w w:val="89"/>
              </w:rPr>
            </w:pPr>
            <w:hyperlink r:id="rId118">
              <w:r>
                <w:rPr>
                  <w:rFonts w:ascii="Arial" w:cs="Arial" w:eastAsia="Arial" w:hAnsi="Arial"/>
                  <w:sz w:val="12"/>
                  <w:szCs w:val="12"/>
                  <w:color w:val="0000EE"/>
                  <w:w w:val="89"/>
                </w:rPr>
                <w:t>Credit Agreement, dated as of December 11, 2014,</w:t>
              </w:r>
            </w:hyperlink>
          </w:p>
        </w:tc>
        <w:tc>
          <w:tcPr>
            <w:tcW w:w="8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8-K</w:t>
            </w: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N/A</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12/16/2014</w:t>
            </w:r>
          </w:p>
        </w:tc>
        <w:tc>
          <w:tcPr>
            <w:tcW w:w="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gridSpan w:val="16"/>
          </w:tcPr>
          <w:p>
            <w:pPr>
              <w:spacing w:after="0" w:line="124" w:lineRule="exact"/>
              <w:rPr>
                <w:rFonts w:ascii="Arial" w:cs="Arial" w:eastAsia="Arial" w:hAnsi="Arial"/>
                <w:sz w:val="12"/>
                <w:szCs w:val="12"/>
                <w:color w:val="0000EE"/>
                <w:w w:val="99"/>
              </w:rPr>
            </w:pPr>
            <w:hyperlink r:id="rId118">
              <w:r>
                <w:rPr>
                  <w:rFonts w:ascii="Arial" w:cs="Arial" w:eastAsia="Arial" w:hAnsi="Arial"/>
                  <w:sz w:val="12"/>
                  <w:szCs w:val="12"/>
                  <w:color w:val="0000EE"/>
                  <w:w w:val="99"/>
                </w:rPr>
                <w:t>among El Pollo Loco, Inc., as borrower, El Pollo</w:t>
              </w:r>
            </w:hyperlink>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bottom w:val="single" w:sz="8" w:color="0000EE"/>
            </w:tcBorders>
            <w:gridSpan w:val="11"/>
          </w:tcPr>
          <w:p>
            <w:pPr>
              <w:spacing w:after="0" w:line="124" w:lineRule="exact"/>
              <w:rPr>
                <w:rFonts w:ascii="Arial" w:cs="Arial" w:eastAsia="Arial" w:hAnsi="Arial"/>
                <w:sz w:val="12"/>
                <w:szCs w:val="12"/>
                <w:color w:val="0000EE"/>
                <w:w w:val="92"/>
              </w:rPr>
            </w:pPr>
            <w:hyperlink r:id="rId118">
              <w:r>
                <w:rPr>
                  <w:rFonts w:ascii="Arial" w:cs="Arial" w:eastAsia="Arial" w:hAnsi="Arial"/>
                  <w:sz w:val="12"/>
                  <w:szCs w:val="12"/>
                  <w:color w:val="0000EE"/>
                  <w:w w:val="92"/>
                </w:rPr>
                <w:t>Loco Holdings, Inc., and EPL Intermediate, Inc.,</w:t>
              </w:r>
            </w:hyperlink>
          </w:p>
        </w:tc>
        <w:tc>
          <w:tcPr>
            <w:tcW w:w="180" w:type="dxa"/>
            <w:vAlign w:val="bottom"/>
            <w:gridSpan w:val="5"/>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r:id="rId118">
              <w:r>
                <w:rPr>
                  <w:rFonts w:ascii="Arial" w:cs="Arial" w:eastAsia="Arial" w:hAnsi="Arial"/>
                  <w:sz w:val="12"/>
                  <w:szCs w:val="12"/>
                  <w:color w:val="0000EE"/>
                  <w:w w:val="91"/>
                </w:rPr>
                <w:t>as guarantors, Bank of America, N.A., as</w:t>
              </w:r>
            </w:hyperlink>
          </w:p>
        </w:tc>
        <w:tc>
          <w:tcPr>
            <w:tcW w:w="540" w:type="dxa"/>
            <w:vAlign w:val="bottom"/>
            <w:gridSpan w:val="10"/>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bottom w:val="single" w:sz="8" w:color="0000EE"/>
            </w:tcBorders>
            <w:gridSpan w:val="14"/>
          </w:tcPr>
          <w:p>
            <w:pPr>
              <w:spacing w:after="0" w:line="124" w:lineRule="exact"/>
              <w:rPr>
                <w:rFonts w:ascii="Arial" w:cs="Arial" w:eastAsia="Arial" w:hAnsi="Arial"/>
                <w:sz w:val="12"/>
                <w:szCs w:val="12"/>
                <w:color w:val="0000EE"/>
                <w:w w:val="91"/>
              </w:rPr>
            </w:pPr>
            <w:hyperlink r:id="rId118">
              <w:r>
                <w:rPr>
                  <w:rFonts w:ascii="Arial" w:cs="Arial" w:eastAsia="Arial" w:hAnsi="Arial"/>
                  <w:sz w:val="12"/>
                  <w:szCs w:val="12"/>
                  <w:color w:val="0000EE"/>
                  <w:w w:val="91"/>
                </w:rPr>
                <w:t>administrative agent, swingline lender and letter of</w:t>
              </w:r>
            </w:hyperlink>
          </w:p>
        </w:tc>
        <w:tc>
          <w:tcPr>
            <w:tcW w:w="8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42"/>
        </w:trPr>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16"/>
          </w:tcPr>
          <w:p>
            <w:pPr>
              <w:spacing w:after="0"/>
              <w:rPr>
                <w:rFonts w:ascii="Arial" w:cs="Arial" w:eastAsia="Arial" w:hAnsi="Arial"/>
                <w:sz w:val="12"/>
                <w:szCs w:val="12"/>
                <w:u w:val="single" w:color="auto"/>
                <w:color w:val="0000EE"/>
              </w:rPr>
            </w:pPr>
            <w:hyperlink r:id="rId118">
              <w:r>
                <w:rPr>
                  <w:rFonts w:ascii="Arial" w:cs="Arial" w:eastAsia="Arial" w:hAnsi="Arial"/>
                  <w:sz w:val="12"/>
                  <w:szCs w:val="12"/>
                  <w:u w:val="single" w:color="auto"/>
                  <w:color w:val="0000EE"/>
                </w:rPr>
                <w:t>credit issuer, the lenders party thereto, and the</w:t>
              </w:r>
            </w:hyperlink>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3"/>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gridSpan w:val="16"/>
          </w:tcPr>
          <w:p>
            <w:pPr>
              <w:spacing w:after="0"/>
              <w:rPr>
                <w:rFonts w:ascii="Arial" w:cs="Arial" w:eastAsia="Arial" w:hAnsi="Arial"/>
                <w:sz w:val="12"/>
                <w:szCs w:val="12"/>
                <w:u w:val="single" w:color="auto"/>
                <w:color w:val="0000EE"/>
              </w:rPr>
            </w:pPr>
            <w:hyperlink r:id="rId118">
              <w:r>
                <w:rPr>
                  <w:rFonts w:ascii="Arial" w:cs="Arial" w:eastAsia="Arial" w:hAnsi="Arial"/>
                  <w:sz w:val="12"/>
                  <w:szCs w:val="12"/>
                  <w:u w:val="single" w:color="auto"/>
                  <w:color w:val="0000EE"/>
                </w:rPr>
                <w:t>other parties thereto</w:t>
              </w:r>
            </w:hyperlink>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4"/>
        </w:trPr>
        <w:tc>
          <w:tcPr>
            <w:tcW w:w="820" w:type="dxa"/>
            <w:vAlign w:val="bottom"/>
          </w:tcPr>
          <w:p>
            <w:pPr>
              <w:ind w:left="40"/>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16"/>
          </w:tcPr>
          <w:p>
            <w:pPr>
              <w:spacing w:after="0"/>
              <w:rPr>
                <w:rFonts w:ascii="Arial" w:cs="Arial" w:eastAsia="Arial" w:hAnsi="Arial"/>
                <w:sz w:val="12"/>
                <w:szCs w:val="12"/>
                <w:color w:val="0000EE"/>
                <w:w w:val="99"/>
              </w:rPr>
            </w:pPr>
            <w:hyperlink r:id="rId119">
              <w:r>
                <w:rPr>
                  <w:rFonts w:ascii="Arial" w:cs="Arial" w:eastAsia="Arial" w:hAnsi="Arial"/>
                  <w:sz w:val="12"/>
                  <w:szCs w:val="12"/>
                  <w:color w:val="0000EE"/>
                  <w:w w:val="99"/>
                </w:rPr>
                <w:t>Franchise Development Agreement (Exclusive),</w:t>
              </w:r>
            </w:hyperlink>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8-K</w:t>
            </w: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N/A</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8/22/2014</w:t>
            </w: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0"/>
              </w:rPr>
            </w:pPr>
            <w:hyperlink r:id="rId119">
              <w:r>
                <w:rPr>
                  <w:rFonts w:ascii="Arial" w:cs="Arial" w:eastAsia="Arial" w:hAnsi="Arial"/>
                  <w:sz w:val="12"/>
                  <w:szCs w:val="12"/>
                  <w:color w:val="0000EE"/>
                  <w:w w:val="90"/>
                </w:rPr>
                <w:t>dated August 20, 2014, between El Pollo</w:t>
              </w:r>
            </w:hyperlink>
          </w:p>
        </w:tc>
        <w:tc>
          <w:tcPr>
            <w:tcW w:w="360" w:type="dxa"/>
            <w:vAlign w:val="bottom"/>
            <w:tcBorders>
              <w:top w:val="single" w:sz="8" w:color="0000EE"/>
            </w:tcBorders>
            <w:gridSpan w:val="5"/>
          </w:tcPr>
          <w:p>
            <w:pPr>
              <w:spacing w:after="0"/>
              <w:rPr>
                <w:sz w:val="10"/>
                <w:szCs w:val="10"/>
                <w:color w:val="auto"/>
              </w:rPr>
            </w:pPr>
          </w:p>
        </w:tc>
        <w:tc>
          <w:tcPr>
            <w:tcW w:w="200" w:type="dxa"/>
            <w:vAlign w:val="bottom"/>
            <w:gridSpan w:val="6"/>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gridSpan w:val="16"/>
          </w:tcPr>
          <w:p>
            <w:pPr>
              <w:spacing w:after="0" w:line="124" w:lineRule="exact"/>
              <w:rPr>
                <w:rFonts w:ascii="Arial" w:cs="Arial" w:eastAsia="Arial" w:hAnsi="Arial"/>
                <w:sz w:val="12"/>
                <w:szCs w:val="12"/>
                <w:color w:val="0000EE"/>
              </w:rPr>
            </w:pPr>
            <w:hyperlink r:id="rId119">
              <w:r>
                <w:rPr>
                  <w:rFonts w:ascii="Arial" w:cs="Arial" w:eastAsia="Arial" w:hAnsi="Arial"/>
                  <w:sz w:val="12"/>
                  <w:szCs w:val="12"/>
                  <w:color w:val="0000EE"/>
                </w:rPr>
                <w:t>Loco, Inc., as franchisor, and Anil Yadav and</w:t>
              </w:r>
            </w:hyperlink>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1"/>
        </w:trPr>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0000EE"/>
            </w:tcBorders>
            <w:gridSpan w:val="9"/>
          </w:tcPr>
          <w:p>
            <w:pPr>
              <w:spacing w:after="0"/>
              <w:rPr>
                <w:rFonts w:ascii="Arial" w:cs="Arial" w:eastAsia="Arial" w:hAnsi="Arial"/>
                <w:sz w:val="12"/>
                <w:szCs w:val="12"/>
                <w:u w:val="single" w:color="auto"/>
                <w:color w:val="0000EE"/>
                <w:w w:val="97"/>
              </w:rPr>
            </w:pPr>
            <w:hyperlink r:id="rId119">
              <w:r>
                <w:rPr>
                  <w:rFonts w:ascii="Arial" w:cs="Arial" w:eastAsia="Arial" w:hAnsi="Arial"/>
                  <w:sz w:val="12"/>
                  <w:szCs w:val="12"/>
                  <w:u w:val="single" w:color="auto"/>
                  <w:color w:val="0000EE"/>
                  <w:w w:val="97"/>
                </w:rPr>
                <w:t>Atour Eyvazian, collectively, as developer</w:t>
              </w:r>
            </w:hyperlink>
          </w:p>
        </w:tc>
        <w:tc>
          <w:tcPr>
            <w:tcW w:w="36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4"/>
        </w:trPr>
        <w:tc>
          <w:tcPr>
            <w:tcW w:w="820" w:type="dxa"/>
            <w:vAlign w:val="bottom"/>
          </w:tcPr>
          <w:p>
            <w:pPr>
              <w:ind w:left="40"/>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bottom w:val="single" w:sz="8" w:color="0000EE"/>
            </w:tcBorders>
            <w:gridSpan w:val="8"/>
          </w:tcPr>
          <w:p>
            <w:pPr>
              <w:spacing w:after="0"/>
              <w:rPr>
                <w:rFonts w:ascii="Arial" w:cs="Arial" w:eastAsia="Arial" w:hAnsi="Arial"/>
                <w:sz w:val="12"/>
                <w:szCs w:val="12"/>
                <w:color w:val="0000EE"/>
                <w:w w:val="90"/>
              </w:rPr>
            </w:pPr>
            <w:hyperlink r:id="rId120">
              <w:r>
                <w:rPr>
                  <w:rFonts w:ascii="Arial" w:cs="Arial" w:eastAsia="Arial" w:hAnsi="Arial"/>
                  <w:sz w:val="12"/>
                  <w:szCs w:val="12"/>
                  <w:color w:val="0000EE"/>
                  <w:w w:val="90"/>
                </w:rPr>
                <w:t>Consent to and Assignment of Development</w:t>
              </w:r>
            </w:hyperlink>
          </w:p>
        </w:tc>
        <w:tc>
          <w:tcPr>
            <w:tcW w:w="400" w:type="dxa"/>
            <w:vAlign w:val="bottom"/>
            <w:gridSpan w:val="8"/>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8-K</w:t>
            </w:r>
          </w:p>
        </w:tc>
        <w:tc>
          <w:tcPr>
            <w:tcW w:w="1040" w:type="dxa"/>
            <w:vAlign w:val="bottom"/>
            <w:gridSpan w:val="2"/>
          </w:tcPr>
          <w:p>
            <w:pPr>
              <w:ind w:left="720"/>
              <w:spacing w:after="0"/>
              <w:rPr>
                <w:sz w:val="20"/>
                <w:szCs w:val="20"/>
                <w:color w:val="auto"/>
              </w:rPr>
            </w:pPr>
            <w:r>
              <w:rPr>
                <w:rFonts w:ascii="Arial" w:cs="Arial" w:eastAsia="Arial" w:hAnsi="Arial"/>
                <w:sz w:val="12"/>
                <w:szCs w:val="12"/>
                <w:color w:val="auto"/>
              </w:rPr>
              <w:t>N/A</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10.2</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8/22/2014</w:t>
            </w: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0"/>
              </w:rPr>
              <w:t>001-36556</w:t>
            </w: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gridSpan w:val="16"/>
          </w:tcPr>
          <w:p>
            <w:pPr>
              <w:spacing w:after="0" w:line="124" w:lineRule="exact"/>
              <w:rPr>
                <w:rFonts w:ascii="Arial" w:cs="Arial" w:eastAsia="Arial" w:hAnsi="Arial"/>
                <w:sz w:val="12"/>
                <w:szCs w:val="12"/>
                <w:color w:val="0000EE"/>
                <w:w w:val="95"/>
              </w:rPr>
            </w:pPr>
            <w:hyperlink r:id="rId120">
              <w:r>
                <w:rPr>
                  <w:rFonts w:ascii="Arial" w:cs="Arial" w:eastAsia="Arial" w:hAnsi="Arial"/>
                  <w:sz w:val="12"/>
                  <w:szCs w:val="12"/>
                  <w:color w:val="0000EE"/>
                  <w:w w:val="95"/>
                </w:rPr>
                <w:t>Rights (Initial Change of Entity), dated August 20,</w:t>
              </w:r>
            </w:hyperlink>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4"/>
        </w:trPr>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EE"/>
            </w:tcBorders>
            <w:gridSpan w:val="13"/>
          </w:tcPr>
          <w:p>
            <w:pPr>
              <w:spacing w:after="0" w:line="124" w:lineRule="exact"/>
              <w:rPr>
                <w:rFonts w:ascii="Arial" w:cs="Arial" w:eastAsia="Arial" w:hAnsi="Arial"/>
                <w:sz w:val="12"/>
                <w:szCs w:val="12"/>
                <w:color w:val="0000EE"/>
                <w:w w:val="94"/>
              </w:rPr>
            </w:pPr>
            <w:hyperlink r:id="rId120">
              <w:r>
                <w:rPr>
                  <w:rFonts w:ascii="Arial" w:cs="Arial" w:eastAsia="Arial" w:hAnsi="Arial"/>
                  <w:sz w:val="12"/>
                  <w:szCs w:val="12"/>
                  <w:color w:val="0000EE"/>
                  <w:w w:val="94"/>
                </w:rPr>
                <w:t>2014, between El Pollo Loco, Inc., as franchisor,</w:t>
              </w:r>
            </w:hyperlink>
          </w:p>
        </w:tc>
        <w:tc>
          <w:tcPr>
            <w:tcW w:w="100" w:type="dxa"/>
            <w:vAlign w:val="bottom"/>
            <w:gridSpan w:val="3"/>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 w:lineRule="exact"/>
        <w:rPr>
          <w:sz w:val="20"/>
          <w:szCs w:val="20"/>
          <w:color w:val="auto"/>
        </w:rPr>
      </w:pPr>
    </w:p>
    <w:p>
      <w:pPr>
        <w:ind w:left="940"/>
        <w:spacing w:after="0"/>
        <w:rPr>
          <w:rFonts w:ascii="Arial" w:cs="Arial" w:eastAsia="Arial" w:hAnsi="Arial"/>
          <w:sz w:val="12"/>
          <w:szCs w:val="12"/>
          <w:u w:val="single" w:color="auto"/>
          <w:color w:val="0000EE"/>
        </w:rPr>
      </w:pPr>
      <w:hyperlink r:id="rId120">
        <w:r>
          <w:rPr>
            <w:rFonts w:ascii="Arial" w:cs="Arial" w:eastAsia="Arial" w:hAnsi="Arial"/>
            <w:sz w:val="12"/>
            <w:szCs w:val="12"/>
            <w:u w:val="single" w:color="auto"/>
            <w:color w:val="0000EE"/>
          </w:rPr>
          <w:t>and (i) Anil Yadav and Atour Eyvazian,</w:t>
        </w:r>
      </w:hyperlink>
    </w:p>
    <w:p>
      <w:pPr>
        <w:spacing w:after="0" w:line="15" w:lineRule="exact"/>
        <w:rPr>
          <w:sz w:val="20"/>
          <w:szCs w:val="20"/>
          <w:color w:val="auto"/>
        </w:rPr>
      </w:pPr>
    </w:p>
    <w:p>
      <w:pPr>
        <w:ind w:left="940"/>
        <w:spacing w:after="0"/>
        <w:rPr>
          <w:rFonts w:ascii="Arial" w:cs="Arial" w:eastAsia="Arial" w:hAnsi="Arial"/>
          <w:sz w:val="12"/>
          <w:szCs w:val="12"/>
          <w:u w:val="single" w:color="auto"/>
          <w:color w:val="0000EE"/>
        </w:rPr>
      </w:pPr>
      <w:hyperlink r:id="rId120">
        <w:r>
          <w:rPr>
            <w:rFonts w:ascii="Arial" w:cs="Arial" w:eastAsia="Arial" w:hAnsi="Arial"/>
            <w:sz w:val="12"/>
            <w:szCs w:val="12"/>
            <w:u w:val="single" w:color="auto"/>
            <w:color w:val="0000EE"/>
          </w:rPr>
          <w:t>collectively, as assignor, and (ii) AA Pollo, Inc., as</w:t>
        </w:r>
      </w:hyperlink>
    </w:p>
    <w:p>
      <w:pPr>
        <w:spacing w:after="0" w:line="6" w:lineRule="exact"/>
        <w:rPr>
          <w:sz w:val="20"/>
          <w:szCs w:val="20"/>
          <w:color w:val="auto"/>
        </w:rPr>
      </w:pPr>
    </w:p>
    <w:p>
      <w:pPr>
        <w:ind w:left="940"/>
        <w:spacing w:after="0"/>
        <w:rPr>
          <w:rFonts w:ascii="Arial" w:cs="Arial" w:eastAsia="Arial" w:hAnsi="Arial"/>
          <w:sz w:val="12"/>
          <w:szCs w:val="12"/>
          <w:u w:val="single" w:color="auto"/>
          <w:color w:val="0000EE"/>
        </w:rPr>
      </w:pPr>
      <w:hyperlink r:id="rId120">
        <w:r>
          <w:rPr>
            <w:rFonts w:ascii="Arial" w:cs="Arial" w:eastAsia="Arial" w:hAnsi="Arial"/>
            <w:sz w:val="12"/>
            <w:szCs w:val="12"/>
            <w:u w:val="single" w:color="auto"/>
            <w:color w:val="0000EE"/>
          </w:rPr>
          <w:t>assignee</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153"/>
        </w:trPr>
        <w:tc>
          <w:tcPr>
            <w:tcW w:w="920" w:type="dxa"/>
            <w:vAlign w:val="bottom"/>
          </w:tcPr>
          <w:p>
            <w:pPr>
              <w:spacing w:after="0"/>
              <w:rPr>
                <w:rFonts w:ascii="Arial" w:cs="Arial" w:eastAsia="Arial" w:hAnsi="Arial"/>
                <w:sz w:val="12"/>
                <w:szCs w:val="12"/>
                <w:u w:val="single" w:color="auto"/>
                <w:color w:val="0000EE"/>
                <w:w w:val="94"/>
              </w:rPr>
            </w:pPr>
            <w:hyperlink w:anchor="page2">
              <w:r>
                <w:rPr>
                  <w:rFonts w:ascii="Arial" w:cs="Arial" w:eastAsia="Arial" w:hAnsi="Arial"/>
                  <w:sz w:val="12"/>
                  <w:szCs w:val="12"/>
                  <w:u w:val="single" w:color="auto"/>
                  <w:color w:val="0000EE"/>
                  <w:w w:val="94"/>
                </w:rPr>
                <w:t>Table of Contents</w:t>
              </w:r>
            </w:hyperlink>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828"/>
        </w:trPr>
        <w:tc>
          <w:tcPr>
            <w:tcW w:w="920" w:type="dxa"/>
            <w:vAlign w:val="bottom"/>
          </w:tcPr>
          <w:p>
            <w:pPr>
              <w:ind w:left="40"/>
              <w:spacing w:after="0"/>
              <w:rPr>
                <w:sz w:val="20"/>
                <w:szCs w:val="20"/>
                <w:color w:val="auto"/>
              </w:rPr>
            </w:pPr>
            <w:r>
              <w:rPr>
                <w:rFonts w:ascii="Arial" w:cs="Arial" w:eastAsia="Arial" w:hAnsi="Arial"/>
                <w:sz w:val="12"/>
                <w:szCs w:val="12"/>
                <w:color w:val="auto"/>
              </w:rPr>
              <w:t>10.5</w:t>
            </w:r>
          </w:p>
        </w:tc>
        <w:tc>
          <w:tcPr>
            <w:tcW w:w="2400" w:type="dxa"/>
            <w:vAlign w:val="bottom"/>
            <w:tcBorders>
              <w:bottom w:val="single" w:sz="8" w:color="0000EE"/>
            </w:tcBorders>
            <w:gridSpan w:val="13"/>
          </w:tcPr>
          <w:p>
            <w:pPr>
              <w:spacing w:after="0"/>
              <w:rPr>
                <w:rFonts w:ascii="Arial" w:cs="Arial" w:eastAsia="Arial" w:hAnsi="Arial"/>
                <w:sz w:val="12"/>
                <w:szCs w:val="12"/>
                <w:color w:val="0000EE"/>
                <w:w w:val="90"/>
              </w:rPr>
            </w:pPr>
            <w:hyperlink r:id="rId122">
              <w:r>
                <w:rPr>
                  <w:rFonts w:ascii="Arial" w:cs="Arial" w:eastAsia="Arial" w:hAnsi="Arial"/>
                  <w:sz w:val="12"/>
                  <w:szCs w:val="12"/>
                  <w:color w:val="0000EE"/>
                  <w:w w:val="90"/>
                </w:rPr>
                <w:t>Franchise Development Option Agreement, dated</w:t>
              </w:r>
            </w:hyperlink>
          </w:p>
        </w:tc>
        <w:tc>
          <w:tcPr>
            <w:tcW w:w="560" w:type="dxa"/>
            <w:vAlign w:val="bottom"/>
            <w:gridSpan w:val="3"/>
          </w:tcPr>
          <w:p>
            <w:pPr>
              <w:spacing w:after="0"/>
              <w:rPr>
                <w:sz w:val="24"/>
                <w:szCs w:val="24"/>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S-1/A</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10.14</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7/14/2014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30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r:id="rId122">
              <w:r>
                <w:rPr>
                  <w:rFonts w:ascii="Arial" w:cs="Arial" w:eastAsia="Arial" w:hAnsi="Arial"/>
                  <w:sz w:val="12"/>
                  <w:szCs w:val="12"/>
                  <w:color w:val="0000EE"/>
                  <w:w w:val="91"/>
                </w:rPr>
                <w:t>July 11, 2014, between El Pollo Loco, Inc., and</w:t>
              </w:r>
            </w:hyperlink>
          </w:p>
        </w:tc>
        <w:tc>
          <w:tcPr>
            <w:tcW w:w="660" w:type="dxa"/>
            <w:vAlign w:val="bottom"/>
            <w:gridSpan w:val="5"/>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154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122">
              <w:r>
                <w:rPr>
                  <w:rFonts w:ascii="Arial" w:cs="Arial" w:eastAsia="Arial" w:hAnsi="Arial"/>
                  <w:sz w:val="12"/>
                  <w:szCs w:val="12"/>
                  <w:color w:val="0000EE"/>
                  <w:w w:val="91"/>
                </w:rPr>
                <w:t>Trimaran Pollo Partners, L.L.C.</w:t>
              </w:r>
            </w:hyperlink>
          </w:p>
        </w:tc>
        <w:tc>
          <w:tcPr>
            <w:tcW w:w="1420" w:type="dxa"/>
            <w:vAlign w:val="bottom"/>
            <w:gridSpan w:val="13"/>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10.6</w:t>
            </w:r>
          </w:p>
        </w:tc>
        <w:tc>
          <w:tcPr>
            <w:tcW w:w="1780" w:type="dxa"/>
            <w:vAlign w:val="bottom"/>
            <w:tcBorders>
              <w:bottom w:val="single" w:sz="8" w:color="0000EE"/>
            </w:tcBorders>
            <w:gridSpan w:val="4"/>
          </w:tcPr>
          <w:p>
            <w:pPr>
              <w:spacing w:after="0"/>
              <w:rPr>
                <w:rFonts w:ascii="Arial" w:cs="Arial" w:eastAsia="Arial" w:hAnsi="Arial"/>
                <w:sz w:val="12"/>
                <w:szCs w:val="12"/>
                <w:color w:val="0000EE"/>
                <w:w w:val="89"/>
              </w:rPr>
            </w:pPr>
            <w:hyperlink r:id="rId123">
              <w:r>
                <w:rPr>
                  <w:rFonts w:ascii="Arial" w:cs="Arial" w:eastAsia="Arial" w:hAnsi="Arial"/>
                  <w:sz w:val="12"/>
                  <w:szCs w:val="12"/>
                  <w:color w:val="0000EE"/>
                  <w:w w:val="89"/>
                </w:rPr>
                <w:t>Stockholders Agreement, dated as of</w:t>
              </w:r>
            </w:hyperlink>
          </w:p>
        </w:tc>
        <w:tc>
          <w:tcPr>
            <w:tcW w:w="1180" w:type="dxa"/>
            <w:vAlign w:val="bottom"/>
            <w:gridSpan w:val="12"/>
          </w:tcPr>
          <w:p>
            <w:pPr>
              <w:spacing w:after="0"/>
              <w:rPr>
                <w:sz w:val="13"/>
                <w:szCs w:val="13"/>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10.3</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3">
              <w:r>
                <w:rPr>
                  <w:rFonts w:ascii="Arial" w:cs="Arial" w:eastAsia="Arial" w:hAnsi="Arial"/>
                  <w:sz w:val="12"/>
                  <w:szCs w:val="12"/>
                  <w:color w:val="0000EE"/>
                </w:rPr>
                <w:t>November 18, 2005, by and among El Pollo Loco</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400" w:type="dxa"/>
            <w:vAlign w:val="bottom"/>
            <w:tcBorders>
              <w:top w:val="single" w:sz="8" w:color="0000EE"/>
            </w:tcBorders>
            <w:gridSpan w:val="13"/>
          </w:tcPr>
          <w:p>
            <w:pPr>
              <w:spacing w:after="0" w:line="124" w:lineRule="exact"/>
              <w:rPr>
                <w:rFonts w:ascii="Arial" w:cs="Arial" w:eastAsia="Arial" w:hAnsi="Arial"/>
                <w:sz w:val="12"/>
                <w:szCs w:val="12"/>
                <w:color w:val="0000EE"/>
              </w:rPr>
            </w:pPr>
            <w:hyperlink r:id="rId123">
              <w:r>
                <w:rPr>
                  <w:rFonts w:ascii="Arial" w:cs="Arial" w:eastAsia="Arial" w:hAnsi="Arial"/>
                  <w:sz w:val="12"/>
                  <w:szCs w:val="12"/>
                  <w:color w:val="0000EE"/>
                </w:rPr>
                <w:t>Holdings, Inc. (formerly Chicken Acquisition</w:t>
              </w:r>
            </w:hyperlink>
          </w:p>
        </w:tc>
        <w:tc>
          <w:tcPr>
            <w:tcW w:w="560" w:type="dxa"/>
            <w:vAlign w:val="bottom"/>
            <w:gridSpan w:val="3"/>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920" w:type="dxa"/>
            <w:vAlign w:val="bottom"/>
          </w:tcPr>
          <w:p>
            <w:pPr>
              <w:spacing w:after="0"/>
              <w:rPr>
                <w:sz w:val="13"/>
                <w:szCs w:val="13"/>
                <w:color w:val="auto"/>
              </w:rPr>
            </w:pPr>
          </w:p>
        </w:tc>
        <w:tc>
          <w:tcPr>
            <w:tcW w:w="2200" w:type="dxa"/>
            <w:vAlign w:val="bottom"/>
            <w:tcBorders>
              <w:top w:val="single" w:sz="8" w:color="0000EE"/>
            </w:tcBorders>
            <w:gridSpan w:val="7"/>
          </w:tcPr>
          <w:p>
            <w:pPr>
              <w:spacing w:after="0"/>
              <w:rPr>
                <w:rFonts w:ascii="Arial" w:cs="Arial" w:eastAsia="Arial" w:hAnsi="Arial"/>
                <w:sz w:val="12"/>
                <w:szCs w:val="12"/>
                <w:u w:val="single" w:color="auto"/>
                <w:color w:val="0000EE"/>
                <w:w w:val="99"/>
              </w:rPr>
            </w:pPr>
            <w:hyperlink r:id="rId123">
              <w:r>
                <w:rPr>
                  <w:rFonts w:ascii="Arial" w:cs="Arial" w:eastAsia="Arial" w:hAnsi="Arial"/>
                  <w:sz w:val="12"/>
                  <w:szCs w:val="12"/>
                  <w:u w:val="single" w:color="auto"/>
                  <w:color w:val="0000EE"/>
                  <w:w w:val="99"/>
                </w:rPr>
                <w:t>Corp.) and the stockholders listed therein</w:t>
              </w:r>
            </w:hyperlink>
          </w:p>
        </w:tc>
        <w:tc>
          <w:tcPr>
            <w:tcW w:w="760" w:type="dxa"/>
            <w:vAlign w:val="bottom"/>
            <w:gridSpan w:val="9"/>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10.7</w:t>
            </w:r>
          </w:p>
        </w:tc>
        <w:tc>
          <w:tcPr>
            <w:tcW w:w="2280" w:type="dxa"/>
            <w:vAlign w:val="bottom"/>
            <w:tcBorders>
              <w:bottom w:val="single" w:sz="8" w:color="0000EE"/>
            </w:tcBorders>
            <w:gridSpan w:val="10"/>
          </w:tcPr>
          <w:p>
            <w:pPr>
              <w:spacing w:after="0"/>
              <w:rPr>
                <w:rFonts w:ascii="Arial" w:cs="Arial" w:eastAsia="Arial" w:hAnsi="Arial"/>
                <w:sz w:val="12"/>
                <w:szCs w:val="12"/>
                <w:color w:val="0000EE"/>
                <w:w w:val="91"/>
              </w:rPr>
            </w:pPr>
            <w:hyperlink r:id="rId124">
              <w:r>
                <w:rPr>
                  <w:rFonts w:ascii="Arial" w:cs="Arial" w:eastAsia="Arial" w:hAnsi="Arial"/>
                  <w:sz w:val="12"/>
                  <w:szCs w:val="12"/>
                  <w:color w:val="0000EE"/>
                  <w:w w:val="91"/>
                </w:rPr>
                <w:t>Amendment No. 1 to Stockholders Agreement,</w:t>
              </w:r>
            </w:hyperlink>
          </w:p>
        </w:tc>
        <w:tc>
          <w:tcPr>
            <w:tcW w:w="680" w:type="dxa"/>
            <w:vAlign w:val="bottom"/>
            <w:gridSpan w:val="6"/>
          </w:tcPr>
          <w:p>
            <w:pPr>
              <w:spacing w:after="0"/>
              <w:rPr>
                <w:sz w:val="12"/>
                <w:szCs w:val="12"/>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10.4</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220" w:type="dxa"/>
            <w:vAlign w:val="bottom"/>
            <w:tcBorders>
              <w:bottom w:val="single" w:sz="8" w:color="0000EE"/>
            </w:tcBorders>
            <w:gridSpan w:val="8"/>
          </w:tcPr>
          <w:p>
            <w:pPr>
              <w:spacing w:after="0" w:line="124" w:lineRule="exact"/>
              <w:rPr>
                <w:rFonts w:ascii="Arial" w:cs="Arial" w:eastAsia="Arial" w:hAnsi="Arial"/>
                <w:sz w:val="12"/>
                <w:szCs w:val="12"/>
                <w:color w:val="0000EE"/>
                <w:w w:val="90"/>
              </w:rPr>
            </w:pPr>
            <w:hyperlink r:id="rId124">
              <w:r>
                <w:rPr>
                  <w:rFonts w:ascii="Arial" w:cs="Arial" w:eastAsia="Arial" w:hAnsi="Arial"/>
                  <w:sz w:val="12"/>
                  <w:szCs w:val="12"/>
                  <w:color w:val="0000EE"/>
                  <w:w w:val="90"/>
                </w:rPr>
                <w:t>dated as of April 20, 2006, by and between El</w:t>
              </w:r>
            </w:hyperlink>
          </w:p>
        </w:tc>
        <w:tc>
          <w:tcPr>
            <w:tcW w:w="740" w:type="dxa"/>
            <w:vAlign w:val="bottom"/>
            <w:gridSpan w:val="8"/>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180" w:type="dxa"/>
            <w:vAlign w:val="bottom"/>
            <w:tcBorders>
              <w:bottom w:val="single" w:sz="8" w:color="0000EE"/>
            </w:tcBorders>
            <w:gridSpan w:val="6"/>
          </w:tcPr>
          <w:p>
            <w:pPr>
              <w:spacing w:after="0" w:line="124" w:lineRule="exact"/>
              <w:rPr>
                <w:rFonts w:ascii="Arial" w:cs="Arial" w:eastAsia="Arial" w:hAnsi="Arial"/>
                <w:sz w:val="12"/>
                <w:szCs w:val="12"/>
                <w:color w:val="0000EE"/>
                <w:w w:val="94"/>
              </w:rPr>
            </w:pPr>
            <w:hyperlink r:id="rId124">
              <w:r>
                <w:rPr>
                  <w:rFonts w:ascii="Arial" w:cs="Arial" w:eastAsia="Arial" w:hAnsi="Arial"/>
                  <w:sz w:val="12"/>
                  <w:szCs w:val="12"/>
                  <w:color w:val="0000EE"/>
                  <w:w w:val="94"/>
                </w:rPr>
                <w:t>Pollo Loco Holdings, Inc. (formerly Chicken</w:t>
              </w:r>
            </w:hyperlink>
          </w:p>
        </w:tc>
        <w:tc>
          <w:tcPr>
            <w:tcW w:w="780" w:type="dxa"/>
            <w:vAlign w:val="bottom"/>
            <w:gridSpan w:val="10"/>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2"/>
        </w:trPr>
        <w:tc>
          <w:tcPr>
            <w:tcW w:w="920" w:type="dxa"/>
            <w:vAlign w:val="bottom"/>
          </w:tcPr>
          <w:p>
            <w:pPr>
              <w:spacing w:after="0"/>
              <w:rPr>
                <w:sz w:val="12"/>
                <w:szCs w:val="12"/>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4">
              <w:r>
                <w:rPr>
                  <w:rFonts w:ascii="Arial" w:cs="Arial" w:eastAsia="Arial" w:hAnsi="Arial"/>
                  <w:sz w:val="12"/>
                  <w:szCs w:val="12"/>
                  <w:u w:val="single" w:color="auto"/>
                  <w:color w:val="0000EE"/>
                </w:rPr>
                <w:t>Acquisition Corp.) and Trimaran Pollo Partners,</w:t>
              </w:r>
            </w:hyperlink>
          </w:p>
        </w:tc>
        <w:tc>
          <w:tcPr>
            <w:tcW w:w="1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920" w:type="dxa"/>
            <w:vAlign w:val="bottom"/>
          </w:tcPr>
          <w:p>
            <w:pPr>
              <w:spacing w:after="0"/>
              <w:rPr>
                <w:sz w:val="13"/>
                <w:szCs w:val="13"/>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4">
              <w:r>
                <w:rPr>
                  <w:rFonts w:ascii="Arial" w:cs="Arial" w:eastAsia="Arial" w:hAnsi="Arial"/>
                  <w:sz w:val="12"/>
                  <w:szCs w:val="12"/>
                  <w:u w:val="single" w:color="auto"/>
                  <w:color w:val="0000EE"/>
                </w:rPr>
                <w:t>L.L.C.</w:t>
              </w:r>
            </w:hyperlink>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10.8</w:t>
            </w:r>
          </w:p>
        </w:tc>
        <w:tc>
          <w:tcPr>
            <w:tcW w:w="2280" w:type="dxa"/>
            <w:vAlign w:val="bottom"/>
            <w:tcBorders>
              <w:bottom w:val="single" w:sz="8" w:color="0000EE"/>
            </w:tcBorders>
            <w:gridSpan w:val="10"/>
          </w:tcPr>
          <w:p>
            <w:pPr>
              <w:spacing w:after="0"/>
              <w:rPr>
                <w:rFonts w:ascii="Arial" w:cs="Arial" w:eastAsia="Arial" w:hAnsi="Arial"/>
                <w:sz w:val="12"/>
                <w:szCs w:val="12"/>
                <w:color w:val="0000EE"/>
                <w:w w:val="91"/>
              </w:rPr>
            </w:pPr>
            <w:hyperlink r:id="rId125">
              <w:r>
                <w:rPr>
                  <w:rFonts w:ascii="Arial" w:cs="Arial" w:eastAsia="Arial" w:hAnsi="Arial"/>
                  <w:sz w:val="12"/>
                  <w:szCs w:val="12"/>
                  <w:color w:val="0000EE"/>
                  <w:w w:val="91"/>
                </w:rPr>
                <w:t>Amendment No. 2 to Stockholders Agreement,</w:t>
              </w:r>
            </w:hyperlink>
          </w:p>
        </w:tc>
        <w:tc>
          <w:tcPr>
            <w:tcW w:w="680" w:type="dxa"/>
            <w:vAlign w:val="bottom"/>
            <w:gridSpan w:val="6"/>
          </w:tcPr>
          <w:p>
            <w:pPr>
              <w:spacing w:after="0"/>
              <w:rPr>
                <w:sz w:val="12"/>
                <w:szCs w:val="12"/>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10.5</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46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r:id="rId125">
              <w:r>
                <w:rPr>
                  <w:rFonts w:ascii="Arial" w:cs="Arial" w:eastAsia="Arial" w:hAnsi="Arial"/>
                  <w:sz w:val="12"/>
                  <w:szCs w:val="12"/>
                  <w:color w:val="0000EE"/>
                  <w:w w:val="89"/>
                </w:rPr>
                <w:t>dated as of December 26, 2007, by and between El</w:t>
              </w:r>
            </w:hyperlink>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180" w:type="dxa"/>
            <w:vAlign w:val="bottom"/>
            <w:tcBorders>
              <w:bottom w:val="single" w:sz="8" w:color="0000EE"/>
            </w:tcBorders>
            <w:gridSpan w:val="6"/>
          </w:tcPr>
          <w:p>
            <w:pPr>
              <w:spacing w:after="0" w:line="124" w:lineRule="exact"/>
              <w:rPr>
                <w:rFonts w:ascii="Arial" w:cs="Arial" w:eastAsia="Arial" w:hAnsi="Arial"/>
                <w:sz w:val="12"/>
                <w:szCs w:val="12"/>
                <w:color w:val="0000EE"/>
                <w:w w:val="94"/>
              </w:rPr>
            </w:pPr>
            <w:hyperlink r:id="rId125">
              <w:r>
                <w:rPr>
                  <w:rFonts w:ascii="Arial" w:cs="Arial" w:eastAsia="Arial" w:hAnsi="Arial"/>
                  <w:sz w:val="12"/>
                  <w:szCs w:val="12"/>
                  <w:color w:val="0000EE"/>
                  <w:w w:val="94"/>
                </w:rPr>
                <w:t>Pollo Loco Holdings, Inc. (formerly Chicken</w:t>
              </w:r>
            </w:hyperlink>
          </w:p>
        </w:tc>
        <w:tc>
          <w:tcPr>
            <w:tcW w:w="780" w:type="dxa"/>
            <w:vAlign w:val="bottom"/>
            <w:gridSpan w:val="10"/>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2"/>
        </w:trPr>
        <w:tc>
          <w:tcPr>
            <w:tcW w:w="920" w:type="dxa"/>
            <w:vAlign w:val="bottom"/>
          </w:tcPr>
          <w:p>
            <w:pPr>
              <w:spacing w:after="0"/>
              <w:rPr>
                <w:sz w:val="12"/>
                <w:szCs w:val="12"/>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5">
              <w:r>
                <w:rPr>
                  <w:rFonts w:ascii="Arial" w:cs="Arial" w:eastAsia="Arial" w:hAnsi="Arial"/>
                  <w:sz w:val="12"/>
                  <w:szCs w:val="12"/>
                  <w:u w:val="single" w:color="auto"/>
                  <w:color w:val="0000EE"/>
                </w:rPr>
                <w:t>Acquisition Corp.) and Trimaran Pollo Partners,</w:t>
              </w:r>
            </w:hyperlink>
          </w:p>
        </w:tc>
        <w:tc>
          <w:tcPr>
            <w:tcW w:w="1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920" w:type="dxa"/>
            <w:vAlign w:val="bottom"/>
          </w:tcPr>
          <w:p>
            <w:pPr>
              <w:spacing w:after="0"/>
              <w:rPr>
                <w:sz w:val="13"/>
                <w:szCs w:val="13"/>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5">
              <w:r>
                <w:rPr>
                  <w:rFonts w:ascii="Arial" w:cs="Arial" w:eastAsia="Arial" w:hAnsi="Arial"/>
                  <w:sz w:val="12"/>
                  <w:szCs w:val="12"/>
                  <w:u w:val="single" w:color="auto"/>
                  <w:color w:val="0000EE"/>
                </w:rPr>
                <w:t>L.L.C.</w:t>
              </w:r>
            </w:hyperlink>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10.9</w:t>
            </w:r>
          </w:p>
        </w:tc>
        <w:tc>
          <w:tcPr>
            <w:tcW w:w="2360" w:type="dxa"/>
            <w:vAlign w:val="bottom"/>
            <w:tcBorders>
              <w:bottom w:val="single" w:sz="8" w:color="0000EE"/>
            </w:tcBorders>
            <w:gridSpan w:val="12"/>
          </w:tcPr>
          <w:p>
            <w:pPr>
              <w:spacing w:after="0"/>
              <w:rPr>
                <w:rFonts w:ascii="Arial" w:cs="Arial" w:eastAsia="Arial" w:hAnsi="Arial"/>
                <w:sz w:val="12"/>
                <w:szCs w:val="12"/>
                <w:color w:val="0000EE"/>
                <w:w w:val="91"/>
              </w:rPr>
            </w:pPr>
            <w:hyperlink r:id="rId126">
              <w:r>
                <w:rPr>
                  <w:rFonts w:ascii="Arial" w:cs="Arial" w:eastAsia="Arial" w:hAnsi="Arial"/>
                  <w:sz w:val="12"/>
                  <w:szCs w:val="12"/>
                  <w:color w:val="0000EE"/>
                  <w:w w:val="91"/>
                </w:rPr>
                <w:t>Second Amended and Restated Limited Liability</w:t>
              </w:r>
            </w:hyperlink>
          </w:p>
        </w:tc>
        <w:tc>
          <w:tcPr>
            <w:tcW w:w="600" w:type="dxa"/>
            <w:vAlign w:val="bottom"/>
            <w:gridSpan w:val="4"/>
          </w:tcPr>
          <w:p>
            <w:pPr>
              <w:spacing w:after="0"/>
              <w:rPr>
                <w:sz w:val="12"/>
                <w:szCs w:val="12"/>
                <w:color w:val="auto"/>
              </w:rPr>
            </w:pPr>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10.6</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440" w:type="dxa"/>
            <w:vAlign w:val="bottom"/>
            <w:tcBorders>
              <w:bottom w:val="single" w:sz="8" w:color="0000EE"/>
            </w:tcBorders>
            <w:gridSpan w:val="14"/>
          </w:tcPr>
          <w:p>
            <w:pPr>
              <w:spacing w:after="0" w:line="124" w:lineRule="exact"/>
              <w:rPr>
                <w:rFonts w:ascii="Arial" w:cs="Arial" w:eastAsia="Arial" w:hAnsi="Arial"/>
                <w:sz w:val="12"/>
                <w:szCs w:val="12"/>
                <w:color w:val="0000EE"/>
                <w:w w:val="91"/>
              </w:rPr>
            </w:pPr>
            <w:hyperlink r:id="rId126">
              <w:r>
                <w:rPr>
                  <w:rFonts w:ascii="Arial" w:cs="Arial" w:eastAsia="Arial" w:hAnsi="Arial"/>
                  <w:sz w:val="12"/>
                  <w:szCs w:val="12"/>
                  <w:color w:val="0000EE"/>
                  <w:w w:val="91"/>
                </w:rPr>
                <w:t>Company Operating Agreement of Trimaran Pollo</w:t>
              </w:r>
            </w:hyperlink>
          </w:p>
        </w:tc>
        <w:tc>
          <w:tcPr>
            <w:tcW w:w="52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920" w:type="dxa"/>
            <w:vAlign w:val="bottom"/>
          </w:tcPr>
          <w:p>
            <w:pPr>
              <w:spacing w:after="0"/>
              <w:rPr>
                <w:sz w:val="13"/>
                <w:szCs w:val="13"/>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6">
              <w:r>
                <w:rPr>
                  <w:rFonts w:ascii="Arial" w:cs="Arial" w:eastAsia="Arial" w:hAnsi="Arial"/>
                  <w:sz w:val="12"/>
                  <w:szCs w:val="12"/>
                  <w:u w:val="single" w:color="auto"/>
                  <w:color w:val="0000EE"/>
                </w:rPr>
                <w:t>Partners, L.L.C., dated as of March 8, 2006</w:t>
              </w:r>
            </w:hyperlink>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10.10</w:t>
            </w:r>
          </w:p>
        </w:tc>
        <w:tc>
          <w:tcPr>
            <w:tcW w:w="2960" w:type="dxa"/>
            <w:vAlign w:val="bottom"/>
            <w:gridSpan w:val="16"/>
          </w:tcPr>
          <w:p>
            <w:pPr>
              <w:spacing w:after="0"/>
              <w:rPr>
                <w:rFonts w:ascii="Arial" w:cs="Arial" w:eastAsia="Arial" w:hAnsi="Arial"/>
                <w:sz w:val="12"/>
                <w:szCs w:val="12"/>
                <w:color w:val="0000EE"/>
              </w:rPr>
            </w:pPr>
            <w:hyperlink r:id="rId127">
              <w:r>
                <w:rPr>
                  <w:rFonts w:ascii="Arial" w:cs="Arial" w:eastAsia="Arial" w:hAnsi="Arial"/>
                  <w:sz w:val="12"/>
                  <w:szCs w:val="12"/>
                  <w:color w:val="0000EE"/>
                </w:rPr>
                <w:t>Amendment No. 1 to Second Amended and</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10.7</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7">
              <w:r>
                <w:rPr>
                  <w:rFonts w:ascii="Arial" w:cs="Arial" w:eastAsia="Arial" w:hAnsi="Arial"/>
                  <w:sz w:val="12"/>
                  <w:szCs w:val="12"/>
                  <w:color w:val="0000EE"/>
                </w:rPr>
                <w:t>Restated Limited Liability Company Operating</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26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27">
              <w:r>
                <w:rPr>
                  <w:rFonts w:ascii="Arial" w:cs="Arial" w:eastAsia="Arial" w:hAnsi="Arial"/>
                  <w:sz w:val="12"/>
                  <w:szCs w:val="12"/>
                  <w:color w:val="0000EE"/>
                  <w:w w:val="91"/>
                </w:rPr>
                <w:t>Agreement of Trimaran Pollo Partners, L.L.C.,</w:t>
              </w:r>
            </w:hyperlink>
          </w:p>
        </w:tc>
        <w:tc>
          <w:tcPr>
            <w:tcW w:w="20" w:type="dxa"/>
            <w:vAlign w:val="bottom"/>
            <w:tcBorders>
              <w:top w:val="single" w:sz="8" w:color="0000EE"/>
            </w:tcBorders>
          </w:tcPr>
          <w:p>
            <w:pPr>
              <w:spacing w:after="0"/>
              <w:rPr>
                <w:sz w:val="10"/>
                <w:szCs w:val="10"/>
                <w:color w:val="auto"/>
              </w:rPr>
            </w:pPr>
          </w:p>
        </w:tc>
        <w:tc>
          <w:tcPr>
            <w:tcW w:w="680" w:type="dxa"/>
            <w:vAlign w:val="bottom"/>
            <w:gridSpan w:val="6"/>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920" w:type="dxa"/>
            <w:vAlign w:val="bottom"/>
          </w:tcPr>
          <w:p>
            <w:pPr>
              <w:spacing w:after="0"/>
              <w:rPr>
                <w:sz w:val="13"/>
                <w:szCs w:val="13"/>
                <w:color w:val="auto"/>
              </w:rPr>
            </w:pPr>
          </w:p>
        </w:tc>
        <w:tc>
          <w:tcPr>
            <w:tcW w:w="2960" w:type="dxa"/>
            <w:vAlign w:val="bottom"/>
            <w:gridSpan w:val="16"/>
          </w:tcPr>
          <w:p>
            <w:pPr>
              <w:spacing w:after="0"/>
              <w:rPr>
                <w:rFonts w:ascii="Arial" w:cs="Arial" w:eastAsia="Arial" w:hAnsi="Arial"/>
                <w:sz w:val="12"/>
                <w:szCs w:val="12"/>
                <w:u w:val="single" w:color="auto"/>
                <w:color w:val="0000EE"/>
              </w:rPr>
            </w:pPr>
            <w:hyperlink r:id="rId127">
              <w:r>
                <w:rPr>
                  <w:rFonts w:ascii="Arial" w:cs="Arial" w:eastAsia="Arial" w:hAnsi="Arial"/>
                  <w:sz w:val="12"/>
                  <w:szCs w:val="12"/>
                  <w:u w:val="single" w:color="auto"/>
                  <w:color w:val="0000EE"/>
                </w:rPr>
                <w:t>dated as of December 26, 2007</w:t>
              </w:r>
            </w:hyperlink>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10.11</w:t>
            </w:r>
          </w:p>
        </w:tc>
        <w:tc>
          <w:tcPr>
            <w:tcW w:w="2960" w:type="dxa"/>
            <w:vAlign w:val="bottom"/>
            <w:gridSpan w:val="16"/>
          </w:tcPr>
          <w:p>
            <w:pPr>
              <w:spacing w:after="0"/>
              <w:rPr>
                <w:rFonts w:ascii="Arial" w:cs="Arial" w:eastAsia="Arial" w:hAnsi="Arial"/>
                <w:sz w:val="12"/>
                <w:szCs w:val="12"/>
                <w:color w:val="0000EE"/>
              </w:rPr>
            </w:pPr>
            <w:hyperlink r:id="rId128">
              <w:r>
                <w:rPr>
                  <w:rFonts w:ascii="Arial" w:cs="Arial" w:eastAsia="Arial" w:hAnsi="Arial"/>
                  <w:sz w:val="12"/>
                  <w:szCs w:val="12"/>
                  <w:color w:val="0000EE"/>
                </w:rPr>
                <w:t>Amendment No. 2 to Second Amended and</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10.8</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8">
              <w:r>
                <w:rPr>
                  <w:rFonts w:ascii="Arial" w:cs="Arial" w:eastAsia="Arial" w:hAnsi="Arial"/>
                  <w:sz w:val="12"/>
                  <w:szCs w:val="12"/>
                  <w:color w:val="0000EE"/>
                </w:rPr>
                <w:t>Restated Limited Liability Company Operating</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26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28">
              <w:r>
                <w:rPr>
                  <w:rFonts w:ascii="Arial" w:cs="Arial" w:eastAsia="Arial" w:hAnsi="Arial"/>
                  <w:sz w:val="12"/>
                  <w:szCs w:val="12"/>
                  <w:color w:val="0000EE"/>
                  <w:w w:val="91"/>
                </w:rPr>
                <w:t>Agreement of Trimaran Pollo Partners, L.L.C.,</w:t>
              </w:r>
            </w:hyperlink>
          </w:p>
        </w:tc>
        <w:tc>
          <w:tcPr>
            <w:tcW w:w="20" w:type="dxa"/>
            <w:vAlign w:val="bottom"/>
            <w:tcBorders>
              <w:top w:val="single" w:sz="8" w:color="0000EE"/>
            </w:tcBorders>
          </w:tcPr>
          <w:p>
            <w:pPr>
              <w:spacing w:after="0"/>
              <w:rPr>
                <w:sz w:val="10"/>
                <w:szCs w:val="10"/>
                <w:color w:val="auto"/>
              </w:rPr>
            </w:pPr>
          </w:p>
        </w:tc>
        <w:tc>
          <w:tcPr>
            <w:tcW w:w="680" w:type="dxa"/>
            <w:vAlign w:val="bottom"/>
            <w:gridSpan w:val="6"/>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8">
              <w:r>
                <w:rPr>
                  <w:rFonts w:ascii="Arial" w:cs="Arial" w:eastAsia="Arial" w:hAnsi="Arial"/>
                  <w:sz w:val="12"/>
                  <w:szCs w:val="12"/>
                  <w:color w:val="0000EE"/>
                </w:rPr>
                <w:t>dated as of January 30, 2008</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1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10.12</w:t>
            </w:r>
          </w:p>
        </w:tc>
        <w:tc>
          <w:tcPr>
            <w:tcW w:w="2960" w:type="dxa"/>
            <w:vAlign w:val="bottom"/>
            <w:gridSpan w:val="16"/>
          </w:tcPr>
          <w:p>
            <w:pPr>
              <w:spacing w:after="0"/>
              <w:rPr>
                <w:rFonts w:ascii="Arial" w:cs="Arial" w:eastAsia="Arial" w:hAnsi="Arial"/>
                <w:sz w:val="12"/>
                <w:szCs w:val="12"/>
                <w:color w:val="0000EE"/>
              </w:rPr>
            </w:pPr>
            <w:hyperlink r:id="rId129">
              <w:r>
                <w:rPr>
                  <w:rFonts w:ascii="Arial" w:cs="Arial" w:eastAsia="Arial" w:hAnsi="Arial"/>
                  <w:sz w:val="12"/>
                  <w:szCs w:val="12"/>
                  <w:color w:val="0000EE"/>
                </w:rPr>
                <w:t>Amendment No. 3 to Second Amended and</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10.9</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9">
              <w:r>
                <w:rPr>
                  <w:rFonts w:ascii="Arial" w:cs="Arial" w:eastAsia="Arial" w:hAnsi="Arial"/>
                  <w:sz w:val="12"/>
                  <w:szCs w:val="12"/>
                  <w:color w:val="0000EE"/>
                </w:rPr>
                <w:t>Restated Limited Liability Company Operating</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26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91"/>
              </w:rPr>
            </w:pPr>
            <w:hyperlink r:id="rId129">
              <w:r>
                <w:rPr>
                  <w:rFonts w:ascii="Arial" w:cs="Arial" w:eastAsia="Arial" w:hAnsi="Arial"/>
                  <w:sz w:val="12"/>
                  <w:szCs w:val="12"/>
                  <w:color w:val="0000EE"/>
                  <w:w w:val="91"/>
                </w:rPr>
                <w:t>Agreement of Trimaran Pollo Partners, L.L.C.,</w:t>
              </w:r>
            </w:hyperlink>
          </w:p>
        </w:tc>
        <w:tc>
          <w:tcPr>
            <w:tcW w:w="20" w:type="dxa"/>
            <w:vAlign w:val="bottom"/>
            <w:tcBorders>
              <w:top w:val="single" w:sz="8" w:color="0000EE"/>
            </w:tcBorders>
          </w:tcPr>
          <w:p>
            <w:pPr>
              <w:spacing w:after="0"/>
              <w:rPr>
                <w:sz w:val="10"/>
                <w:szCs w:val="10"/>
                <w:color w:val="auto"/>
              </w:rPr>
            </w:pPr>
          </w:p>
        </w:tc>
        <w:tc>
          <w:tcPr>
            <w:tcW w:w="680" w:type="dxa"/>
            <w:vAlign w:val="bottom"/>
            <w:gridSpan w:val="6"/>
          </w:tcPr>
          <w:p>
            <w:pPr>
              <w:spacing w:after="0"/>
              <w:rPr>
                <w:sz w:val="10"/>
                <w:szCs w:val="10"/>
                <w:color w:val="auto"/>
              </w:rPr>
            </w:pP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960" w:type="dxa"/>
            <w:vAlign w:val="bottom"/>
            <w:gridSpan w:val="16"/>
          </w:tcPr>
          <w:p>
            <w:pPr>
              <w:spacing w:after="0" w:line="124" w:lineRule="exact"/>
              <w:rPr>
                <w:rFonts w:ascii="Arial" w:cs="Arial" w:eastAsia="Arial" w:hAnsi="Arial"/>
                <w:sz w:val="12"/>
                <w:szCs w:val="12"/>
                <w:color w:val="0000EE"/>
              </w:rPr>
            </w:pPr>
            <w:hyperlink r:id="rId129">
              <w:r>
                <w:rPr>
                  <w:rFonts w:ascii="Arial" w:cs="Arial" w:eastAsia="Arial" w:hAnsi="Arial"/>
                  <w:sz w:val="12"/>
                  <w:szCs w:val="12"/>
                  <w:color w:val="0000EE"/>
                </w:rPr>
                <w:t>dated as of July 14, 2011</w:t>
              </w:r>
            </w:hyperlink>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8"/>
        </w:trPr>
        <w:tc>
          <w:tcPr>
            <w:tcW w:w="920" w:type="dxa"/>
            <w:vAlign w:val="bottom"/>
          </w:tcPr>
          <w:p>
            <w:pPr>
              <w:ind w:left="40"/>
              <w:spacing w:after="0"/>
              <w:rPr>
                <w:sz w:val="20"/>
                <w:szCs w:val="20"/>
                <w:color w:val="auto"/>
              </w:rPr>
            </w:pPr>
            <w:r>
              <w:rPr>
                <w:rFonts w:ascii="Arial" w:cs="Arial" w:eastAsia="Arial" w:hAnsi="Arial"/>
                <w:sz w:val="12"/>
                <w:szCs w:val="12"/>
                <w:color w:val="auto"/>
              </w:rPr>
              <w:t>10.13</w:t>
            </w:r>
          </w:p>
        </w:tc>
        <w:tc>
          <w:tcPr>
            <w:tcW w:w="2960" w:type="dxa"/>
            <w:vAlign w:val="bottom"/>
            <w:gridSpan w:val="16"/>
          </w:tcPr>
          <w:p>
            <w:pPr>
              <w:spacing w:after="0"/>
              <w:rPr>
                <w:rFonts w:ascii="Arial" w:cs="Arial" w:eastAsia="Arial" w:hAnsi="Arial"/>
                <w:sz w:val="12"/>
                <w:szCs w:val="12"/>
                <w:u w:val="single" w:color="auto"/>
                <w:color w:val="0000EE"/>
              </w:rPr>
            </w:pPr>
            <w:hyperlink r:id="rId130">
              <w:r>
                <w:rPr>
                  <w:rFonts w:ascii="Arial" w:cs="Arial" w:eastAsia="Arial" w:hAnsi="Arial"/>
                  <w:sz w:val="12"/>
                  <w:szCs w:val="12"/>
                  <w:u w:val="single" w:color="auto"/>
                  <w:color w:val="0000EE"/>
                </w:rPr>
                <w:t>Form of Franchise Agreement</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10.12</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71"/>
        </w:trPr>
        <w:tc>
          <w:tcPr>
            <w:tcW w:w="920" w:type="dxa"/>
            <w:vAlign w:val="bottom"/>
          </w:tcPr>
          <w:p>
            <w:pPr>
              <w:ind w:left="40"/>
              <w:spacing w:after="0"/>
              <w:rPr>
                <w:sz w:val="20"/>
                <w:szCs w:val="20"/>
                <w:color w:val="auto"/>
              </w:rPr>
            </w:pPr>
            <w:r>
              <w:rPr>
                <w:rFonts w:ascii="Arial" w:cs="Arial" w:eastAsia="Arial" w:hAnsi="Arial"/>
                <w:sz w:val="12"/>
                <w:szCs w:val="12"/>
                <w:color w:val="auto"/>
              </w:rPr>
              <w:t>10.14*</w:t>
            </w:r>
          </w:p>
        </w:tc>
        <w:tc>
          <w:tcPr>
            <w:tcW w:w="2960" w:type="dxa"/>
            <w:vAlign w:val="bottom"/>
            <w:gridSpan w:val="16"/>
          </w:tcPr>
          <w:p>
            <w:pPr>
              <w:spacing w:after="0"/>
              <w:rPr>
                <w:rFonts w:ascii="Arial" w:cs="Arial" w:eastAsia="Arial" w:hAnsi="Arial"/>
                <w:sz w:val="12"/>
                <w:szCs w:val="12"/>
                <w:u w:val="single" w:color="auto"/>
                <w:color w:val="0000EE"/>
              </w:rPr>
            </w:pPr>
            <w:hyperlink r:id="rId131">
              <w:r>
                <w:rPr>
                  <w:rFonts w:ascii="Arial" w:cs="Arial" w:eastAsia="Arial" w:hAnsi="Arial"/>
                  <w:sz w:val="12"/>
                  <w:szCs w:val="12"/>
                  <w:u w:val="single" w:color="auto"/>
                  <w:color w:val="0000EE"/>
                </w:rPr>
                <w:t>Form of Franchise Development Agreement</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10.13</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1140" w:type="dxa"/>
            <w:vAlign w:val="bottom"/>
          </w:tcPr>
          <w:p>
            <w:pPr>
              <w:jc w:val="center"/>
              <w:ind w:right="60"/>
              <w:spacing w:after="0"/>
              <w:rPr>
                <w:sz w:val="20"/>
                <w:szCs w:val="20"/>
                <w:color w:val="auto"/>
              </w:rPr>
            </w:pPr>
            <w:r>
              <w:rPr>
                <w:rFonts w:ascii="Arial" w:cs="Arial" w:eastAsia="Arial" w:hAnsi="Arial"/>
                <w:sz w:val="12"/>
                <w:szCs w:val="12"/>
                <w:color w:val="auto"/>
                <w:w w:val="90"/>
              </w:rPr>
              <w:t>333-197001</w:t>
            </w:r>
          </w:p>
        </w:tc>
      </w:tr>
      <w:tr>
        <w:trPr>
          <w:trHeight w:val="171"/>
        </w:trPr>
        <w:tc>
          <w:tcPr>
            <w:tcW w:w="920" w:type="dxa"/>
            <w:vAlign w:val="bottom"/>
          </w:tcPr>
          <w:p>
            <w:pPr>
              <w:ind w:left="40"/>
              <w:spacing w:after="0"/>
              <w:rPr>
                <w:sz w:val="20"/>
                <w:szCs w:val="20"/>
                <w:color w:val="auto"/>
              </w:rPr>
            </w:pPr>
            <w:r>
              <w:rPr>
                <w:rFonts w:ascii="Arial" w:cs="Arial" w:eastAsia="Arial" w:hAnsi="Arial"/>
                <w:sz w:val="12"/>
                <w:szCs w:val="12"/>
                <w:color w:val="auto"/>
              </w:rPr>
              <w:t>10.15</w:t>
            </w:r>
          </w:p>
        </w:tc>
        <w:tc>
          <w:tcPr>
            <w:tcW w:w="2960" w:type="dxa"/>
            <w:vAlign w:val="bottom"/>
            <w:gridSpan w:val="16"/>
          </w:tcPr>
          <w:p>
            <w:pPr>
              <w:spacing w:after="0"/>
              <w:rPr>
                <w:rFonts w:ascii="Arial" w:cs="Arial" w:eastAsia="Arial" w:hAnsi="Arial"/>
                <w:sz w:val="12"/>
                <w:szCs w:val="12"/>
                <w:u w:val="single" w:color="auto"/>
                <w:color w:val="0000EE"/>
              </w:rPr>
            </w:pPr>
            <w:hyperlink r:id="rId132">
              <w:r>
                <w:rPr>
                  <w:rFonts w:ascii="Arial" w:cs="Arial" w:eastAsia="Arial" w:hAnsi="Arial"/>
                  <w:sz w:val="12"/>
                  <w:szCs w:val="12"/>
                  <w:u w:val="single" w:color="auto"/>
                  <w:color w:val="0000EE"/>
                </w:rPr>
                <w:t>Form of Franchise Agreement (2019)</w:t>
              </w:r>
            </w:hyperlink>
          </w:p>
        </w:tc>
        <w:tc>
          <w:tcPr>
            <w:tcW w:w="1200" w:type="dxa"/>
            <w:vAlign w:val="bottom"/>
          </w:tcPr>
          <w:p>
            <w:pPr>
              <w:jc w:val="right"/>
              <w:ind w:right="20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20"/>
              <w:spacing w:after="0"/>
              <w:rPr>
                <w:sz w:val="20"/>
                <w:szCs w:val="20"/>
                <w:color w:val="auto"/>
              </w:rPr>
            </w:pPr>
            <w:r>
              <w:rPr>
                <w:rFonts w:ascii="Arial" w:cs="Arial" w:eastAsia="Arial" w:hAnsi="Arial"/>
                <w:sz w:val="12"/>
                <w:szCs w:val="12"/>
                <w:color w:val="auto"/>
              </w:rPr>
              <w:t>10.15</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3/6/2020</w:t>
            </w:r>
          </w:p>
        </w:tc>
        <w:tc>
          <w:tcPr>
            <w:tcW w:w="1140" w:type="dxa"/>
            <w:vAlign w:val="bottom"/>
          </w:tcPr>
          <w:p>
            <w:pPr>
              <w:jc w:val="center"/>
              <w:ind w:right="40"/>
              <w:spacing w:after="0"/>
              <w:rPr>
                <w:sz w:val="20"/>
                <w:szCs w:val="20"/>
                <w:color w:val="auto"/>
              </w:rPr>
            </w:pPr>
            <w:r>
              <w:rPr>
                <w:rFonts w:ascii="Arial" w:cs="Arial" w:eastAsia="Arial" w:hAnsi="Arial"/>
                <w:sz w:val="12"/>
                <w:szCs w:val="12"/>
                <w:color w:val="auto"/>
                <w:w w:val="90"/>
              </w:rPr>
              <w:t>001-36556</w:t>
            </w:r>
          </w:p>
        </w:tc>
      </w:tr>
      <w:tr>
        <w:trPr>
          <w:trHeight w:val="459"/>
        </w:trPr>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440"/>
              <w:spacing w:after="0"/>
              <w:rPr>
                <w:sz w:val="20"/>
                <w:szCs w:val="20"/>
                <w:color w:val="auto"/>
              </w:rPr>
            </w:pPr>
            <w:r>
              <w:rPr>
                <w:rFonts w:ascii="Arial" w:cs="Arial" w:eastAsia="Arial" w:hAnsi="Arial"/>
                <w:sz w:val="12"/>
                <w:szCs w:val="12"/>
                <w:color w:val="auto"/>
              </w:rPr>
              <w:t>108</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10" w:name="page111"/>
    <w:bookmarkEnd w:id="1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920" w:type="dxa"/>
            <w:vAlign w:val="bottom"/>
          </w:tcPr>
          <w:p>
            <w:pPr>
              <w:spacing w:after="0"/>
              <w:rPr>
                <w:rFonts w:ascii="Arial" w:cs="Arial" w:eastAsia="Arial" w:hAnsi="Arial"/>
                <w:sz w:val="12"/>
                <w:szCs w:val="12"/>
                <w:u w:val="single" w:color="auto"/>
                <w:color w:val="0000EE"/>
                <w:w w:val="94"/>
              </w:rPr>
            </w:pPr>
            <w:hyperlink w:anchor="page2">
              <w:r>
                <w:rPr>
                  <w:rFonts w:ascii="Arial" w:cs="Arial" w:eastAsia="Arial" w:hAnsi="Arial"/>
                  <w:sz w:val="12"/>
                  <w:szCs w:val="12"/>
                  <w:u w:val="single" w:color="auto"/>
                  <w:color w:val="0000EE"/>
                  <w:w w:val="94"/>
                </w:rPr>
                <w:t>Table of Contents</w:t>
              </w:r>
            </w:hyperlink>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828"/>
        </w:trPr>
        <w:tc>
          <w:tcPr>
            <w:tcW w:w="920" w:type="dxa"/>
            <w:vAlign w:val="bottom"/>
          </w:tcPr>
          <w:p>
            <w:pPr>
              <w:ind w:left="40"/>
              <w:spacing w:after="0"/>
              <w:rPr>
                <w:sz w:val="20"/>
                <w:szCs w:val="20"/>
                <w:color w:val="auto"/>
              </w:rPr>
            </w:pPr>
            <w:r>
              <w:rPr>
                <w:rFonts w:ascii="Arial" w:cs="Arial" w:eastAsia="Arial" w:hAnsi="Arial"/>
                <w:sz w:val="12"/>
                <w:szCs w:val="12"/>
                <w:color w:val="auto"/>
              </w:rPr>
              <w:t>10.16</w:t>
            </w:r>
          </w:p>
        </w:tc>
        <w:tc>
          <w:tcPr>
            <w:tcW w:w="2420" w:type="dxa"/>
            <w:vAlign w:val="bottom"/>
            <w:gridSpan w:val="19"/>
          </w:tcPr>
          <w:p>
            <w:pPr>
              <w:spacing w:after="0"/>
              <w:rPr>
                <w:rFonts w:ascii="Arial" w:cs="Arial" w:eastAsia="Arial" w:hAnsi="Arial"/>
                <w:sz w:val="12"/>
                <w:szCs w:val="12"/>
                <w:color w:val="0000EE"/>
              </w:rPr>
            </w:pPr>
            <w:hyperlink r:id="rId133">
              <w:r>
                <w:rPr>
                  <w:rFonts w:ascii="Arial" w:cs="Arial" w:eastAsia="Arial" w:hAnsi="Arial"/>
                  <w:sz w:val="12"/>
                  <w:szCs w:val="12"/>
                  <w:color w:val="0000EE"/>
                </w:rPr>
                <w:t>Form of Franchise Development Agreement</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10.16</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3/6/2020</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32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6"/>
              </w:rPr>
            </w:pPr>
            <w:hyperlink r:id="rId133">
              <w:r>
                <w:rPr>
                  <w:rFonts w:ascii="Arial" w:cs="Arial" w:eastAsia="Arial" w:hAnsi="Arial"/>
                  <w:sz w:val="12"/>
                  <w:szCs w:val="12"/>
                  <w:color w:val="0000EE"/>
                  <w:w w:val="86"/>
                </w:rPr>
                <w:t>(2019)</w:t>
              </w:r>
            </w:hyperlink>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10.17*</w:t>
            </w:r>
          </w:p>
        </w:tc>
        <w:tc>
          <w:tcPr>
            <w:tcW w:w="2340" w:type="dxa"/>
            <w:vAlign w:val="bottom"/>
            <w:tcBorders>
              <w:bottom w:val="single" w:sz="8" w:color="0000EE"/>
            </w:tcBorders>
            <w:gridSpan w:val="16"/>
          </w:tcPr>
          <w:p>
            <w:pPr>
              <w:spacing w:after="0"/>
              <w:rPr>
                <w:rFonts w:ascii="Arial" w:cs="Arial" w:eastAsia="Arial" w:hAnsi="Arial"/>
                <w:sz w:val="12"/>
                <w:szCs w:val="12"/>
                <w:color w:val="0000EE"/>
                <w:w w:val="92"/>
              </w:rPr>
            </w:pPr>
            <w:hyperlink r:id="rId134">
              <w:r>
                <w:rPr>
                  <w:rFonts w:ascii="Arial" w:cs="Arial" w:eastAsia="Arial" w:hAnsi="Arial"/>
                  <w:sz w:val="12"/>
                  <w:szCs w:val="12"/>
                  <w:color w:val="0000EE"/>
                  <w:w w:val="92"/>
                </w:rPr>
                <w:t>Form of Indemnification Agreement between El</w:t>
              </w:r>
            </w:hyperlink>
          </w:p>
        </w:tc>
        <w:tc>
          <w:tcPr>
            <w:tcW w:w="80" w:type="dxa"/>
            <w:vAlign w:val="bottom"/>
            <w:gridSpan w:val="3"/>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S-1/A</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10.27</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7/22/2014</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42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134">
              <w:r>
                <w:rPr>
                  <w:rFonts w:ascii="Arial" w:cs="Arial" w:eastAsia="Arial" w:hAnsi="Arial"/>
                  <w:sz w:val="12"/>
                  <w:szCs w:val="12"/>
                  <w:color w:val="0000EE"/>
                  <w:w w:val="91"/>
                </w:rPr>
                <w:t>Pollo Loco Holdings, Inc. and each of its directors</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34">
              <w:r>
                <w:rPr>
                  <w:rFonts w:ascii="Arial" w:cs="Arial" w:eastAsia="Arial" w:hAnsi="Arial"/>
                  <w:sz w:val="12"/>
                  <w:szCs w:val="12"/>
                  <w:color w:val="0000EE"/>
                </w:rPr>
                <w:t>and executive officers</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8"/>
        </w:trPr>
        <w:tc>
          <w:tcPr>
            <w:tcW w:w="920" w:type="dxa"/>
            <w:vAlign w:val="bottom"/>
          </w:tcPr>
          <w:p>
            <w:pPr>
              <w:ind w:left="40"/>
              <w:spacing w:after="0"/>
              <w:rPr>
                <w:sz w:val="20"/>
                <w:szCs w:val="20"/>
                <w:color w:val="auto"/>
              </w:rPr>
            </w:pPr>
            <w:r>
              <w:rPr>
                <w:rFonts w:ascii="Arial" w:cs="Arial" w:eastAsia="Arial" w:hAnsi="Arial"/>
                <w:sz w:val="12"/>
                <w:szCs w:val="12"/>
                <w:color w:val="auto"/>
              </w:rPr>
              <w:t>10.18*</w:t>
            </w:r>
          </w:p>
        </w:tc>
        <w:tc>
          <w:tcPr>
            <w:tcW w:w="2420" w:type="dxa"/>
            <w:vAlign w:val="bottom"/>
            <w:gridSpan w:val="19"/>
          </w:tcPr>
          <w:p>
            <w:pPr>
              <w:spacing w:after="0"/>
              <w:rPr>
                <w:rFonts w:ascii="Arial" w:cs="Arial" w:eastAsia="Arial" w:hAnsi="Arial"/>
                <w:sz w:val="12"/>
                <w:szCs w:val="12"/>
                <w:u w:val="single" w:color="auto"/>
                <w:color w:val="0000EE"/>
              </w:rPr>
            </w:pPr>
            <w:hyperlink r:id="rId135">
              <w:r>
                <w:rPr>
                  <w:rFonts w:ascii="Arial" w:cs="Arial" w:eastAsia="Arial" w:hAnsi="Arial"/>
                  <w:sz w:val="12"/>
                  <w:szCs w:val="12"/>
                  <w:u w:val="single" w:color="auto"/>
                  <w:color w:val="0000EE"/>
                </w:rPr>
                <w:t>2014 Omnibus Equity Incentive Plan</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S-1/A</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10.22</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7/22/2014</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333-197001</w:t>
            </w: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10.19*</w:t>
            </w:r>
          </w:p>
        </w:tc>
        <w:tc>
          <w:tcPr>
            <w:tcW w:w="2320" w:type="dxa"/>
            <w:vAlign w:val="bottom"/>
            <w:tcBorders>
              <w:bottom w:val="single" w:sz="8" w:color="0000EE"/>
            </w:tcBorders>
            <w:gridSpan w:val="15"/>
          </w:tcPr>
          <w:p>
            <w:pPr>
              <w:spacing w:after="0"/>
              <w:rPr>
                <w:rFonts w:ascii="Arial" w:cs="Arial" w:eastAsia="Arial" w:hAnsi="Arial"/>
                <w:sz w:val="12"/>
                <w:szCs w:val="12"/>
                <w:color w:val="0000EE"/>
                <w:w w:val="92"/>
              </w:rPr>
            </w:pPr>
            <w:hyperlink r:id="rId136">
              <w:r>
                <w:rPr>
                  <w:rFonts w:ascii="Arial" w:cs="Arial" w:eastAsia="Arial" w:hAnsi="Arial"/>
                  <w:sz w:val="12"/>
                  <w:szCs w:val="12"/>
                  <w:color w:val="0000EE"/>
                  <w:w w:val="92"/>
                </w:rPr>
                <w:t>Form of Option Award Agreement (Fair Market</w:t>
              </w:r>
            </w:hyperlink>
          </w:p>
        </w:tc>
        <w:tc>
          <w:tcPr>
            <w:tcW w:w="100" w:type="dxa"/>
            <w:vAlign w:val="bottom"/>
            <w:gridSpan w:val="4"/>
          </w:tcPr>
          <w:p>
            <w:pPr>
              <w:spacing w:after="0"/>
              <w:rPr>
                <w:sz w:val="12"/>
                <w:szCs w:val="12"/>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S-1/A</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10.25</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7/22/2014</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36">
              <w:r>
                <w:rPr>
                  <w:rFonts w:ascii="Arial" w:cs="Arial" w:eastAsia="Arial" w:hAnsi="Arial"/>
                  <w:sz w:val="12"/>
                  <w:szCs w:val="12"/>
                  <w:color w:val="0000EE"/>
                </w:rPr>
                <w:t>Value Options) under 2014 Omnibus Equity</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70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90"/>
              </w:rPr>
            </w:pPr>
            <w:hyperlink r:id="rId136">
              <w:r>
                <w:rPr>
                  <w:rFonts w:ascii="Arial" w:cs="Arial" w:eastAsia="Arial" w:hAnsi="Arial"/>
                  <w:sz w:val="12"/>
                  <w:szCs w:val="12"/>
                  <w:color w:val="0000EE"/>
                  <w:w w:val="90"/>
                </w:rPr>
                <w:t>Incentive Plan</w:t>
              </w:r>
            </w:hyperlink>
          </w:p>
        </w:tc>
        <w:tc>
          <w:tcPr>
            <w:tcW w:w="1420" w:type="dxa"/>
            <w:vAlign w:val="bottom"/>
            <w:tcBorders>
              <w:top w:val="single" w:sz="8" w:color="0000EE"/>
            </w:tcBorders>
            <w:gridSpan w:val="6"/>
          </w:tcPr>
          <w:p>
            <w:pPr>
              <w:spacing w:after="0"/>
              <w:rPr>
                <w:sz w:val="10"/>
                <w:szCs w:val="10"/>
                <w:color w:val="auto"/>
              </w:rPr>
            </w:pPr>
          </w:p>
        </w:tc>
        <w:tc>
          <w:tcPr>
            <w:tcW w:w="300" w:type="dxa"/>
            <w:vAlign w:val="bottom"/>
            <w:gridSpan w:val="8"/>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10.20*</w:t>
            </w:r>
          </w:p>
        </w:tc>
        <w:tc>
          <w:tcPr>
            <w:tcW w:w="2420" w:type="dxa"/>
            <w:vAlign w:val="bottom"/>
            <w:gridSpan w:val="19"/>
          </w:tcPr>
          <w:p>
            <w:pPr>
              <w:spacing w:after="0"/>
              <w:rPr>
                <w:rFonts w:ascii="Arial" w:cs="Arial" w:eastAsia="Arial" w:hAnsi="Arial"/>
                <w:sz w:val="12"/>
                <w:szCs w:val="12"/>
                <w:color w:val="0000EE"/>
                <w:w w:val="98"/>
              </w:rPr>
            </w:pPr>
            <w:hyperlink r:id="rId137">
              <w:r>
                <w:rPr>
                  <w:rFonts w:ascii="Arial" w:cs="Arial" w:eastAsia="Arial" w:hAnsi="Arial"/>
                  <w:sz w:val="12"/>
                  <w:szCs w:val="12"/>
                  <w:color w:val="0000EE"/>
                  <w:w w:val="98"/>
                </w:rPr>
                <w:t>Form of Non-Officer Director Restricted Share</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S-1/A</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10.26</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7/22/2014</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333-197001</w:t>
            </w: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2420" w:type="dxa"/>
            <w:vAlign w:val="bottom"/>
            <w:tcBorders>
              <w:bottom w:val="single" w:sz="8" w:color="0000EE"/>
            </w:tcBorders>
            <w:gridSpan w:val="19"/>
          </w:tcPr>
          <w:p>
            <w:pPr>
              <w:spacing w:after="0" w:line="124" w:lineRule="exact"/>
              <w:rPr>
                <w:rFonts w:ascii="Arial" w:cs="Arial" w:eastAsia="Arial" w:hAnsi="Arial"/>
                <w:sz w:val="12"/>
                <w:szCs w:val="12"/>
                <w:color w:val="0000EE"/>
                <w:w w:val="91"/>
              </w:rPr>
            </w:pPr>
            <w:hyperlink r:id="rId137">
              <w:r>
                <w:rPr>
                  <w:rFonts w:ascii="Arial" w:cs="Arial" w:eastAsia="Arial" w:hAnsi="Arial"/>
                  <w:sz w:val="12"/>
                  <w:szCs w:val="12"/>
                  <w:color w:val="0000EE"/>
                  <w:w w:val="91"/>
                </w:rPr>
                <w:t>Agreement under 2014 Omnibus Equity Incentive</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37">
              <w:r>
                <w:rPr>
                  <w:rFonts w:ascii="Arial" w:cs="Arial" w:eastAsia="Arial" w:hAnsi="Arial"/>
                  <w:sz w:val="12"/>
                  <w:szCs w:val="12"/>
                  <w:color w:val="0000EE"/>
                </w:rPr>
                <w:t>Plan</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10.21*</w:t>
            </w:r>
          </w:p>
        </w:tc>
        <w:tc>
          <w:tcPr>
            <w:tcW w:w="2320" w:type="dxa"/>
            <w:vAlign w:val="bottom"/>
            <w:tcBorders>
              <w:bottom w:val="single" w:sz="8" w:color="0000EE"/>
            </w:tcBorders>
            <w:gridSpan w:val="15"/>
          </w:tcPr>
          <w:p>
            <w:pPr>
              <w:spacing w:after="0"/>
              <w:rPr>
                <w:rFonts w:ascii="Arial" w:cs="Arial" w:eastAsia="Arial" w:hAnsi="Arial"/>
                <w:sz w:val="12"/>
                <w:szCs w:val="12"/>
                <w:color w:val="0000EE"/>
                <w:w w:val="92"/>
              </w:rPr>
            </w:pPr>
            <w:hyperlink r:id="rId138">
              <w:r>
                <w:rPr>
                  <w:rFonts w:ascii="Arial" w:cs="Arial" w:eastAsia="Arial" w:hAnsi="Arial"/>
                  <w:sz w:val="12"/>
                  <w:szCs w:val="12"/>
                  <w:color w:val="0000EE"/>
                  <w:w w:val="92"/>
                </w:rPr>
                <w:t>Form of Option Award Agreement (Fair Market</w:t>
              </w:r>
            </w:hyperlink>
          </w:p>
        </w:tc>
        <w:tc>
          <w:tcPr>
            <w:tcW w:w="100" w:type="dxa"/>
            <w:vAlign w:val="bottom"/>
            <w:gridSpan w:val="4"/>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10-Q</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6/29/2016</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10.27</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8/5/2016</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38">
              <w:r>
                <w:rPr>
                  <w:rFonts w:ascii="Arial" w:cs="Arial" w:eastAsia="Arial" w:hAnsi="Arial"/>
                  <w:sz w:val="12"/>
                  <w:szCs w:val="12"/>
                  <w:color w:val="0000EE"/>
                </w:rPr>
                <w:t>Value Options) under 2014 Omnibus Equity</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1"/>
        </w:trPr>
        <w:tc>
          <w:tcPr>
            <w:tcW w:w="920" w:type="dxa"/>
            <w:vAlign w:val="bottom"/>
          </w:tcPr>
          <w:p>
            <w:pPr>
              <w:spacing w:after="0"/>
              <w:rPr>
                <w:sz w:val="13"/>
                <w:szCs w:val="13"/>
                <w:color w:val="auto"/>
              </w:rPr>
            </w:pPr>
          </w:p>
        </w:tc>
        <w:tc>
          <w:tcPr>
            <w:tcW w:w="2120" w:type="dxa"/>
            <w:vAlign w:val="bottom"/>
            <w:tcBorders>
              <w:top w:val="single" w:sz="8" w:color="0000EE"/>
            </w:tcBorders>
            <w:gridSpan w:val="11"/>
          </w:tcPr>
          <w:p>
            <w:pPr>
              <w:spacing w:after="0"/>
              <w:rPr>
                <w:rFonts w:ascii="Arial" w:cs="Arial" w:eastAsia="Arial" w:hAnsi="Arial"/>
                <w:sz w:val="12"/>
                <w:szCs w:val="12"/>
                <w:u w:val="single" w:color="auto"/>
                <w:color w:val="0000EE"/>
              </w:rPr>
            </w:pPr>
            <w:hyperlink r:id="rId138">
              <w:r>
                <w:rPr>
                  <w:rFonts w:ascii="Arial" w:cs="Arial" w:eastAsia="Arial" w:hAnsi="Arial"/>
                  <w:sz w:val="12"/>
                  <w:szCs w:val="12"/>
                  <w:u w:val="single" w:color="auto"/>
                  <w:color w:val="0000EE"/>
                </w:rPr>
                <w:t>Incentive Plan (Time Vesting Only)</w:t>
              </w:r>
            </w:hyperlink>
          </w:p>
        </w:tc>
        <w:tc>
          <w:tcPr>
            <w:tcW w:w="300" w:type="dxa"/>
            <w:vAlign w:val="bottom"/>
            <w:gridSpan w:val="8"/>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10.22*</w:t>
            </w:r>
          </w:p>
        </w:tc>
        <w:tc>
          <w:tcPr>
            <w:tcW w:w="2300" w:type="dxa"/>
            <w:vAlign w:val="bottom"/>
            <w:tcBorders>
              <w:bottom w:val="single" w:sz="8" w:color="0000EE"/>
            </w:tcBorders>
            <w:gridSpan w:val="14"/>
          </w:tcPr>
          <w:p>
            <w:pPr>
              <w:spacing w:after="0"/>
              <w:rPr>
                <w:rFonts w:ascii="Arial" w:cs="Arial" w:eastAsia="Arial" w:hAnsi="Arial"/>
                <w:sz w:val="12"/>
                <w:szCs w:val="12"/>
                <w:color w:val="0000EE"/>
                <w:w w:val="90"/>
              </w:rPr>
            </w:pPr>
            <w:hyperlink r:id="rId139">
              <w:r>
                <w:rPr>
                  <w:rFonts w:ascii="Arial" w:cs="Arial" w:eastAsia="Arial" w:hAnsi="Arial"/>
                  <w:sz w:val="12"/>
                  <w:szCs w:val="12"/>
                  <w:color w:val="0000EE"/>
                  <w:w w:val="90"/>
                </w:rPr>
                <w:t>Form of Employee Restricted Share Agreement</w:t>
              </w:r>
            </w:hyperlink>
          </w:p>
        </w:tc>
        <w:tc>
          <w:tcPr>
            <w:tcW w:w="120" w:type="dxa"/>
            <w:vAlign w:val="bottom"/>
            <w:gridSpan w:val="5"/>
          </w:tcPr>
          <w:p>
            <w:pPr>
              <w:spacing w:after="0"/>
              <w:rPr>
                <w:sz w:val="12"/>
                <w:szCs w:val="12"/>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10-Q</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9/28/2016</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10.28</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11/4/2016</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51"/>
        </w:trPr>
        <w:tc>
          <w:tcPr>
            <w:tcW w:w="920" w:type="dxa"/>
            <w:vAlign w:val="bottom"/>
          </w:tcPr>
          <w:p>
            <w:pPr>
              <w:spacing w:after="0"/>
              <w:rPr>
                <w:sz w:val="13"/>
                <w:szCs w:val="13"/>
                <w:color w:val="auto"/>
              </w:rPr>
            </w:pPr>
          </w:p>
        </w:tc>
        <w:tc>
          <w:tcPr>
            <w:tcW w:w="2420" w:type="dxa"/>
            <w:vAlign w:val="bottom"/>
            <w:gridSpan w:val="19"/>
          </w:tcPr>
          <w:p>
            <w:pPr>
              <w:spacing w:after="0"/>
              <w:rPr>
                <w:rFonts w:ascii="Arial" w:cs="Arial" w:eastAsia="Arial" w:hAnsi="Arial"/>
                <w:sz w:val="12"/>
                <w:szCs w:val="12"/>
                <w:u w:val="single" w:color="auto"/>
                <w:color w:val="0000EE"/>
              </w:rPr>
            </w:pPr>
            <w:hyperlink r:id="rId139">
              <w:r>
                <w:rPr>
                  <w:rFonts w:ascii="Arial" w:cs="Arial" w:eastAsia="Arial" w:hAnsi="Arial"/>
                  <w:sz w:val="12"/>
                  <w:szCs w:val="12"/>
                  <w:u w:val="single" w:color="auto"/>
                  <w:color w:val="0000EE"/>
                </w:rPr>
                <w:t>under 2014 Omnibus Equity Incentive Plan</w:t>
              </w:r>
            </w:hyperlink>
          </w:p>
        </w:tc>
        <w:tc>
          <w:tcPr>
            <w:tcW w:w="1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920" w:type="dxa"/>
            <w:vAlign w:val="bottom"/>
          </w:tcPr>
          <w:p>
            <w:pPr>
              <w:ind w:left="40"/>
              <w:spacing w:after="0"/>
              <w:rPr>
                <w:sz w:val="20"/>
                <w:szCs w:val="20"/>
                <w:color w:val="auto"/>
              </w:rPr>
            </w:pPr>
            <w:r>
              <w:rPr>
                <w:rFonts w:ascii="Arial" w:cs="Arial" w:eastAsia="Arial" w:hAnsi="Arial"/>
                <w:sz w:val="12"/>
                <w:szCs w:val="12"/>
                <w:color w:val="auto"/>
              </w:rPr>
              <w:t>10.23*</w:t>
            </w:r>
          </w:p>
        </w:tc>
        <w:tc>
          <w:tcPr>
            <w:tcW w:w="2420" w:type="dxa"/>
            <w:vAlign w:val="bottom"/>
            <w:gridSpan w:val="19"/>
          </w:tcPr>
          <w:p>
            <w:pPr>
              <w:spacing w:after="0"/>
              <w:rPr>
                <w:rFonts w:ascii="Arial" w:cs="Arial" w:eastAsia="Arial" w:hAnsi="Arial"/>
                <w:sz w:val="12"/>
                <w:szCs w:val="12"/>
                <w:u w:val="single" w:color="auto"/>
                <w:color w:val="0000EE"/>
              </w:rPr>
            </w:pPr>
            <w:hyperlink r:id="rId140">
              <w:r>
                <w:rPr>
                  <w:rFonts w:ascii="Arial" w:cs="Arial" w:eastAsia="Arial" w:hAnsi="Arial"/>
                  <w:sz w:val="12"/>
                  <w:szCs w:val="12"/>
                  <w:u w:val="single" w:color="auto"/>
                  <w:color w:val="0000EE"/>
                </w:rPr>
                <w:t>2018 Omnibus Equity Incentive Plan</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S-8</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4.3</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8/6/2018</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333-226621</w:t>
            </w: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10.24*</w:t>
            </w:r>
          </w:p>
        </w:tc>
        <w:tc>
          <w:tcPr>
            <w:tcW w:w="2360" w:type="dxa"/>
            <w:vAlign w:val="bottom"/>
            <w:tcBorders>
              <w:bottom w:val="single" w:sz="8" w:color="0000EE"/>
            </w:tcBorders>
            <w:gridSpan w:val="17"/>
          </w:tcPr>
          <w:p>
            <w:pPr>
              <w:spacing w:after="0"/>
              <w:rPr>
                <w:rFonts w:ascii="Arial" w:cs="Arial" w:eastAsia="Arial" w:hAnsi="Arial"/>
                <w:sz w:val="12"/>
                <w:szCs w:val="12"/>
                <w:color w:val="0000EE"/>
                <w:w w:val="90"/>
              </w:rPr>
            </w:pPr>
            <w:hyperlink r:id="rId141">
              <w:r>
                <w:rPr>
                  <w:rFonts w:ascii="Arial" w:cs="Arial" w:eastAsia="Arial" w:hAnsi="Arial"/>
                  <w:sz w:val="12"/>
                  <w:szCs w:val="12"/>
                  <w:color w:val="0000EE"/>
                  <w:w w:val="90"/>
                </w:rPr>
                <w:t>Form of Restricted Stock Agreement under 2018</w:t>
              </w:r>
            </w:hyperlink>
          </w:p>
        </w:tc>
        <w:tc>
          <w:tcPr>
            <w:tcW w:w="60" w:type="dxa"/>
            <w:vAlign w:val="bottom"/>
            <w:gridSpan w:val="2"/>
          </w:tcPr>
          <w:p>
            <w:pPr>
              <w:spacing w:after="0"/>
              <w:rPr>
                <w:sz w:val="12"/>
                <w:szCs w:val="12"/>
                <w:color w:val="auto"/>
              </w:rPr>
            </w:pPr>
          </w:p>
        </w:tc>
        <w:tc>
          <w:tcPr>
            <w:tcW w:w="1760" w:type="dxa"/>
            <w:vAlign w:val="bottom"/>
          </w:tcPr>
          <w:p>
            <w:pPr>
              <w:jc w:val="right"/>
              <w:ind w:right="18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10.24</w:t>
            </w:r>
          </w:p>
        </w:tc>
        <w:tc>
          <w:tcPr>
            <w:tcW w:w="1000" w:type="dxa"/>
            <w:vAlign w:val="bottom"/>
          </w:tcPr>
          <w:p>
            <w:pPr>
              <w:jc w:val="right"/>
              <w:ind w:right="140"/>
              <w:spacing w:after="0"/>
              <w:rPr>
                <w:sz w:val="20"/>
                <w:szCs w:val="20"/>
                <w:color w:val="auto"/>
              </w:rPr>
            </w:pPr>
            <w:r>
              <w:rPr>
                <w:rFonts w:ascii="Arial" w:cs="Arial" w:eastAsia="Arial" w:hAnsi="Arial"/>
                <w:sz w:val="12"/>
                <w:szCs w:val="12"/>
                <w:color w:val="auto"/>
              </w:rPr>
              <w:t>3/6/2020</w:t>
            </w:r>
          </w:p>
        </w:tc>
        <w:tc>
          <w:tcPr>
            <w:tcW w:w="1120" w:type="dxa"/>
            <w:vAlign w:val="bottom"/>
          </w:tcPr>
          <w:p>
            <w:pPr>
              <w:jc w:val="right"/>
              <w:ind w:right="280"/>
              <w:spacing w:after="0"/>
              <w:rPr>
                <w:sz w:val="20"/>
                <w:szCs w:val="20"/>
                <w:color w:val="auto"/>
              </w:rPr>
            </w:pPr>
            <w:r>
              <w:rPr>
                <w:rFonts w:ascii="Arial" w:cs="Arial" w:eastAsia="Arial" w:hAnsi="Arial"/>
                <w:sz w:val="12"/>
                <w:szCs w:val="12"/>
                <w:color w:val="auto"/>
              </w:rPr>
              <w:t>001-36556</w:t>
            </w:r>
          </w:p>
        </w:tc>
      </w:tr>
      <w:tr>
        <w:trPr>
          <w:trHeight w:val="124"/>
        </w:trPr>
        <w:tc>
          <w:tcPr>
            <w:tcW w:w="920" w:type="dxa"/>
            <w:vAlign w:val="bottom"/>
          </w:tcPr>
          <w:p>
            <w:pPr>
              <w:spacing w:after="0"/>
              <w:rPr>
                <w:sz w:val="10"/>
                <w:szCs w:val="10"/>
                <w:color w:val="auto"/>
              </w:rPr>
            </w:pPr>
          </w:p>
        </w:tc>
        <w:tc>
          <w:tcPr>
            <w:tcW w:w="152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141">
              <w:r>
                <w:rPr>
                  <w:rFonts w:ascii="Arial" w:cs="Arial" w:eastAsia="Arial" w:hAnsi="Arial"/>
                  <w:sz w:val="12"/>
                  <w:szCs w:val="12"/>
                  <w:color w:val="0000EE"/>
                  <w:w w:val="91"/>
                </w:rPr>
                <w:t>Omnibus Equity Incentive Plan</w:t>
              </w:r>
            </w:hyperlink>
          </w:p>
        </w:tc>
        <w:tc>
          <w:tcPr>
            <w:tcW w:w="900" w:type="dxa"/>
            <w:vAlign w:val="bottom"/>
            <w:gridSpan w:val="11"/>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10.25*</w:t>
            </w:r>
          </w:p>
        </w:tc>
        <w:tc>
          <w:tcPr>
            <w:tcW w:w="2360" w:type="dxa"/>
            <w:vAlign w:val="bottom"/>
            <w:tcBorders>
              <w:bottom w:val="single" w:sz="8" w:color="0000EE"/>
            </w:tcBorders>
            <w:gridSpan w:val="17"/>
          </w:tcPr>
          <w:p>
            <w:pPr>
              <w:spacing w:after="0"/>
              <w:rPr>
                <w:rFonts w:ascii="Arial" w:cs="Arial" w:eastAsia="Arial" w:hAnsi="Arial"/>
                <w:sz w:val="12"/>
                <w:szCs w:val="12"/>
                <w:color w:val="0000EE"/>
                <w:w w:val="90"/>
              </w:rPr>
            </w:pPr>
            <w:hyperlink r:id="rId142">
              <w:r>
                <w:rPr>
                  <w:rFonts w:ascii="Arial" w:cs="Arial" w:eastAsia="Arial" w:hAnsi="Arial"/>
                  <w:sz w:val="12"/>
                  <w:szCs w:val="12"/>
                  <w:color w:val="0000EE"/>
                  <w:w w:val="90"/>
                </w:rPr>
                <w:t>Form of Restricted Stock Agreement under 2018</w:t>
              </w:r>
            </w:hyperlink>
          </w:p>
        </w:tc>
        <w:tc>
          <w:tcPr>
            <w:tcW w:w="60" w:type="dxa"/>
            <w:vAlign w:val="bottom"/>
            <w:gridSpan w:val="2"/>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10.25</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3/6/2020</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w w:val="95"/>
              </w:rPr>
            </w:pPr>
            <w:hyperlink r:id="rId142">
              <w:r>
                <w:rPr>
                  <w:rFonts w:ascii="Arial" w:cs="Arial" w:eastAsia="Arial" w:hAnsi="Arial"/>
                  <w:sz w:val="12"/>
                  <w:szCs w:val="12"/>
                  <w:color w:val="0000EE"/>
                  <w:w w:val="95"/>
                </w:rPr>
                <w:t>Omnibus Equity Incentive Plan (Non-Employee</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5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2"/>
              </w:rPr>
            </w:pPr>
            <w:hyperlink r:id="rId142">
              <w:r>
                <w:rPr>
                  <w:rFonts w:ascii="Arial" w:cs="Arial" w:eastAsia="Arial" w:hAnsi="Arial"/>
                  <w:sz w:val="12"/>
                  <w:szCs w:val="12"/>
                  <w:color w:val="0000EE"/>
                  <w:w w:val="92"/>
                </w:rPr>
                <w:t>Directors)</w:t>
              </w:r>
            </w:hyperlink>
          </w:p>
        </w:tc>
        <w:tc>
          <w:tcPr>
            <w:tcW w:w="1820" w:type="dxa"/>
            <w:vAlign w:val="bottom"/>
            <w:tcBorders>
              <w:top w:val="single" w:sz="8" w:color="0000EE"/>
            </w:tcBorders>
            <w:gridSpan w:val="12"/>
          </w:tcPr>
          <w:p>
            <w:pPr>
              <w:spacing w:after="0"/>
              <w:rPr>
                <w:sz w:val="10"/>
                <w:szCs w:val="10"/>
                <w:color w:val="auto"/>
              </w:rPr>
            </w:pPr>
          </w:p>
        </w:tc>
        <w:tc>
          <w:tcPr>
            <w:tcW w:w="100" w:type="dxa"/>
            <w:vAlign w:val="bottom"/>
            <w:gridSpan w:val="4"/>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10.26*</w:t>
            </w:r>
          </w:p>
        </w:tc>
        <w:tc>
          <w:tcPr>
            <w:tcW w:w="2340" w:type="dxa"/>
            <w:vAlign w:val="bottom"/>
            <w:tcBorders>
              <w:bottom w:val="single" w:sz="8" w:color="0000EE"/>
            </w:tcBorders>
            <w:gridSpan w:val="16"/>
          </w:tcPr>
          <w:p>
            <w:pPr>
              <w:spacing w:after="0"/>
              <w:rPr>
                <w:rFonts w:ascii="Arial" w:cs="Arial" w:eastAsia="Arial" w:hAnsi="Arial"/>
                <w:sz w:val="12"/>
                <w:szCs w:val="12"/>
                <w:color w:val="0000EE"/>
                <w:w w:val="91"/>
              </w:rPr>
            </w:pPr>
            <w:hyperlink r:id="rId143">
              <w:r>
                <w:rPr>
                  <w:rFonts w:ascii="Arial" w:cs="Arial" w:eastAsia="Arial" w:hAnsi="Arial"/>
                  <w:sz w:val="12"/>
                  <w:szCs w:val="12"/>
                  <w:color w:val="0000EE"/>
                  <w:w w:val="91"/>
                </w:rPr>
                <w:t>Form of Restricted Stock Unit Agreement under</w:t>
              </w:r>
            </w:hyperlink>
          </w:p>
        </w:tc>
        <w:tc>
          <w:tcPr>
            <w:tcW w:w="80" w:type="dxa"/>
            <w:vAlign w:val="bottom"/>
            <w:gridSpan w:val="3"/>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10.26</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3/6/2020</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43">
              <w:r>
                <w:rPr>
                  <w:rFonts w:ascii="Arial" w:cs="Arial" w:eastAsia="Arial" w:hAnsi="Arial"/>
                  <w:sz w:val="12"/>
                  <w:szCs w:val="12"/>
                  <w:color w:val="0000EE"/>
                </w:rPr>
                <w:t>2018 Omnibus Equity Incentive Plan</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10.27*</w:t>
            </w:r>
          </w:p>
        </w:tc>
        <w:tc>
          <w:tcPr>
            <w:tcW w:w="2420" w:type="dxa"/>
            <w:vAlign w:val="bottom"/>
            <w:gridSpan w:val="19"/>
          </w:tcPr>
          <w:p>
            <w:pPr>
              <w:spacing w:after="0"/>
              <w:rPr>
                <w:rFonts w:ascii="Arial" w:cs="Arial" w:eastAsia="Arial" w:hAnsi="Arial"/>
                <w:sz w:val="12"/>
                <w:szCs w:val="12"/>
                <w:color w:val="0000EE"/>
                <w:w w:val="94"/>
              </w:rPr>
            </w:pPr>
            <w:hyperlink r:id="rId144">
              <w:r>
                <w:rPr>
                  <w:rFonts w:ascii="Arial" w:cs="Arial" w:eastAsia="Arial" w:hAnsi="Arial"/>
                  <w:sz w:val="12"/>
                  <w:szCs w:val="12"/>
                  <w:color w:val="0000EE"/>
                  <w:w w:val="94"/>
                </w:rPr>
                <w:t>Form of Stock Option Awards Agreement under</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12/25/2019</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10.27</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3/6/2020</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32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r:id="rId144">
              <w:r>
                <w:rPr>
                  <w:rFonts w:ascii="Arial" w:cs="Arial" w:eastAsia="Arial" w:hAnsi="Arial"/>
                  <w:sz w:val="12"/>
                  <w:szCs w:val="12"/>
                  <w:color w:val="0000EE"/>
                </w:rPr>
                <w:t>2018 Omnibus Equity Incentive Plan</w:t>
              </w:r>
            </w:hyperlink>
          </w:p>
        </w:tc>
        <w:tc>
          <w:tcPr>
            <w:tcW w:w="100" w:type="dxa"/>
            <w:vAlign w:val="bottom"/>
            <w:gridSpan w:val="4"/>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10.28*</w:t>
            </w:r>
          </w:p>
        </w:tc>
        <w:tc>
          <w:tcPr>
            <w:tcW w:w="2380" w:type="dxa"/>
            <w:vAlign w:val="bottom"/>
            <w:tcBorders>
              <w:bottom w:val="single" w:sz="8" w:color="0000EE"/>
            </w:tcBorders>
            <w:gridSpan w:val="18"/>
          </w:tcPr>
          <w:p>
            <w:pPr>
              <w:spacing w:after="0"/>
              <w:rPr>
                <w:rFonts w:ascii="Arial" w:cs="Arial" w:eastAsia="Arial" w:hAnsi="Arial"/>
                <w:sz w:val="12"/>
                <w:szCs w:val="12"/>
                <w:color w:val="0000EE"/>
                <w:w w:val="90"/>
              </w:rPr>
            </w:pPr>
            <w:hyperlink r:id="rId145">
              <w:r>
                <w:rPr>
                  <w:rFonts w:ascii="Arial" w:cs="Arial" w:eastAsia="Arial" w:hAnsi="Arial"/>
                  <w:sz w:val="12"/>
                  <w:szCs w:val="12"/>
                  <w:color w:val="0000EE"/>
                  <w:w w:val="90"/>
                </w:rPr>
                <w:t>Employment Agreement between Bernard Acoca</w:t>
              </w:r>
            </w:hyperlink>
          </w:p>
        </w:tc>
        <w:tc>
          <w:tcPr>
            <w:tcW w:w="40" w:type="dxa"/>
            <w:vAlign w:val="bottom"/>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10-K</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12/27/2017</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10.29</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3/9/2018</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45">
              <w:r>
                <w:rPr>
                  <w:rFonts w:ascii="Arial" w:cs="Arial" w:eastAsia="Arial" w:hAnsi="Arial"/>
                  <w:sz w:val="12"/>
                  <w:szCs w:val="12"/>
                  <w:color w:val="0000EE"/>
                </w:rPr>
                <w:t>and El Pollo Loco, Inc.</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10.29*</w:t>
            </w:r>
          </w:p>
        </w:tc>
        <w:tc>
          <w:tcPr>
            <w:tcW w:w="2100" w:type="dxa"/>
            <w:vAlign w:val="bottom"/>
            <w:tcBorders>
              <w:bottom w:val="single" w:sz="8" w:color="0000EE"/>
            </w:tcBorders>
            <w:gridSpan w:val="10"/>
          </w:tcPr>
          <w:p>
            <w:pPr>
              <w:spacing w:after="0"/>
              <w:rPr>
                <w:rFonts w:ascii="Arial" w:cs="Arial" w:eastAsia="Arial" w:hAnsi="Arial"/>
                <w:sz w:val="12"/>
                <w:szCs w:val="12"/>
                <w:color w:val="0000EE"/>
                <w:w w:val="90"/>
              </w:rPr>
            </w:pPr>
            <w:hyperlink r:id="rId146">
              <w:r>
                <w:rPr>
                  <w:rFonts w:ascii="Arial" w:cs="Arial" w:eastAsia="Arial" w:hAnsi="Arial"/>
                  <w:sz w:val="12"/>
                  <w:szCs w:val="12"/>
                  <w:color w:val="0000EE"/>
                  <w:w w:val="90"/>
                </w:rPr>
                <w:t>Employment Agreement between Laurance</w:t>
              </w:r>
            </w:hyperlink>
          </w:p>
        </w:tc>
        <w:tc>
          <w:tcPr>
            <w:tcW w:w="320" w:type="dxa"/>
            <w:vAlign w:val="bottom"/>
            <w:gridSpan w:val="9"/>
          </w:tcPr>
          <w:p>
            <w:pPr>
              <w:spacing w:after="0"/>
              <w:rPr>
                <w:sz w:val="13"/>
                <w:szCs w:val="13"/>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S-1</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10.15</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6/24/2014</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333-197001</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46">
              <w:r>
                <w:rPr>
                  <w:rFonts w:ascii="Arial" w:cs="Arial" w:eastAsia="Arial" w:hAnsi="Arial"/>
                  <w:sz w:val="12"/>
                  <w:szCs w:val="12"/>
                  <w:color w:val="0000EE"/>
                </w:rPr>
                <w:t>Roberts and El Pollo Loco, Inc.</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9"/>
        </w:trPr>
        <w:tc>
          <w:tcPr>
            <w:tcW w:w="920" w:type="dxa"/>
            <w:vAlign w:val="bottom"/>
          </w:tcPr>
          <w:p>
            <w:pPr>
              <w:ind w:left="40"/>
              <w:spacing w:after="0"/>
              <w:rPr>
                <w:sz w:val="20"/>
                <w:szCs w:val="20"/>
                <w:color w:val="auto"/>
              </w:rPr>
            </w:pPr>
            <w:r>
              <w:rPr>
                <w:rFonts w:ascii="Arial" w:cs="Arial" w:eastAsia="Arial" w:hAnsi="Arial"/>
                <w:sz w:val="12"/>
                <w:szCs w:val="12"/>
                <w:color w:val="auto"/>
              </w:rPr>
              <w:t>10.30*</w:t>
            </w:r>
          </w:p>
        </w:tc>
        <w:tc>
          <w:tcPr>
            <w:tcW w:w="2420" w:type="dxa"/>
            <w:vAlign w:val="bottom"/>
            <w:gridSpan w:val="19"/>
          </w:tcPr>
          <w:p>
            <w:pPr>
              <w:spacing w:after="0"/>
              <w:rPr>
                <w:rFonts w:ascii="Arial" w:cs="Arial" w:eastAsia="Arial" w:hAnsi="Arial"/>
                <w:sz w:val="12"/>
                <w:szCs w:val="12"/>
                <w:color w:val="0000EE"/>
                <w:w w:val="93"/>
              </w:rPr>
            </w:pPr>
            <w:hyperlink r:id="rId147">
              <w:r>
                <w:rPr>
                  <w:rFonts w:ascii="Arial" w:cs="Arial" w:eastAsia="Arial" w:hAnsi="Arial"/>
                  <w:sz w:val="12"/>
                  <w:szCs w:val="12"/>
                  <w:color w:val="0000EE"/>
                  <w:w w:val="93"/>
                </w:rPr>
                <w:t>Employment Agreement between Hector Munoz</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10-Q</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3/25/2020</w:t>
            </w:r>
          </w:p>
        </w:tc>
        <w:tc>
          <w:tcPr>
            <w:tcW w:w="760" w:type="dxa"/>
            <w:vAlign w:val="bottom"/>
          </w:tcPr>
          <w:p>
            <w:pPr>
              <w:jc w:val="right"/>
              <w:ind w:right="240"/>
              <w:spacing w:after="0"/>
              <w:rPr>
                <w:sz w:val="20"/>
                <w:szCs w:val="20"/>
                <w:color w:val="auto"/>
              </w:rPr>
            </w:pPr>
            <w:r>
              <w:rPr>
                <w:rFonts w:ascii="Arial" w:cs="Arial" w:eastAsia="Arial" w:hAnsi="Arial"/>
                <w:sz w:val="12"/>
                <w:szCs w:val="12"/>
                <w:color w:val="auto"/>
              </w:rPr>
              <w:t>10.1</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5/1/2020</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34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147">
              <w:r>
                <w:rPr>
                  <w:rFonts w:ascii="Arial" w:cs="Arial" w:eastAsia="Arial" w:hAnsi="Arial"/>
                  <w:sz w:val="12"/>
                  <w:szCs w:val="12"/>
                  <w:color w:val="0000EE"/>
                </w:rPr>
                <w:t>and El Pollo Loco, Inc.</w:t>
              </w:r>
            </w:hyperlink>
          </w:p>
        </w:tc>
        <w:tc>
          <w:tcPr>
            <w:tcW w:w="80" w:type="dxa"/>
            <w:vAlign w:val="bottom"/>
            <w:gridSpan w:val="3"/>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10.31*</w:t>
            </w:r>
          </w:p>
        </w:tc>
        <w:tc>
          <w:tcPr>
            <w:tcW w:w="2420" w:type="dxa"/>
            <w:vAlign w:val="bottom"/>
            <w:gridSpan w:val="19"/>
          </w:tcPr>
          <w:p>
            <w:pPr>
              <w:spacing w:after="0"/>
              <w:rPr>
                <w:rFonts w:ascii="Arial" w:cs="Arial" w:eastAsia="Arial" w:hAnsi="Arial"/>
                <w:sz w:val="12"/>
                <w:szCs w:val="12"/>
                <w:color w:val="0000EE"/>
                <w:w w:val="92"/>
              </w:rPr>
            </w:pPr>
            <w:hyperlink r:id="rId148">
              <w:r>
                <w:rPr>
                  <w:rFonts w:ascii="Arial" w:cs="Arial" w:eastAsia="Arial" w:hAnsi="Arial"/>
                  <w:sz w:val="12"/>
                  <w:szCs w:val="12"/>
                  <w:color w:val="0000EE"/>
                  <w:w w:val="92"/>
                </w:rPr>
                <w:t>Employment Agreement between Miguel Lozano</w:t>
              </w:r>
            </w:hyperlink>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10-Q</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3/27/2019</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10.31</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5/3/2019</w:t>
            </w:r>
          </w:p>
        </w:tc>
        <w:tc>
          <w:tcPr>
            <w:tcW w:w="1120" w:type="dxa"/>
            <w:vAlign w:val="bottom"/>
          </w:tcPr>
          <w:p>
            <w:pPr>
              <w:jc w:val="center"/>
              <w:ind w:right="60"/>
              <w:spacing w:after="0"/>
              <w:rPr>
                <w:sz w:val="20"/>
                <w:szCs w:val="20"/>
                <w:color w:val="auto"/>
              </w:rPr>
            </w:pPr>
            <w:r>
              <w:rPr>
                <w:rFonts w:ascii="Arial" w:cs="Arial" w:eastAsia="Arial" w:hAnsi="Arial"/>
                <w:sz w:val="12"/>
                <w:szCs w:val="12"/>
                <w:color w:val="auto"/>
                <w:w w:val="90"/>
              </w:rPr>
              <w:t>001-36556</w:t>
            </w:r>
          </w:p>
        </w:tc>
      </w:tr>
      <w:tr>
        <w:trPr>
          <w:trHeight w:val="124"/>
        </w:trPr>
        <w:tc>
          <w:tcPr>
            <w:tcW w:w="920" w:type="dxa"/>
            <w:vAlign w:val="bottom"/>
          </w:tcPr>
          <w:p>
            <w:pPr>
              <w:spacing w:after="0"/>
              <w:rPr>
                <w:sz w:val="10"/>
                <w:szCs w:val="10"/>
                <w:color w:val="auto"/>
              </w:rPr>
            </w:pPr>
          </w:p>
        </w:tc>
        <w:tc>
          <w:tcPr>
            <w:tcW w:w="238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148">
              <w:r>
                <w:rPr>
                  <w:rFonts w:ascii="Arial" w:cs="Arial" w:eastAsia="Arial" w:hAnsi="Arial"/>
                  <w:sz w:val="12"/>
                  <w:szCs w:val="12"/>
                  <w:color w:val="0000EE"/>
                </w:rPr>
                <w:t>and El Pollo Loco, Inc.</w:t>
              </w:r>
            </w:hyperlink>
          </w:p>
        </w:tc>
        <w:tc>
          <w:tcPr>
            <w:tcW w:w="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9"/>
        </w:trPr>
        <w:tc>
          <w:tcPr>
            <w:tcW w:w="920" w:type="dxa"/>
            <w:vAlign w:val="bottom"/>
          </w:tcPr>
          <w:p>
            <w:pPr>
              <w:ind w:left="40"/>
              <w:spacing w:after="0"/>
              <w:rPr>
                <w:sz w:val="20"/>
                <w:szCs w:val="20"/>
                <w:color w:val="auto"/>
              </w:rPr>
            </w:pPr>
            <w:r>
              <w:rPr>
                <w:rFonts w:ascii="Arial" w:cs="Arial" w:eastAsia="Arial" w:hAnsi="Arial"/>
                <w:sz w:val="12"/>
                <w:szCs w:val="12"/>
                <w:color w:val="auto"/>
              </w:rPr>
              <w:t>10.32*</w:t>
            </w:r>
          </w:p>
        </w:tc>
        <w:tc>
          <w:tcPr>
            <w:tcW w:w="2360" w:type="dxa"/>
            <w:vAlign w:val="bottom"/>
            <w:tcBorders>
              <w:bottom w:val="single" w:sz="8" w:color="0000EE"/>
            </w:tcBorders>
            <w:gridSpan w:val="17"/>
          </w:tcPr>
          <w:p>
            <w:pPr>
              <w:spacing w:after="0"/>
              <w:rPr>
                <w:rFonts w:ascii="Arial" w:cs="Arial" w:eastAsia="Arial" w:hAnsi="Arial"/>
                <w:sz w:val="12"/>
                <w:szCs w:val="12"/>
                <w:color w:val="0000EE"/>
                <w:w w:val="92"/>
              </w:rPr>
            </w:pPr>
            <w:hyperlink r:id="rId149">
              <w:r>
                <w:rPr>
                  <w:rFonts w:ascii="Arial" w:cs="Arial" w:eastAsia="Arial" w:hAnsi="Arial"/>
                  <w:sz w:val="12"/>
                  <w:szCs w:val="12"/>
                  <w:color w:val="0000EE"/>
                  <w:w w:val="92"/>
                </w:rPr>
                <w:t>Form of Non-Qualified Stock Option Agreement</w:t>
              </w:r>
            </w:hyperlink>
          </w:p>
        </w:tc>
        <w:tc>
          <w:tcPr>
            <w:tcW w:w="60" w:type="dxa"/>
            <w:vAlign w:val="bottom"/>
            <w:gridSpan w:val="2"/>
          </w:tcPr>
          <w:p>
            <w:pPr>
              <w:spacing w:after="0"/>
              <w:rPr>
                <w:sz w:val="14"/>
                <w:szCs w:val="14"/>
                <w:color w:val="auto"/>
              </w:rPr>
            </w:pP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S-8</w:t>
            </w:r>
          </w:p>
        </w:tc>
        <w:tc>
          <w:tcPr>
            <w:tcW w:w="980" w:type="dxa"/>
            <w:vAlign w:val="bottom"/>
          </w:tcPr>
          <w:p>
            <w:pPr>
              <w:jc w:val="right"/>
              <w:ind w:right="140"/>
              <w:spacing w:after="0"/>
              <w:rPr>
                <w:sz w:val="20"/>
                <w:szCs w:val="20"/>
                <w:color w:val="auto"/>
              </w:rPr>
            </w:pPr>
            <w:r>
              <w:rPr>
                <w:rFonts w:ascii="Arial" w:cs="Arial" w:eastAsia="Arial" w:hAnsi="Arial"/>
                <w:sz w:val="12"/>
                <w:szCs w:val="12"/>
                <w:color w:val="auto"/>
              </w:rPr>
              <w:t>N/A</w:t>
            </w:r>
          </w:p>
        </w:tc>
        <w:tc>
          <w:tcPr>
            <w:tcW w:w="760" w:type="dxa"/>
            <w:vAlign w:val="bottom"/>
          </w:tcPr>
          <w:p>
            <w:pPr>
              <w:jc w:val="right"/>
              <w:ind w:right="260"/>
              <w:spacing w:after="0"/>
              <w:rPr>
                <w:sz w:val="20"/>
                <w:szCs w:val="20"/>
                <w:color w:val="auto"/>
              </w:rPr>
            </w:pPr>
            <w:r>
              <w:rPr>
                <w:rFonts w:ascii="Arial" w:cs="Arial" w:eastAsia="Arial" w:hAnsi="Arial"/>
                <w:sz w:val="12"/>
                <w:szCs w:val="12"/>
                <w:color w:val="auto"/>
              </w:rPr>
              <w:t>4.3</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5/8/2018</w:t>
            </w:r>
          </w:p>
        </w:tc>
        <w:tc>
          <w:tcPr>
            <w:tcW w:w="1120" w:type="dxa"/>
            <w:vAlign w:val="bottom"/>
          </w:tcPr>
          <w:p>
            <w:pPr>
              <w:jc w:val="center"/>
              <w:ind w:right="80"/>
              <w:spacing w:after="0"/>
              <w:rPr>
                <w:sz w:val="20"/>
                <w:szCs w:val="20"/>
                <w:color w:val="auto"/>
              </w:rPr>
            </w:pPr>
            <w:r>
              <w:rPr>
                <w:rFonts w:ascii="Arial" w:cs="Arial" w:eastAsia="Arial" w:hAnsi="Arial"/>
                <w:sz w:val="12"/>
                <w:szCs w:val="12"/>
                <w:color w:val="auto"/>
                <w:w w:val="90"/>
              </w:rPr>
              <w:t>333-224730</w:t>
            </w:r>
          </w:p>
        </w:tc>
      </w:tr>
      <w:tr>
        <w:trPr>
          <w:trHeight w:val="124"/>
        </w:trPr>
        <w:tc>
          <w:tcPr>
            <w:tcW w:w="920" w:type="dxa"/>
            <w:vAlign w:val="bottom"/>
          </w:tcPr>
          <w:p>
            <w:pPr>
              <w:spacing w:after="0"/>
              <w:rPr>
                <w:sz w:val="10"/>
                <w:szCs w:val="10"/>
                <w:color w:val="auto"/>
              </w:rPr>
            </w:pPr>
          </w:p>
        </w:tc>
        <w:tc>
          <w:tcPr>
            <w:tcW w:w="2420" w:type="dxa"/>
            <w:vAlign w:val="bottom"/>
            <w:gridSpan w:val="19"/>
          </w:tcPr>
          <w:p>
            <w:pPr>
              <w:spacing w:after="0" w:line="124" w:lineRule="exact"/>
              <w:rPr>
                <w:rFonts w:ascii="Arial" w:cs="Arial" w:eastAsia="Arial" w:hAnsi="Arial"/>
                <w:sz w:val="12"/>
                <w:szCs w:val="12"/>
                <w:color w:val="0000EE"/>
              </w:rPr>
            </w:pPr>
            <w:hyperlink r:id="rId149">
              <w:r>
                <w:rPr>
                  <w:rFonts w:ascii="Arial" w:cs="Arial" w:eastAsia="Arial" w:hAnsi="Arial"/>
                  <w:sz w:val="12"/>
                  <w:szCs w:val="12"/>
                  <w:color w:val="0000EE"/>
                </w:rPr>
                <w:t>between El</w:t>
              </w:r>
            </w:hyperlink>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466"/>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jc w:val="right"/>
              <w:ind w:right="460"/>
              <w:spacing w:after="0"/>
              <w:rPr>
                <w:sz w:val="20"/>
                <w:szCs w:val="20"/>
                <w:color w:val="auto"/>
              </w:rPr>
            </w:pPr>
            <w:r>
              <w:rPr>
                <w:rFonts w:ascii="Arial" w:cs="Arial" w:eastAsia="Arial" w:hAnsi="Arial"/>
                <w:sz w:val="12"/>
                <w:szCs w:val="12"/>
                <w:color w:val="auto"/>
              </w:rPr>
              <w:t>109</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2" w:right="1440" w:bottom="1440" w:gutter="0" w:footer="0" w:header="0"/>
        </w:sectPr>
      </w:pPr>
    </w:p>
    <w:bookmarkStart w:id="111" w:name="page112"/>
    <w:bookmarkEnd w:id="1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920" w:type="dxa"/>
            <w:vAlign w:val="bottom"/>
          </w:tcPr>
          <w:p>
            <w:pPr>
              <w:spacing w:after="0"/>
              <w:rPr>
                <w:rFonts w:ascii="Arial" w:cs="Arial" w:eastAsia="Arial" w:hAnsi="Arial"/>
                <w:sz w:val="12"/>
                <w:szCs w:val="12"/>
                <w:u w:val="single" w:color="auto"/>
                <w:color w:val="0000EE"/>
                <w:w w:val="94"/>
              </w:rPr>
            </w:pPr>
            <w:hyperlink w:anchor="page2">
              <w:r>
                <w:rPr>
                  <w:rFonts w:ascii="Arial" w:cs="Arial" w:eastAsia="Arial" w:hAnsi="Arial"/>
                  <w:sz w:val="12"/>
                  <w:szCs w:val="12"/>
                  <w:u w:val="single" w:color="auto"/>
                  <w:color w:val="0000EE"/>
                  <w:w w:val="94"/>
                </w:rPr>
                <w:t>Table of Contents</w:t>
              </w:r>
            </w:hyperlink>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855"/>
        </w:trPr>
        <w:tc>
          <w:tcPr>
            <w:tcW w:w="920" w:type="dxa"/>
            <w:vAlign w:val="bottom"/>
          </w:tcPr>
          <w:p>
            <w:pPr>
              <w:spacing w:after="0"/>
              <w:rPr>
                <w:sz w:val="24"/>
                <w:szCs w:val="24"/>
                <w:color w:val="auto"/>
              </w:rPr>
            </w:pPr>
          </w:p>
        </w:tc>
        <w:tc>
          <w:tcPr>
            <w:tcW w:w="2800" w:type="dxa"/>
            <w:vAlign w:val="bottom"/>
            <w:gridSpan w:val="13"/>
          </w:tcPr>
          <w:p>
            <w:pPr>
              <w:spacing w:after="0"/>
              <w:rPr>
                <w:rFonts w:ascii="Arial" w:cs="Arial" w:eastAsia="Arial" w:hAnsi="Arial"/>
                <w:sz w:val="12"/>
                <w:szCs w:val="12"/>
                <w:u w:val="single" w:color="auto"/>
                <w:color w:val="0000EE"/>
              </w:rPr>
            </w:pPr>
            <w:hyperlink r:id="rId149">
              <w:r>
                <w:rPr>
                  <w:rFonts w:ascii="Arial" w:cs="Arial" w:eastAsia="Arial" w:hAnsi="Arial"/>
                  <w:sz w:val="12"/>
                  <w:szCs w:val="12"/>
                  <w:u w:val="single" w:color="auto"/>
                  <w:color w:val="0000EE"/>
                </w:rPr>
                <w:t>Pollo Loco Holdings, Inc. and Bernard Acoca</w:t>
              </w:r>
            </w:hyperlink>
          </w:p>
        </w:tc>
        <w:tc>
          <w:tcPr>
            <w:tcW w:w="480" w:type="dxa"/>
            <w:vAlign w:val="bottom"/>
          </w:tcPr>
          <w:p>
            <w:pPr>
              <w:spacing w:after="0"/>
              <w:rPr>
                <w:sz w:val="24"/>
                <w:szCs w:val="24"/>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10.33*</w:t>
            </w:r>
          </w:p>
        </w:tc>
        <w:tc>
          <w:tcPr>
            <w:tcW w:w="2380" w:type="dxa"/>
            <w:vAlign w:val="bottom"/>
            <w:tcBorders>
              <w:bottom w:val="single" w:sz="8" w:color="0000EE"/>
            </w:tcBorders>
            <w:gridSpan w:val="9"/>
          </w:tcPr>
          <w:p>
            <w:pPr>
              <w:spacing w:after="0"/>
              <w:rPr>
                <w:rFonts w:ascii="Arial" w:cs="Arial" w:eastAsia="Arial" w:hAnsi="Arial"/>
                <w:sz w:val="12"/>
                <w:szCs w:val="12"/>
                <w:color w:val="0000EE"/>
                <w:w w:val="91"/>
              </w:rPr>
            </w:pPr>
            <w:hyperlink r:id="rId150">
              <w:r>
                <w:rPr>
                  <w:rFonts w:ascii="Arial" w:cs="Arial" w:eastAsia="Arial" w:hAnsi="Arial"/>
                  <w:sz w:val="12"/>
                  <w:szCs w:val="12"/>
                  <w:color w:val="0000EE"/>
                  <w:w w:val="91"/>
                </w:rPr>
                <w:t>Form of Restricted Share Unit Award Agreement</w:t>
              </w:r>
            </w:hyperlink>
          </w:p>
        </w:tc>
        <w:tc>
          <w:tcPr>
            <w:tcW w:w="420" w:type="dxa"/>
            <w:vAlign w:val="bottom"/>
            <w:gridSpan w:val="4"/>
          </w:tcPr>
          <w:p>
            <w:pPr>
              <w:spacing w:after="0"/>
              <w:rPr>
                <w:sz w:val="12"/>
                <w:szCs w:val="12"/>
                <w:color w:val="auto"/>
              </w:rPr>
            </w:pPr>
          </w:p>
        </w:tc>
        <w:tc>
          <w:tcPr>
            <w:tcW w:w="480" w:type="dxa"/>
            <w:vAlign w:val="bottom"/>
          </w:tcPr>
          <w:p>
            <w:pPr>
              <w:spacing w:after="0"/>
              <w:rPr>
                <w:sz w:val="12"/>
                <w:szCs w:val="12"/>
                <w:color w:val="auto"/>
              </w:rPr>
            </w:pPr>
          </w:p>
        </w:tc>
      </w:tr>
      <w:tr>
        <w:trPr>
          <w:trHeight w:val="124"/>
        </w:trPr>
        <w:tc>
          <w:tcPr>
            <w:tcW w:w="920" w:type="dxa"/>
            <w:vAlign w:val="bottom"/>
          </w:tcPr>
          <w:p>
            <w:pPr>
              <w:spacing w:after="0"/>
              <w:rPr>
                <w:sz w:val="10"/>
                <w:szCs w:val="10"/>
                <w:color w:val="auto"/>
              </w:rPr>
            </w:pPr>
          </w:p>
        </w:tc>
        <w:tc>
          <w:tcPr>
            <w:tcW w:w="2440" w:type="dxa"/>
            <w:vAlign w:val="bottom"/>
            <w:tcBorders>
              <w:bottom w:val="single" w:sz="8" w:color="0000EE"/>
            </w:tcBorders>
            <w:gridSpan w:val="12"/>
          </w:tcPr>
          <w:p>
            <w:pPr>
              <w:spacing w:after="0" w:line="124" w:lineRule="exact"/>
              <w:rPr>
                <w:rFonts w:ascii="Arial" w:cs="Arial" w:eastAsia="Arial" w:hAnsi="Arial"/>
                <w:sz w:val="12"/>
                <w:szCs w:val="12"/>
                <w:color w:val="0000EE"/>
                <w:w w:val="91"/>
              </w:rPr>
            </w:pPr>
            <w:hyperlink r:id="rId150">
              <w:r>
                <w:rPr>
                  <w:rFonts w:ascii="Arial" w:cs="Arial" w:eastAsia="Arial" w:hAnsi="Arial"/>
                  <w:sz w:val="12"/>
                  <w:szCs w:val="12"/>
                  <w:color w:val="0000EE"/>
                  <w:w w:val="91"/>
                </w:rPr>
                <w:t>between El Pollo Loco Holdings, Inc. and Bernard</w:t>
              </w:r>
            </w:hyperlink>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320" w:type="dxa"/>
            <w:vAlign w:val="bottom"/>
            <w:tcBorders>
              <w:bottom w:val="single" w:sz="8" w:color="0000EE"/>
            </w:tcBorders>
          </w:tcPr>
          <w:p>
            <w:pPr>
              <w:spacing w:after="0" w:line="124" w:lineRule="exact"/>
              <w:rPr>
                <w:rFonts w:ascii="Arial" w:cs="Arial" w:eastAsia="Arial" w:hAnsi="Arial"/>
                <w:sz w:val="12"/>
                <w:szCs w:val="12"/>
                <w:color w:val="0000EE"/>
                <w:w w:val="89"/>
              </w:rPr>
            </w:pPr>
            <w:hyperlink r:id="rId150">
              <w:r>
                <w:rPr>
                  <w:rFonts w:ascii="Arial" w:cs="Arial" w:eastAsia="Arial" w:hAnsi="Arial"/>
                  <w:sz w:val="12"/>
                  <w:szCs w:val="12"/>
                  <w:color w:val="0000EE"/>
                  <w:w w:val="89"/>
                </w:rPr>
                <w:t>Acoca</w:t>
              </w:r>
            </w:hyperlink>
          </w:p>
        </w:tc>
        <w:tc>
          <w:tcPr>
            <w:tcW w:w="2480" w:type="dxa"/>
            <w:vAlign w:val="bottom"/>
            <w:gridSpan w:val="12"/>
          </w:tcPr>
          <w:p>
            <w:pPr>
              <w:spacing w:after="0"/>
              <w:rPr>
                <w:sz w:val="10"/>
                <w:szCs w:val="10"/>
                <w:color w:val="auto"/>
              </w:rPr>
            </w:pPr>
          </w:p>
        </w:tc>
        <w:tc>
          <w:tcPr>
            <w:tcW w:w="480" w:type="dxa"/>
            <w:vAlign w:val="bottom"/>
          </w:tcPr>
          <w:p>
            <w:pPr>
              <w:spacing w:after="0"/>
              <w:rPr>
                <w:sz w:val="10"/>
                <w:szCs w:val="10"/>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10.34*</w:t>
            </w:r>
          </w:p>
        </w:tc>
        <w:tc>
          <w:tcPr>
            <w:tcW w:w="1940" w:type="dxa"/>
            <w:vAlign w:val="bottom"/>
            <w:tcBorders>
              <w:bottom w:val="single" w:sz="8" w:color="0000EE"/>
            </w:tcBorders>
            <w:gridSpan w:val="5"/>
          </w:tcPr>
          <w:p>
            <w:pPr>
              <w:spacing w:after="0"/>
              <w:rPr>
                <w:rFonts w:ascii="Arial" w:cs="Arial" w:eastAsia="Arial" w:hAnsi="Arial"/>
                <w:sz w:val="12"/>
                <w:szCs w:val="12"/>
                <w:color w:val="0000EE"/>
                <w:w w:val="91"/>
              </w:rPr>
            </w:pPr>
            <w:hyperlink r:id="rId151">
              <w:r>
                <w:rPr>
                  <w:rFonts w:ascii="Arial" w:cs="Arial" w:eastAsia="Arial" w:hAnsi="Arial"/>
                  <w:sz w:val="12"/>
                  <w:szCs w:val="12"/>
                  <w:color w:val="0000EE"/>
                  <w:w w:val="91"/>
                </w:rPr>
                <w:t>Form of Performance Share Unit Award</w:t>
              </w:r>
            </w:hyperlink>
          </w:p>
        </w:tc>
        <w:tc>
          <w:tcPr>
            <w:tcW w:w="8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r>
      <w:tr>
        <w:trPr>
          <w:trHeight w:val="124"/>
        </w:trPr>
        <w:tc>
          <w:tcPr>
            <w:tcW w:w="920" w:type="dxa"/>
            <w:vAlign w:val="bottom"/>
          </w:tcPr>
          <w:p>
            <w:pPr>
              <w:spacing w:after="0"/>
              <w:rPr>
                <w:sz w:val="10"/>
                <w:szCs w:val="10"/>
                <w:color w:val="auto"/>
              </w:rPr>
            </w:pPr>
          </w:p>
        </w:tc>
        <w:tc>
          <w:tcPr>
            <w:tcW w:w="2800" w:type="dxa"/>
            <w:vAlign w:val="bottom"/>
            <w:gridSpan w:val="13"/>
          </w:tcPr>
          <w:p>
            <w:pPr>
              <w:spacing w:after="0" w:line="124" w:lineRule="exact"/>
              <w:rPr>
                <w:rFonts w:ascii="Arial" w:cs="Arial" w:eastAsia="Arial" w:hAnsi="Arial"/>
                <w:sz w:val="12"/>
                <w:szCs w:val="12"/>
                <w:color w:val="0000EE"/>
              </w:rPr>
            </w:pPr>
            <w:hyperlink r:id="rId151">
              <w:r>
                <w:rPr>
                  <w:rFonts w:ascii="Arial" w:cs="Arial" w:eastAsia="Arial" w:hAnsi="Arial"/>
                  <w:sz w:val="12"/>
                  <w:szCs w:val="12"/>
                  <w:color w:val="0000EE"/>
                </w:rPr>
                <w:t>Agreement between El Pollo Loco Holdings, Inc.</w:t>
              </w:r>
            </w:hyperlink>
          </w:p>
        </w:tc>
        <w:tc>
          <w:tcPr>
            <w:tcW w:w="48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94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9"/>
              </w:rPr>
            </w:pPr>
            <w:hyperlink r:id="rId151">
              <w:r>
                <w:rPr>
                  <w:rFonts w:ascii="Arial" w:cs="Arial" w:eastAsia="Arial" w:hAnsi="Arial"/>
                  <w:sz w:val="12"/>
                  <w:szCs w:val="12"/>
                  <w:color w:val="0000EE"/>
                  <w:w w:val="89"/>
                </w:rPr>
                <w:t>and Bernard Acoca</w:t>
              </w:r>
            </w:hyperlink>
          </w:p>
        </w:tc>
        <w:tc>
          <w:tcPr>
            <w:tcW w:w="1440" w:type="dxa"/>
            <w:vAlign w:val="bottom"/>
            <w:tcBorders>
              <w:top w:val="single" w:sz="8" w:color="0000EE"/>
            </w:tcBorders>
            <w:gridSpan w:val="5"/>
          </w:tcPr>
          <w:p>
            <w:pPr>
              <w:spacing w:after="0"/>
              <w:rPr>
                <w:sz w:val="10"/>
                <w:szCs w:val="10"/>
                <w:color w:val="auto"/>
              </w:rPr>
            </w:pPr>
          </w:p>
        </w:tc>
        <w:tc>
          <w:tcPr>
            <w:tcW w:w="420" w:type="dxa"/>
            <w:vAlign w:val="bottom"/>
            <w:gridSpan w:val="4"/>
          </w:tcPr>
          <w:p>
            <w:pPr>
              <w:spacing w:after="0"/>
              <w:rPr>
                <w:sz w:val="10"/>
                <w:szCs w:val="10"/>
                <w:color w:val="auto"/>
              </w:rPr>
            </w:pPr>
          </w:p>
        </w:tc>
        <w:tc>
          <w:tcPr>
            <w:tcW w:w="480" w:type="dxa"/>
            <w:vAlign w:val="bottom"/>
          </w:tcPr>
          <w:p>
            <w:pPr>
              <w:spacing w:after="0"/>
              <w:rPr>
                <w:sz w:val="10"/>
                <w:szCs w:val="10"/>
                <w:color w:val="auto"/>
              </w:rPr>
            </w:pPr>
          </w:p>
        </w:tc>
      </w:tr>
      <w:tr>
        <w:trPr>
          <w:trHeight w:val="178"/>
        </w:trPr>
        <w:tc>
          <w:tcPr>
            <w:tcW w:w="920" w:type="dxa"/>
            <w:vAlign w:val="bottom"/>
          </w:tcPr>
          <w:p>
            <w:pPr>
              <w:ind w:left="40"/>
              <w:spacing w:after="0"/>
              <w:rPr>
                <w:sz w:val="20"/>
                <w:szCs w:val="20"/>
                <w:color w:val="auto"/>
              </w:rPr>
            </w:pPr>
            <w:r>
              <w:rPr>
                <w:rFonts w:ascii="Arial" w:cs="Arial" w:eastAsia="Arial" w:hAnsi="Arial"/>
                <w:sz w:val="12"/>
                <w:szCs w:val="12"/>
                <w:color w:val="auto"/>
              </w:rPr>
              <w:t>21.1</w:t>
            </w:r>
          </w:p>
        </w:tc>
        <w:tc>
          <w:tcPr>
            <w:tcW w:w="2800" w:type="dxa"/>
            <w:vAlign w:val="bottom"/>
            <w:gridSpan w:val="13"/>
          </w:tcPr>
          <w:p>
            <w:pPr>
              <w:spacing w:after="0"/>
              <w:rPr>
                <w:rFonts w:ascii="Arial" w:cs="Arial" w:eastAsia="Arial" w:hAnsi="Arial"/>
                <w:sz w:val="12"/>
                <w:szCs w:val="12"/>
                <w:u w:val="single" w:color="auto"/>
                <w:color w:val="0000EE"/>
              </w:rPr>
            </w:pPr>
            <w:hyperlink r:id="rId152">
              <w:r>
                <w:rPr>
                  <w:rFonts w:ascii="Arial" w:cs="Arial" w:eastAsia="Arial" w:hAnsi="Arial"/>
                  <w:sz w:val="12"/>
                  <w:szCs w:val="12"/>
                  <w:u w:val="single" w:color="auto"/>
                  <w:color w:val="0000EE"/>
                </w:rPr>
                <w:t>Subsidiaries of El Pollo Loco Holdings, Inc.</w:t>
              </w:r>
            </w:hyperlink>
          </w:p>
        </w:tc>
        <w:tc>
          <w:tcPr>
            <w:tcW w:w="480" w:type="dxa"/>
            <w:vAlign w:val="bottom"/>
          </w:tcPr>
          <w:p>
            <w:pPr>
              <w:spacing w:after="0"/>
              <w:rPr>
                <w:sz w:val="15"/>
                <w:szCs w:val="15"/>
                <w:color w:val="auto"/>
              </w:rPr>
            </w:pPr>
          </w:p>
        </w:tc>
      </w:tr>
      <w:tr>
        <w:trPr>
          <w:trHeight w:val="171"/>
        </w:trPr>
        <w:tc>
          <w:tcPr>
            <w:tcW w:w="920" w:type="dxa"/>
            <w:vAlign w:val="bottom"/>
          </w:tcPr>
          <w:p>
            <w:pPr>
              <w:ind w:left="40"/>
              <w:spacing w:after="0"/>
              <w:rPr>
                <w:sz w:val="20"/>
                <w:szCs w:val="20"/>
                <w:color w:val="auto"/>
              </w:rPr>
            </w:pPr>
            <w:r>
              <w:rPr>
                <w:rFonts w:ascii="Arial" w:cs="Arial" w:eastAsia="Arial" w:hAnsi="Arial"/>
                <w:sz w:val="12"/>
                <w:szCs w:val="12"/>
                <w:color w:val="auto"/>
              </w:rPr>
              <w:t>23.1</w:t>
            </w:r>
          </w:p>
        </w:tc>
        <w:tc>
          <w:tcPr>
            <w:tcW w:w="2800" w:type="dxa"/>
            <w:vAlign w:val="bottom"/>
            <w:gridSpan w:val="13"/>
          </w:tcPr>
          <w:p>
            <w:pPr>
              <w:spacing w:after="0"/>
              <w:rPr>
                <w:rFonts w:ascii="Arial" w:cs="Arial" w:eastAsia="Arial" w:hAnsi="Arial"/>
                <w:sz w:val="12"/>
                <w:szCs w:val="12"/>
                <w:u w:val="single" w:color="auto"/>
                <w:color w:val="0000EE"/>
              </w:rPr>
            </w:pPr>
            <w:hyperlink w:anchor="page115">
              <w:r>
                <w:rPr>
                  <w:rFonts w:ascii="Arial" w:cs="Arial" w:eastAsia="Arial" w:hAnsi="Arial"/>
                  <w:sz w:val="12"/>
                  <w:szCs w:val="12"/>
                  <w:u w:val="single" w:color="auto"/>
                  <w:color w:val="0000EE"/>
                </w:rPr>
                <w:t>Consent of BDO USA, LLP</w:t>
              </w:r>
            </w:hyperlink>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24.1</w:t>
            </w:r>
          </w:p>
        </w:tc>
        <w:tc>
          <w:tcPr>
            <w:tcW w:w="2800" w:type="dxa"/>
            <w:vAlign w:val="bottom"/>
            <w:gridSpan w:val="13"/>
          </w:tcPr>
          <w:p>
            <w:pPr>
              <w:spacing w:after="0"/>
              <w:rPr>
                <w:rFonts w:ascii="Arial" w:cs="Arial" w:eastAsia="Arial" w:hAnsi="Arial"/>
                <w:sz w:val="12"/>
                <w:szCs w:val="12"/>
                <w:color w:val="0000EE"/>
              </w:rPr>
            </w:pPr>
            <w:hyperlink w:anchor="page114">
              <w:r>
                <w:rPr>
                  <w:rFonts w:ascii="Arial" w:cs="Arial" w:eastAsia="Arial" w:hAnsi="Arial"/>
                  <w:sz w:val="12"/>
                  <w:szCs w:val="12"/>
                  <w:color w:val="0000EE"/>
                </w:rPr>
                <w:t>Power of Attorney (included on signature</w:t>
              </w:r>
            </w:hyperlink>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24"/>
        </w:trPr>
        <w:tc>
          <w:tcPr>
            <w:tcW w:w="920" w:type="dxa"/>
            <w:vAlign w:val="bottom"/>
          </w:tcPr>
          <w:p>
            <w:pPr>
              <w:spacing w:after="0"/>
              <w:rPr>
                <w:sz w:val="10"/>
                <w:szCs w:val="10"/>
                <w:color w:val="auto"/>
              </w:rPr>
            </w:pPr>
          </w:p>
        </w:tc>
        <w:tc>
          <w:tcPr>
            <w:tcW w:w="200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114">
              <w:r>
                <w:rPr>
                  <w:rFonts w:ascii="Arial" w:cs="Arial" w:eastAsia="Arial" w:hAnsi="Arial"/>
                  <w:sz w:val="12"/>
                  <w:szCs w:val="12"/>
                  <w:color w:val="0000EE"/>
                </w:rPr>
                <w:t>page hereto)</w:t>
              </w:r>
            </w:hyperlink>
          </w:p>
        </w:tc>
        <w:tc>
          <w:tcPr>
            <w:tcW w:w="800" w:type="dxa"/>
            <w:vAlign w:val="bottom"/>
            <w:gridSpan w:val="7"/>
          </w:tcPr>
          <w:p>
            <w:pPr>
              <w:spacing w:after="0"/>
              <w:rPr>
                <w:sz w:val="10"/>
                <w:szCs w:val="10"/>
                <w:color w:val="auto"/>
              </w:rPr>
            </w:pPr>
          </w:p>
        </w:tc>
        <w:tc>
          <w:tcPr>
            <w:tcW w:w="48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1"/>
        </w:trPr>
        <w:tc>
          <w:tcPr>
            <w:tcW w:w="920" w:type="dxa"/>
            <w:vAlign w:val="bottom"/>
          </w:tcPr>
          <w:p>
            <w:pPr>
              <w:ind w:left="40"/>
              <w:spacing w:after="0"/>
              <w:rPr>
                <w:sz w:val="20"/>
                <w:szCs w:val="20"/>
                <w:color w:val="auto"/>
              </w:rPr>
            </w:pPr>
            <w:r>
              <w:rPr>
                <w:rFonts w:ascii="Arial" w:cs="Arial" w:eastAsia="Arial" w:hAnsi="Arial"/>
                <w:sz w:val="12"/>
                <w:szCs w:val="12"/>
                <w:color w:val="auto"/>
              </w:rPr>
              <w:t>31.1</w:t>
            </w:r>
          </w:p>
        </w:tc>
        <w:tc>
          <w:tcPr>
            <w:tcW w:w="2400" w:type="dxa"/>
            <w:vAlign w:val="bottom"/>
            <w:tcBorders>
              <w:bottom w:val="single" w:sz="8" w:color="0000EE"/>
            </w:tcBorders>
            <w:gridSpan w:val="10"/>
          </w:tcPr>
          <w:p>
            <w:pPr>
              <w:spacing w:after="0"/>
              <w:rPr>
                <w:rFonts w:ascii="Arial" w:cs="Arial" w:eastAsia="Arial" w:hAnsi="Arial"/>
                <w:sz w:val="12"/>
                <w:szCs w:val="12"/>
                <w:color w:val="0000EE"/>
                <w:w w:val="93"/>
              </w:rPr>
            </w:pPr>
            <w:hyperlink w:anchor="page116">
              <w:r>
                <w:rPr>
                  <w:rFonts w:ascii="Arial" w:cs="Arial" w:eastAsia="Arial" w:hAnsi="Arial"/>
                  <w:sz w:val="12"/>
                  <w:szCs w:val="12"/>
                  <w:color w:val="0000EE"/>
                  <w:w w:val="93"/>
                </w:rPr>
                <w:t>Certification of Principal Executive Officer under</w:t>
              </w:r>
            </w:hyperlink>
          </w:p>
        </w:tc>
        <w:tc>
          <w:tcPr>
            <w:tcW w:w="400" w:type="dxa"/>
            <w:vAlign w:val="bottom"/>
            <w:gridSpan w:val="3"/>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1"/>
        </w:trPr>
        <w:tc>
          <w:tcPr>
            <w:tcW w:w="920" w:type="dxa"/>
            <w:vAlign w:val="bottom"/>
          </w:tcPr>
          <w:p>
            <w:pPr>
              <w:spacing w:after="0"/>
              <w:rPr>
                <w:sz w:val="13"/>
                <w:szCs w:val="13"/>
                <w:color w:val="auto"/>
              </w:rPr>
            </w:pPr>
          </w:p>
        </w:tc>
        <w:tc>
          <w:tcPr>
            <w:tcW w:w="2800" w:type="dxa"/>
            <w:vAlign w:val="bottom"/>
            <w:gridSpan w:val="13"/>
          </w:tcPr>
          <w:p>
            <w:pPr>
              <w:spacing w:after="0"/>
              <w:rPr>
                <w:rFonts w:ascii="Arial" w:cs="Arial" w:eastAsia="Arial" w:hAnsi="Arial"/>
                <w:sz w:val="12"/>
                <w:szCs w:val="12"/>
                <w:u w:val="single" w:color="auto"/>
                <w:color w:val="0000EE"/>
              </w:rPr>
            </w:pPr>
            <w:hyperlink w:anchor="page116">
              <w:r>
                <w:rPr>
                  <w:rFonts w:ascii="Arial" w:cs="Arial" w:eastAsia="Arial" w:hAnsi="Arial"/>
                  <w:sz w:val="12"/>
                  <w:szCs w:val="12"/>
                  <w:u w:val="single" w:color="auto"/>
                  <w:color w:val="0000EE"/>
                </w:rPr>
                <w:t>section 302 of the Sarbanes–Oxley Act of 2002</w:t>
              </w:r>
            </w:hyperlink>
          </w:p>
        </w:tc>
        <w:tc>
          <w:tcPr>
            <w:tcW w:w="48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31.2</w:t>
            </w:r>
          </w:p>
        </w:tc>
        <w:tc>
          <w:tcPr>
            <w:tcW w:w="2800" w:type="dxa"/>
            <w:vAlign w:val="bottom"/>
            <w:gridSpan w:val="13"/>
          </w:tcPr>
          <w:p>
            <w:pPr>
              <w:spacing w:after="0"/>
              <w:rPr>
                <w:rFonts w:ascii="Arial" w:cs="Arial" w:eastAsia="Arial" w:hAnsi="Arial"/>
                <w:sz w:val="12"/>
                <w:szCs w:val="12"/>
                <w:color w:val="0000EE"/>
              </w:rPr>
            </w:pPr>
            <w:hyperlink w:anchor="page117">
              <w:r>
                <w:rPr>
                  <w:rFonts w:ascii="Arial" w:cs="Arial" w:eastAsia="Arial" w:hAnsi="Arial"/>
                  <w:sz w:val="12"/>
                  <w:szCs w:val="12"/>
                  <w:color w:val="0000EE"/>
                </w:rPr>
                <w:t>Certification of Principal Financial Officer under</w:t>
              </w:r>
            </w:hyperlink>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1"/>
        </w:trPr>
        <w:tc>
          <w:tcPr>
            <w:tcW w:w="920" w:type="dxa"/>
            <w:vAlign w:val="bottom"/>
          </w:tcPr>
          <w:p>
            <w:pPr>
              <w:spacing w:after="0"/>
              <w:rPr>
                <w:sz w:val="13"/>
                <w:szCs w:val="13"/>
                <w:color w:val="auto"/>
              </w:rPr>
            </w:pPr>
          </w:p>
        </w:tc>
        <w:tc>
          <w:tcPr>
            <w:tcW w:w="2360" w:type="dxa"/>
            <w:vAlign w:val="bottom"/>
            <w:tcBorders>
              <w:top w:val="single" w:sz="8" w:color="0000EE"/>
            </w:tcBorders>
            <w:gridSpan w:val="8"/>
          </w:tcPr>
          <w:p>
            <w:pPr>
              <w:spacing w:after="0"/>
              <w:rPr>
                <w:rFonts w:ascii="Arial" w:cs="Arial" w:eastAsia="Arial" w:hAnsi="Arial"/>
                <w:sz w:val="12"/>
                <w:szCs w:val="12"/>
                <w:u w:val="single" w:color="auto"/>
                <w:color w:val="0000EE"/>
                <w:w w:val="93"/>
              </w:rPr>
            </w:pPr>
            <w:hyperlink w:anchor="page117">
              <w:r>
                <w:rPr>
                  <w:rFonts w:ascii="Arial" w:cs="Arial" w:eastAsia="Arial" w:hAnsi="Arial"/>
                  <w:sz w:val="12"/>
                  <w:szCs w:val="12"/>
                  <w:u w:val="single" w:color="auto"/>
                  <w:color w:val="0000EE"/>
                  <w:w w:val="93"/>
                </w:rPr>
                <w:t>section 302 of the Sarbanes–Oxley Act of 2002</w:t>
              </w:r>
            </w:hyperlink>
          </w:p>
        </w:tc>
        <w:tc>
          <w:tcPr>
            <w:tcW w:w="440" w:type="dxa"/>
            <w:vAlign w:val="bottom"/>
            <w:gridSpan w:val="5"/>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920" w:type="dxa"/>
            <w:vAlign w:val="bottom"/>
          </w:tcPr>
          <w:p>
            <w:pPr>
              <w:ind w:left="40"/>
              <w:spacing w:after="0"/>
              <w:rPr>
                <w:sz w:val="20"/>
                <w:szCs w:val="20"/>
                <w:color w:val="auto"/>
              </w:rPr>
            </w:pPr>
            <w:r>
              <w:rPr>
                <w:rFonts w:ascii="Arial" w:cs="Arial" w:eastAsia="Arial" w:hAnsi="Arial"/>
                <w:sz w:val="12"/>
                <w:szCs w:val="12"/>
                <w:color w:val="auto"/>
              </w:rPr>
              <w:t>32.1</w:t>
            </w:r>
          </w:p>
        </w:tc>
        <w:tc>
          <w:tcPr>
            <w:tcW w:w="2800" w:type="dxa"/>
            <w:vAlign w:val="bottom"/>
            <w:gridSpan w:val="13"/>
          </w:tcPr>
          <w:p>
            <w:pPr>
              <w:spacing w:after="0"/>
              <w:rPr>
                <w:rFonts w:ascii="Arial" w:cs="Arial" w:eastAsia="Arial" w:hAnsi="Arial"/>
                <w:sz w:val="12"/>
                <w:szCs w:val="12"/>
                <w:color w:val="0000EE"/>
              </w:rPr>
            </w:pPr>
            <w:hyperlink w:anchor="page118">
              <w:r>
                <w:rPr>
                  <w:rFonts w:ascii="Arial" w:cs="Arial" w:eastAsia="Arial" w:hAnsi="Arial"/>
                  <w:sz w:val="12"/>
                  <w:szCs w:val="12"/>
                  <w:color w:val="0000EE"/>
                </w:rPr>
                <w:t>Certification of Chief Executive Officer and Chief</w:t>
              </w:r>
            </w:hyperlink>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920" w:type="dxa"/>
            <w:vAlign w:val="bottom"/>
          </w:tcPr>
          <w:p>
            <w:pPr>
              <w:spacing w:after="0"/>
              <w:rPr>
                <w:sz w:val="10"/>
                <w:szCs w:val="10"/>
                <w:color w:val="auto"/>
              </w:rPr>
            </w:pPr>
          </w:p>
        </w:tc>
        <w:tc>
          <w:tcPr>
            <w:tcW w:w="2420" w:type="dxa"/>
            <w:vAlign w:val="bottom"/>
            <w:tcBorders>
              <w:top w:val="single" w:sz="8" w:color="0000EE"/>
            </w:tcBorders>
            <w:gridSpan w:val="11"/>
          </w:tcPr>
          <w:p>
            <w:pPr>
              <w:spacing w:after="0" w:line="124" w:lineRule="exact"/>
              <w:rPr>
                <w:rFonts w:ascii="Arial" w:cs="Arial" w:eastAsia="Arial" w:hAnsi="Arial"/>
                <w:sz w:val="12"/>
                <w:szCs w:val="12"/>
                <w:color w:val="0000EE"/>
                <w:w w:val="95"/>
              </w:rPr>
            </w:pPr>
            <w:hyperlink w:anchor="page118">
              <w:r>
                <w:rPr>
                  <w:rFonts w:ascii="Arial" w:cs="Arial" w:eastAsia="Arial" w:hAnsi="Arial"/>
                  <w:sz w:val="12"/>
                  <w:szCs w:val="12"/>
                  <w:color w:val="0000EE"/>
                  <w:w w:val="95"/>
                </w:rPr>
                <w:t>Financial Officer under 18 U.S.C. section 1350,</w:t>
              </w:r>
            </w:hyperlink>
          </w:p>
        </w:tc>
        <w:tc>
          <w:tcPr>
            <w:tcW w:w="3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2800" w:type="dxa"/>
            <w:vAlign w:val="bottom"/>
            <w:gridSpan w:val="13"/>
          </w:tcPr>
          <w:p>
            <w:pPr>
              <w:spacing w:after="0" w:line="124" w:lineRule="exact"/>
              <w:rPr>
                <w:rFonts w:ascii="Arial" w:cs="Arial" w:eastAsia="Arial" w:hAnsi="Arial"/>
                <w:sz w:val="12"/>
                <w:szCs w:val="12"/>
                <w:color w:val="0000EE"/>
              </w:rPr>
            </w:pPr>
            <w:hyperlink w:anchor="page118">
              <w:r>
                <w:rPr>
                  <w:rFonts w:ascii="Arial" w:cs="Arial" w:eastAsia="Arial" w:hAnsi="Arial"/>
                  <w:sz w:val="12"/>
                  <w:szCs w:val="12"/>
                  <w:color w:val="0000EE"/>
                </w:rPr>
                <w:t>adopted by section 906 of the Sarbanes–Oxley Act</w:t>
              </w:r>
            </w:hyperlink>
          </w:p>
        </w:tc>
        <w:tc>
          <w:tcPr>
            <w:tcW w:w="480" w:type="dxa"/>
            <w:vAlign w:val="bottom"/>
          </w:tcPr>
          <w:p>
            <w:pPr>
              <w:spacing w:after="0"/>
              <w:rPr>
                <w:sz w:val="10"/>
                <w:szCs w:val="10"/>
                <w:color w:val="auto"/>
              </w:rPr>
            </w:pPr>
          </w:p>
        </w:tc>
      </w:tr>
      <w:tr>
        <w:trPr>
          <w:trHeight w:val="124"/>
        </w:trPr>
        <w:tc>
          <w:tcPr>
            <w:tcW w:w="920" w:type="dxa"/>
            <w:vAlign w:val="bottom"/>
          </w:tcPr>
          <w:p>
            <w:pPr>
              <w:spacing w:after="0"/>
              <w:rPr>
                <w:sz w:val="10"/>
                <w:szCs w:val="10"/>
                <w:color w:val="auto"/>
              </w:rPr>
            </w:pPr>
          </w:p>
        </w:tc>
        <w:tc>
          <w:tcPr>
            <w:tcW w:w="38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9"/>
              </w:rPr>
            </w:pPr>
            <w:hyperlink w:anchor="page118">
              <w:r>
                <w:rPr>
                  <w:rFonts w:ascii="Arial" w:cs="Arial" w:eastAsia="Arial" w:hAnsi="Arial"/>
                  <w:sz w:val="12"/>
                  <w:szCs w:val="12"/>
                  <w:color w:val="0000EE"/>
                  <w:w w:val="89"/>
                </w:rPr>
                <w:t>of 2002</w:t>
              </w:r>
            </w:hyperlink>
          </w:p>
        </w:tc>
        <w:tc>
          <w:tcPr>
            <w:tcW w:w="2060" w:type="dxa"/>
            <w:vAlign w:val="bottom"/>
            <w:tcBorders>
              <w:top w:val="single" w:sz="8" w:color="0000EE"/>
            </w:tcBorders>
            <w:gridSpan w:val="10"/>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9"/>
        </w:trPr>
        <w:tc>
          <w:tcPr>
            <w:tcW w:w="920" w:type="dxa"/>
            <w:vAlign w:val="bottom"/>
          </w:tcPr>
          <w:p>
            <w:pPr>
              <w:ind w:left="40"/>
              <w:spacing w:after="0"/>
              <w:rPr>
                <w:sz w:val="20"/>
                <w:szCs w:val="20"/>
                <w:color w:val="auto"/>
              </w:rPr>
            </w:pPr>
            <w:r>
              <w:rPr>
                <w:rFonts w:ascii="Arial" w:cs="Arial" w:eastAsia="Arial" w:hAnsi="Arial"/>
                <w:sz w:val="12"/>
                <w:szCs w:val="12"/>
                <w:color w:val="auto"/>
              </w:rPr>
              <w:t>101.INS</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Instance Document - the instance</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44"/>
        </w:trPr>
        <w:tc>
          <w:tcPr>
            <w:tcW w:w="92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document does not appear in the Interactive Data</w:t>
            </w:r>
          </w:p>
        </w:tc>
        <w:tc>
          <w:tcPr>
            <w:tcW w:w="480" w:type="dxa"/>
            <w:vAlign w:val="bottom"/>
          </w:tcPr>
          <w:p>
            <w:pPr>
              <w:spacing w:after="0"/>
              <w:rPr>
                <w:sz w:val="12"/>
                <w:szCs w:val="12"/>
                <w:color w:val="auto"/>
              </w:rPr>
            </w:pPr>
          </w:p>
        </w:tc>
      </w:tr>
      <w:tr>
        <w:trPr>
          <w:trHeight w:val="144"/>
        </w:trPr>
        <w:tc>
          <w:tcPr>
            <w:tcW w:w="920" w:type="dxa"/>
            <w:vAlign w:val="bottom"/>
          </w:tcPr>
          <w:p>
            <w:pPr>
              <w:spacing w:after="0"/>
              <w:rPr>
                <w:sz w:val="12"/>
                <w:szCs w:val="12"/>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File because its XBRL tags are embedded within</w:t>
            </w:r>
          </w:p>
        </w:tc>
        <w:tc>
          <w:tcPr>
            <w:tcW w:w="480" w:type="dxa"/>
            <w:vAlign w:val="bottom"/>
          </w:tcPr>
          <w:p>
            <w:pPr>
              <w:spacing w:after="0"/>
              <w:rPr>
                <w:sz w:val="12"/>
                <w:szCs w:val="12"/>
                <w:color w:val="auto"/>
              </w:rPr>
            </w:pPr>
          </w:p>
        </w:tc>
      </w:tr>
      <w:tr>
        <w:trPr>
          <w:trHeight w:val="153"/>
        </w:trPr>
        <w:tc>
          <w:tcPr>
            <w:tcW w:w="920" w:type="dxa"/>
            <w:vAlign w:val="bottom"/>
          </w:tcPr>
          <w:p>
            <w:pPr>
              <w:spacing w:after="0"/>
              <w:rPr>
                <w:sz w:val="13"/>
                <w:szCs w:val="13"/>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the Inline XBRL Document</w:t>
            </w:r>
          </w:p>
        </w:tc>
        <w:tc>
          <w:tcPr>
            <w:tcW w:w="480" w:type="dxa"/>
            <w:vAlign w:val="bottom"/>
          </w:tcPr>
          <w:p>
            <w:pPr>
              <w:spacing w:after="0"/>
              <w:rPr>
                <w:sz w:val="13"/>
                <w:szCs w:val="13"/>
                <w:color w:val="auto"/>
              </w:rPr>
            </w:pPr>
          </w:p>
        </w:tc>
      </w:tr>
      <w:tr>
        <w:trPr>
          <w:trHeight w:val="171"/>
        </w:trPr>
        <w:tc>
          <w:tcPr>
            <w:tcW w:w="920" w:type="dxa"/>
            <w:vAlign w:val="bottom"/>
          </w:tcPr>
          <w:p>
            <w:pPr>
              <w:ind w:left="40"/>
              <w:spacing w:after="0"/>
              <w:rPr>
                <w:sz w:val="20"/>
                <w:szCs w:val="20"/>
                <w:color w:val="auto"/>
              </w:rPr>
            </w:pPr>
            <w:r>
              <w:rPr>
                <w:rFonts w:ascii="Arial" w:cs="Arial" w:eastAsia="Arial" w:hAnsi="Arial"/>
                <w:sz w:val="12"/>
                <w:szCs w:val="12"/>
                <w:color w:val="auto"/>
              </w:rPr>
              <w:t>101.SCH</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Taxonomy Extension Schema Document</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62"/>
        </w:trPr>
        <w:tc>
          <w:tcPr>
            <w:tcW w:w="920" w:type="dxa"/>
            <w:vAlign w:val="bottom"/>
          </w:tcPr>
          <w:p>
            <w:pPr>
              <w:ind w:left="40"/>
              <w:spacing w:after="0"/>
              <w:rPr>
                <w:sz w:val="20"/>
                <w:szCs w:val="20"/>
                <w:color w:val="auto"/>
              </w:rPr>
            </w:pPr>
            <w:r>
              <w:rPr>
                <w:rFonts w:ascii="Arial" w:cs="Arial" w:eastAsia="Arial" w:hAnsi="Arial"/>
                <w:sz w:val="12"/>
                <w:szCs w:val="12"/>
                <w:color w:val="auto"/>
              </w:rPr>
              <w:t>101.CAL</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Taxonomy Extension Calculation Linkbase</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3"/>
        </w:trPr>
        <w:tc>
          <w:tcPr>
            <w:tcW w:w="920" w:type="dxa"/>
            <w:vAlign w:val="bottom"/>
          </w:tcPr>
          <w:p>
            <w:pPr>
              <w:spacing w:after="0"/>
              <w:rPr>
                <w:sz w:val="13"/>
                <w:szCs w:val="13"/>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Document</w:t>
            </w:r>
          </w:p>
        </w:tc>
        <w:tc>
          <w:tcPr>
            <w:tcW w:w="480" w:type="dxa"/>
            <w:vAlign w:val="bottom"/>
          </w:tcPr>
          <w:p>
            <w:pPr>
              <w:spacing w:after="0"/>
              <w:rPr>
                <w:sz w:val="13"/>
                <w:szCs w:val="13"/>
                <w:color w:val="auto"/>
              </w:rPr>
            </w:pPr>
          </w:p>
        </w:tc>
      </w:tr>
      <w:tr>
        <w:trPr>
          <w:trHeight w:val="162"/>
        </w:trPr>
        <w:tc>
          <w:tcPr>
            <w:tcW w:w="920" w:type="dxa"/>
            <w:vAlign w:val="bottom"/>
          </w:tcPr>
          <w:p>
            <w:pPr>
              <w:ind w:left="40"/>
              <w:spacing w:after="0"/>
              <w:rPr>
                <w:sz w:val="20"/>
                <w:szCs w:val="20"/>
                <w:color w:val="auto"/>
              </w:rPr>
            </w:pPr>
            <w:r>
              <w:rPr>
                <w:rFonts w:ascii="Arial" w:cs="Arial" w:eastAsia="Arial" w:hAnsi="Arial"/>
                <w:sz w:val="12"/>
                <w:szCs w:val="12"/>
                <w:color w:val="auto"/>
              </w:rPr>
              <w:t>101.DEF</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Taxonomy Extension Definition Linkbase</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3"/>
        </w:trPr>
        <w:tc>
          <w:tcPr>
            <w:tcW w:w="920" w:type="dxa"/>
            <w:vAlign w:val="bottom"/>
          </w:tcPr>
          <w:p>
            <w:pPr>
              <w:spacing w:after="0"/>
              <w:rPr>
                <w:sz w:val="13"/>
                <w:szCs w:val="13"/>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Document</w:t>
            </w:r>
          </w:p>
        </w:tc>
        <w:tc>
          <w:tcPr>
            <w:tcW w:w="480" w:type="dxa"/>
            <w:vAlign w:val="bottom"/>
          </w:tcPr>
          <w:p>
            <w:pPr>
              <w:spacing w:after="0"/>
              <w:rPr>
                <w:sz w:val="13"/>
                <w:szCs w:val="13"/>
                <w:color w:val="auto"/>
              </w:rPr>
            </w:pPr>
          </w:p>
        </w:tc>
      </w:tr>
      <w:tr>
        <w:trPr>
          <w:trHeight w:val="162"/>
        </w:trPr>
        <w:tc>
          <w:tcPr>
            <w:tcW w:w="920" w:type="dxa"/>
            <w:vAlign w:val="bottom"/>
          </w:tcPr>
          <w:p>
            <w:pPr>
              <w:ind w:left="40"/>
              <w:spacing w:after="0"/>
              <w:rPr>
                <w:sz w:val="20"/>
                <w:szCs w:val="20"/>
                <w:color w:val="auto"/>
              </w:rPr>
            </w:pPr>
            <w:r>
              <w:rPr>
                <w:rFonts w:ascii="Arial" w:cs="Arial" w:eastAsia="Arial" w:hAnsi="Arial"/>
                <w:sz w:val="12"/>
                <w:szCs w:val="12"/>
                <w:color w:val="auto"/>
              </w:rPr>
              <w:t>101.LAB</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Taxonomy Extension Label Linkbase</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3"/>
        </w:trPr>
        <w:tc>
          <w:tcPr>
            <w:tcW w:w="920" w:type="dxa"/>
            <w:vAlign w:val="bottom"/>
          </w:tcPr>
          <w:p>
            <w:pPr>
              <w:spacing w:after="0"/>
              <w:rPr>
                <w:sz w:val="13"/>
                <w:szCs w:val="13"/>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Document</w:t>
            </w:r>
          </w:p>
        </w:tc>
        <w:tc>
          <w:tcPr>
            <w:tcW w:w="480" w:type="dxa"/>
            <w:vAlign w:val="bottom"/>
          </w:tcPr>
          <w:p>
            <w:pPr>
              <w:spacing w:after="0"/>
              <w:rPr>
                <w:sz w:val="13"/>
                <w:szCs w:val="13"/>
                <w:color w:val="auto"/>
              </w:rPr>
            </w:pPr>
          </w:p>
        </w:tc>
      </w:tr>
      <w:tr>
        <w:trPr>
          <w:trHeight w:val="162"/>
        </w:trPr>
        <w:tc>
          <w:tcPr>
            <w:tcW w:w="920" w:type="dxa"/>
            <w:vAlign w:val="bottom"/>
          </w:tcPr>
          <w:p>
            <w:pPr>
              <w:ind w:left="40"/>
              <w:spacing w:after="0"/>
              <w:rPr>
                <w:sz w:val="20"/>
                <w:szCs w:val="20"/>
                <w:color w:val="auto"/>
              </w:rPr>
            </w:pPr>
            <w:r>
              <w:rPr>
                <w:rFonts w:ascii="Arial" w:cs="Arial" w:eastAsia="Arial" w:hAnsi="Arial"/>
                <w:sz w:val="12"/>
                <w:szCs w:val="12"/>
                <w:color w:val="auto"/>
              </w:rPr>
              <w:t>101.PRE</w:t>
            </w:r>
          </w:p>
        </w:tc>
        <w:tc>
          <w:tcPr>
            <w:tcW w:w="2800" w:type="dxa"/>
            <w:vAlign w:val="bottom"/>
            <w:gridSpan w:val="13"/>
          </w:tcPr>
          <w:p>
            <w:pPr>
              <w:spacing w:after="0"/>
              <w:rPr>
                <w:sz w:val="20"/>
                <w:szCs w:val="20"/>
                <w:color w:val="auto"/>
              </w:rPr>
            </w:pPr>
            <w:r>
              <w:rPr>
                <w:rFonts w:ascii="Arial" w:cs="Arial" w:eastAsia="Arial" w:hAnsi="Arial"/>
                <w:sz w:val="12"/>
                <w:szCs w:val="12"/>
                <w:color w:val="auto"/>
              </w:rPr>
              <w:t>XBRL Taxonomy Extension Presentation</w:t>
            </w:r>
          </w:p>
        </w:tc>
        <w:tc>
          <w:tcPr>
            <w:tcW w:w="480" w:type="dxa"/>
            <w:vAlign w:val="bottom"/>
          </w:tcPr>
          <w:p>
            <w:pPr>
              <w:jc w:val="right"/>
              <w:spacing w:after="0"/>
              <w:rPr>
                <w:sz w:val="20"/>
                <w:szCs w:val="20"/>
                <w:color w:val="auto"/>
              </w:rPr>
            </w:pPr>
            <w:r>
              <w:rPr>
                <w:rFonts w:ascii="Arial" w:cs="Arial" w:eastAsia="Arial" w:hAnsi="Arial"/>
                <w:sz w:val="12"/>
                <w:szCs w:val="12"/>
                <w:color w:val="auto"/>
              </w:rPr>
              <w:t>X</w:t>
            </w:r>
          </w:p>
        </w:tc>
      </w:tr>
      <w:tr>
        <w:trPr>
          <w:trHeight w:val="153"/>
        </w:trPr>
        <w:tc>
          <w:tcPr>
            <w:tcW w:w="920" w:type="dxa"/>
            <w:vAlign w:val="bottom"/>
          </w:tcPr>
          <w:p>
            <w:pPr>
              <w:spacing w:after="0"/>
              <w:rPr>
                <w:sz w:val="13"/>
                <w:szCs w:val="13"/>
                <w:color w:val="auto"/>
              </w:rPr>
            </w:pPr>
          </w:p>
        </w:tc>
        <w:tc>
          <w:tcPr>
            <w:tcW w:w="2800" w:type="dxa"/>
            <w:vAlign w:val="bottom"/>
            <w:gridSpan w:val="13"/>
          </w:tcPr>
          <w:p>
            <w:pPr>
              <w:spacing w:after="0"/>
              <w:rPr>
                <w:sz w:val="20"/>
                <w:szCs w:val="20"/>
                <w:color w:val="auto"/>
              </w:rPr>
            </w:pPr>
            <w:r>
              <w:rPr>
                <w:rFonts w:ascii="Arial" w:cs="Arial" w:eastAsia="Arial" w:hAnsi="Arial"/>
                <w:sz w:val="12"/>
                <w:szCs w:val="12"/>
                <w:color w:val="auto"/>
              </w:rPr>
              <w:t>Linkbase Document</w:t>
            </w:r>
          </w:p>
        </w:tc>
        <w:tc>
          <w:tcPr>
            <w:tcW w:w="480" w:type="dxa"/>
            <w:vAlign w:val="bottom"/>
          </w:tcPr>
          <w:p>
            <w:pPr>
              <w:spacing w:after="0"/>
              <w:rPr>
                <w:sz w:val="13"/>
                <w:szCs w:val="13"/>
                <w:color w:val="auto"/>
              </w:rPr>
            </w:pPr>
          </w:p>
        </w:tc>
      </w:tr>
    </w:tbl>
    <w:p>
      <w:pPr>
        <w:spacing w:after="0" w:line="18" w:lineRule="exact"/>
        <w:rPr>
          <w:sz w:val="20"/>
          <w:szCs w:val="20"/>
          <w:color w:val="auto"/>
        </w:rPr>
      </w:pPr>
    </w:p>
    <w:p>
      <w:pPr>
        <w:ind w:left="940" w:right="1280" w:hanging="882"/>
        <w:spacing w:after="0" w:line="289" w:lineRule="auto"/>
        <w:tabs>
          <w:tab w:leader="none" w:pos="9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56921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20"/>
                <w:szCs w:val="20"/>
                <w:color w:val="auto"/>
              </w:rPr>
            </w:pPr>
            <w:r>
              <w:rPr>
                <w:rFonts w:ascii="Arial" w:cs="Arial" w:eastAsia="Arial" w:hAnsi="Arial"/>
                <w:sz w:val="12"/>
                <w:szCs w:val="12"/>
                <w:color w:val="auto"/>
              </w:rPr>
              <w:t>S-8</w:t>
            </w:r>
          </w:p>
        </w:tc>
        <w:tc>
          <w:tcPr>
            <w:tcW w:w="840" w:type="dxa"/>
            <w:vAlign w:val="bottom"/>
          </w:tcPr>
          <w:p>
            <w:pPr>
              <w:ind w:left="420"/>
              <w:spacing w:after="0"/>
              <w:rPr>
                <w:sz w:val="20"/>
                <w:szCs w:val="20"/>
                <w:color w:val="auto"/>
              </w:rPr>
            </w:pPr>
            <w:r>
              <w:rPr>
                <w:rFonts w:ascii="Arial" w:cs="Arial" w:eastAsia="Arial" w:hAnsi="Arial"/>
                <w:sz w:val="12"/>
                <w:szCs w:val="12"/>
                <w:color w:val="auto"/>
              </w:rPr>
              <w:t>N/A</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4.4</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5/8/2018</w:t>
            </w:r>
          </w:p>
        </w:tc>
        <w:tc>
          <w:tcPr>
            <w:tcW w:w="800" w:type="dxa"/>
            <w:vAlign w:val="bottom"/>
          </w:tcPr>
          <w:p>
            <w:pPr>
              <w:jc w:val="right"/>
              <w:spacing w:after="0"/>
              <w:rPr>
                <w:sz w:val="20"/>
                <w:szCs w:val="20"/>
                <w:color w:val="auto"/>
              </w:rPr>
            </w:pPr>
            <w:r>
              <w:rPr>
                <w:rFonts w:ascii="Arial" w:cs="Arial" w:eastAsia="Arial" w:hAnsi="Arial"/>
                <w:sz w:val="12"/>
                <w:szCs w:val="12"/>
                <w:color w:val="auto"/>
              </w:rPr>
              <w:t>333-224730</w:t>
            </w:r>
          </w:p>
        </w:tc>
      </w:tr>
      <w:tr>
        <w:trPr>
          <w:trHeight w:val="459"/>
        </w:trPr>
        <w:tc>
          <w:tcPr>
            <w:tcW w:w="580" w:type="dxa"/>
            <w:vAlign w:val="bottom"/>
          </w:tcPr>
          <w:p>
            <w:pPr>
              <w:spacing w:after="0"/>
              <w:rPr>
                <w:sz w:val="20"/>
                <w:szCs w:val="20"/>
                <w:color w:val="auto"/>
              </w:rPr>
            </w:pPr>
            <w:r>
              <w:rPr>
                <w:rFonts w:ascii="Arial" w:cs="Arial" w:eastAsia="Arial" w:hAnsi="Arial"/>
                <w:sz w:val="12"/>
                <w:szCs w:val="12"/>
                <w:color w:val="auto"/>
              </w:rPr>
              <w:t>S-8</w:t>
            </w:r>
          </w:p>
        </w:tc>
        <w:tc>
          <w:tcPr>
            <w:tcW w:w="840" w:type="dxa"/>
            <w:vAlign w:val="bottom"/>
          </w:tcPr>
          <w:p>
            <w:pPr>
              <w:ind w:left="420"/>
              <w:spacing w:after="0"/>
              <w:rPr>
                <w:sz w:val="20"/>
                <w:szCs w:val="20"/>
                <w:color w:val="auto"/>
              </w:rPr>
            </w:pPr>
            <w:r>
              <w:rPr>
                <w:rFonts w:ascii="Arial" w:cs="Arial" w:eastAsia="Arial" w:hAnsi="Arial"/>
                <w:sz w:val="12"/>
                <w:szCs w:val="12"/>
                <w:color w:val="auto"/>
              </w:rPr>
              <w:t>N/A</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4.5</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5/8/2018</w:t>
            </w:r>
          </w:p>
        </w:tc>
        <w:tc>
          <w:tcPr>
            <w:tcW w:w="800" w:type="dxa"/>
            <w:vAlign w:val="bottom"/>
          </w:tcPr>
          <w:p>
            <w:pPr>
              <w:jc w:val="right"/>
              <w:spacing w:after="0"/>
              <w:rPr>
                <w:sz w:val="20"/>
                <w:szCs w:val="20"/>
                <w:color w:val="auto"/>
              </w:rPr>
            </w:pPr>
            <w:r>
              <w:rPr>
                <w:rFonts w:ascii="Arial" w:cs="Arial" w:eastAsia="Arial" w:hAnsi="Arial"/>
                <w:sz w:val="12"/>
                <w:szCs w:val="12"/>
                <w:color w:val="auto"/>
              </w:rPr>
              <w:t>333-224730</w:t>
            </w:r>
          </w:p>
        </w:tc>
      </w:tr>
      <w:tr>
        <w:trPr>
          <w:trHeight w:val="459"/>
        </w:trPr>
        <w:tc>
          <w:tcPr>
            <w:tcW w:w="580" w:type="dxa"/>
            <w:vAlign w:val="bottom"/>
          </w:tcPr>
          <w:p>
            <w:pPr>
              <w:spacing w:after="0"/>
              <w:rPr>
                <w:sz w:val="20"/>
                <w:szCs w:val="20"/>
                <w:color w:val="auto"/>
              </w:rPr>
            </w:pPr>
            <w:r>
              <w:rPr>
                <w:rFonts w:ascii="Arial" w:cs="Arial" w:eastAsia="Arial" w:hAnsi="Arial"/>
                <w:sz w:val="12"/>
                <w:szCs w:val="12"/>
                <w:color w:val="auto"/>
              </w:rPr>
              <w:t>S-1</w:t>
            </w:r>
          </w:p>
        </w:tc>
        <w:tc>
          <w:tcPr>
            <w:tcW w:w="840" w:type="dxa"/>
            <w:vAlign w:val="bottom"/>
          </w:tcPr>
          <w:p>
            <w:pPr>
              <w:ind w:left="420"/>
              <w:spacing w:after="0"/>
              <w:rPr>
                <w:sz w:val="20"/>
                <w:szCs w:val="20"/>
                <w:color w:val="auto"/>
              </w:rPr>
            </w:pPr>
            <w:r>
              <w:rPr>
                <w:rFonts w:ascii="Arial" w:cs="Arial" w:eastAsia="Arial" w:hAnsi="Arial"/>
                <w:sz w:val="12"/>
                <w:szCs w:val="12"/>
                <w:color w:val="auto"/>
              </w:rPr>
              <w:t>N/A</w:t>
            </w:r>
          </w:p>
        </w:tc>
        <w:tc>
          <w:tcPr>
            <w:tcW w:w="740" w:type="dxa"/>
            <w:vAlign w:val="bottom"/>
          </w:tcPr>
          <w:p>
            <w:pPr>
              <w:jc w:val="right"/>
              <w:ind w:right="240"/>
              <w:spacing w:after="0"/>
              <w:rPr>
                <w:sz w:val="20"/>
                <w:szCs w:val="20"/>
                <w:color w:val="auto"/>
              </w:rPr>
            </w:pPr>
            <w:r>
              <w:rPr>
                <w:rFonts w:ascii="Arial" w:cs="Arial" w:eastAsia="Arial" w:hAnsi="Arial"/>
                <w:sz w:val="12"/>
                <w:szCs w:val="12"/>
                <w:color w:val="auto"/>
              </w:rPr>
              <w:t>21.1</w:t>
            </w:r>
          </w:p>
        </w:tc>
        <w:tc>
          <w:tcPr>
            <w:tcW w:w="1000" w:type="dxa"/>
            <w:vAlign w:val="bottom"/>
          </w:tcPr>
          <w:p>
            <w:pPr>
              <w:jc w:val="right"/>
              <w:ind w:right="160"/>
              <w:spacing w:after="0"/>
              <w:rPr>
                <w:sz w:val="20"/>
                <w:szCs w:val="20"/>
                <w:color w:val="auto"/>
              </w:rPr>
            </w:pPr>
            <w:r>
              <w:rPr>
                <w:rFonts w:ascii="Arial" w:cs="Arial" w:eastAsia="Arial" w:hAnsi="Arial"/>
                <w:sz w:val="12"/>
                <w:szCs w:val="12"/>
                <w:color w:val="auto"/>
              </w:rPr>
              <w:t>6/24/2014</w:t>
            </w:r>
          </w:p>
        </w:tc>
        <w:tc>
          <w:tcPr>
            <w:tcW w:w="800" w:type="dxa"/>
            <w:vAlign w:val="bottom"/>
          </w:tcPr>
          <w:p>
            <w:pPr>
              <w:jc w:val="right"/>
              <w:spacing w:after="0"/>
              <w:rPr>
                <w:sz w:val="20"/>
                <w:szCs w:val="20"/>
                <w:color w:val="auto"/>
              </w:rPr>
            </w:pPr>
            <w:r>
              <w:rPr>
                <w:rFonts w:ascii="Arial" w:cs="Arial" w:eastAsia="Arial" w:hAnsi="Arial"/>
                <w:sz w:val="12"/>
                <w:szCs w:val="12"/>
                <w:color w:val="auto"/>
              </w:rPr>
              <w:t>333-197001</w:t>
            </w:r>
          </w:p>
        </w:tc>
      </w:tr>
    </w:tbl>
    <w:p>
      <w:pPr>
        <w:sectPr>
          <w:pgSz w:w="11900" w:h="16838" w:orient="portrait"/>
          <w:cols w:equalWidth="0" w:num="2">
            <w:col w:w="4600" w:space="80"/>
            <w:col w:w="4339"/>
          </w:cols>
          <w:pgMar w:left="1440" w:top="392" w:right="1440" w:bottom="1440" w:gutter="0" w:footer="0" w:header="0"/>
        </w:sectPr>
      </w:pPr>
    </w:p>
    <w:bookmarkStart w:id="112" w:name="page113"/>
    <w:bookmarkEnd w:id="11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 w:hanging="562"/>
        <w:spacing w:after="0"/>
        <w:tabs>
          <w:tab w:leader="none" w:pos="6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This exhibit is a management contract or a compensatory plan or arrangement.</w:t>
      </w:r>
    </w:p>
    <w:p>
      <w:pPr>
        <w:spacing w:after="0" w:line="26" w:lineRule="exact"/>
        <w:rPr>
          <w:sz w:val="20"/>
          <w:szCs w:val="20"/>
          <w:color w:val="auto"/>
        </w:rPr>
      </w:pPr>
    </w:p>
    <w:p>
      <w:pPr>
        <w:ind w:left="620" w:hanging="562"/>
        <w:spacing w:after="0"/>
        <w:tabs>
          <w:tab w:leader="none" w:pos="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14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2"/>
          <w:szCs w:val="12"/>
          <w:b w:val="1"/>
          <w:bCs w:val="1"/>
          <w:color w:val="auto"/>
        </w:rPr>
        <w:t>FORM 10-K SUMMARY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267335</wp:posOffset>
            </wp:positionV>
            <wp:extent cx="56921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sectPr>
      </w:pPr>
    </w:p>
    <w:bookmarkStart w:id="113" w:name="page114"/>
    <w:bookmarkEnd w:id="113"/>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 w:right="419"/>
        <w:spacing w:after="0" w:line="276"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15"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EL POLLO LOCO HOLDINGS, INC.</w:t>
      </w:r>
    </w:p>
    <w:p>
      <w:pPr>
        <w:spacing w:after="0" w:line="150" w:lineRule="exact"/>
        <w:rPr>
          <w:sz w:val="20"/>
          <w:szCs w:val="20"/>
          <w:color w:val="auto"/>
        </w:rPr>
      </w:pPr>
    </w:p>
    <w:tbl>
      <w:tblPr>
        <w:tblLayout w:type="fixed"/>
        <w:tblInd w:w="4280" w:type="dxa"/>
        <w:tblCellMar>
          <w:top w:w="0" w:type="dxa"/>
          <w:left w:w="0" w:type="dxa"/>
          <w:bottom w:w="0" w:type="dxa"/>
          <w:right w:w="0" w:type="dxa"/>
        </w:tblCellMar>
      </w:tblP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Bernard Acoca</w:t>
            </w:r>
          </w:p>
        </w:tc>
      </w:tr>
      <w:tr>
        <w:trPr>
          <w:trHeight w:val="124"/>
        </w:trPr>
        <w:tc>
          <w:tcPr>
            <w:tcW w:w="460" w:type="dxa"/>
            <w:vAlign w:val="bottom"/>
          </w:tcPr>
          <w:p>
            <w:pPr>
              <w:spacing w:after="0"/>
              <w:rPr>
                <w:sz w:val="10"/>
                <w:szCs w:val="10"/>
                <w:color w:val="auto"/>
              </w:rPr>
            </w:pPr>
          </w:p>
        </w:tc>
        <w:tc>
          <w:tcPr>
            <w:tcW w:w="4240" w:type="dxa"/>
            <w:vAlign w:val="bottom"/>
          </w:tcPr>
          <w:p>
            <w:pPr>
              <w:ind w:left="40"/>
              <w:spacing w:after="0" w:line="124" w:lineRule="exact"/>
              <w:rPr>
                <w:sz w:val="20"/>
                <w:szCs w:val="20"/>
                <w:color w:val="auto"/>
              </w:rPr>
            </w:pPr>
            <w:r>
              <w:rPr>
                <w:rFonts w:ascii="Arial" w:cs="Arial" w:eastAsia="Arial" w:hAnsi="Arial"/>
                <w:sz w:val="12"/>
                <w:szCs w:val="12"/>
                <w:color w:val="auto"/>
              </w:rPr>
              <w:t>Bernard Acoca</w:t>
            </w:r>
          </w:p>
        </w:tc>
      </w:tr>
      <w:tr>
        <w:trPr>
          <w:trHeight w:val="144"/>
        </w:trPr>
        <w:tc>
          <w:tcPr>
            <w:tcW w:w="460" w:type="dxa"/>
            <w:vAlign w:val="bottom"/>
          </w:tcPr>
          <w:p>
            <w:pPr>
              <w:spacing w:after="0"/>
              <w:rPr>
                <w:sz w:val="12"/>
                <w:szCs w:val="12"/>
                <w:color w:val="auto"/>
              </w:rPr>
            </w:pPr>
          </w:p>
        </w:tc>
        <w:tc>
          <w:tcPr>
            <w:tcW w:w="4240" w:type="dxa"/>
            <w:vAlign w:val="bottom"/>
          </w:tcPr>
          <w:p>
            <w:pPr>
              <w:ind w:left="40"/>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4240" w:type="dxa"/>
            <w:vAlign w:val="bottom"/>
          </w:tcPr>
          <w:p>
            <w:pPr>
              <w:ind w:left="40"/>
              <w:spacing w:after="0"/>
              <w:rPr>
                <w:sz w:val="20"/>
                <w:szCs w:val="20"/>
                <w:color w:val="auto"/>
              </w:rPr>
            </w:pPr>
            <w:r>
              <w:rPr>
                <w:rFonts w:ascii="Arial" w:cs="Arial" w:eastAsia="Arial" w:hAnsi="Arial"/>
                <w:sz w:val="12"/>
                <w:szCs w:val="12"/>
                <w:color w:val="auto"/>
              </w:rPr>
              <w:t>March 15, 2021</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 w:right="199"/>
        <w:spacing w:after="0" w:line="276" w:lineRule="auto"/>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392" w:right="1440" w:bottom="1440" w:gutter="0" w:footer="0" w:header="0"/>
        </w:sectPr>
      </w:pPr>
    </w:p>
    <w:p>
      <w:pPr>
        <w:spacing w:after="0" w:line="109" w:lineRule="exact"/>
        <w:rPr>
          <w:sz w:val="20"/>
          <w:szCs w:val="20"/>
          <w:color w:val="auto"/>
        </w:rPr>
      </w:pPr>
    </w:p>
    <w:p>
      <w:pPr>
        <w:ind w:left="640"/>
        <w:spacing w:after="0"/>
        <w:rPr>
          <w:sz w:val="20"/>
          <w:szCs w:val="20"/>
          <w:color w:val="auto"/>
        </w:rPr>
      </w:pPr>
      <w:r>
        <w:rPr>
          <w:rFonts w:ascii="Arial" w:cs="Arial" w:eastAsia="Arial" w:hAnsi="Arial"/>
          <w:sz w:val="10"/>
          <w:szCs w:val="10"/>
          <w:b w:val="1"/>
          <w:bCs w:val="1"/>
          <w:u w:val="single" w:color="auto"/>
          <w:color w:val="auto"/>
        </w:rPr>
        <w:t>Name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Bernard Acoca</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1"/>
          <w:szCs w:val="11"/>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16510</wp:posOffset>
            </wp:positionV>
            <wp:extent cx="14230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Laurance Roberts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1"/>
          <w:szCs w:val="11"/>
          <w:color w:val="auto"/>
        </w:rPr>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16510</wp:posOffset>
            </wp:positionV>
            <wp:extent cx="14230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Michael G. Maselli</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Dean C. Kehler</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John M. Roth</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Douglas J. Babb</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0"/>
          <w:szCs w:val="10"/>
          <w:color w:val="auto"/>
        </w:rPr>
        <w:t>/s/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24130</wp:posOffset>
            </wp:positionV>
            <wp:extent cx="14230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Samuel N. Borgese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Mark Buller</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William R. Floyd</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9525</wp:posOffset>
            </wp:positionV>
            <wp:extent cx="14230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2"/>
          <w:szCs w:val="12"/>
          <w:color w:val="auto"/>
        </w:rPr>
        <w:t>Carol Lynton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900"/>
        <w:spacing w:after="0"/>
        <w:rPr>
          <w:sz w:val="20"/>
          <w:szCs w:val="20"/>
          <w:color w:val="auto"/>
        </w:rPr>
      </w:pPr>
      <w:r>
        <w:rPr>
          <w:rFonts w:ascii="Arial" w:cs="Arial" w:eastAsia="Arial" w:hAnsi="Arial"/>
          <w:sz w:val="10"/>
          <w:szCs w:val="10"/>
          <w:b w:val="1"/>
          <w:bCs w:val="1"/>
          <w:u w:val="single" w:color="auto"/>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Director, President and Chief Executive Officer (principal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 (principal financial and accounting officer)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Chairman and 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0"/>
          <w:szCs w:val="10"/>
          <w:b w:val="1"/>
          <w:bCs w:val="1"/>
          <w:u w:val="single" w:color="auto"/>
          <w:color w:val="auto"/>
        </w:rPr>
        <w:t>Date</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15, 2021</w:t>
      </w:r>
    </w:p>
    <w:p>
      <w:pPr>
        <w:spacing w:after="0" w:line="375" w:lineRule="exact"/>
        <w:rPr>
          <w:sz w:val="20"/>
          <w:szCs w:val="20"/>
          <w:color w:val="auto"/>
        </w:rPr>
      </w:pPr>
    </w:p>
    <w:p>
      <w:pPr>
        <w:sectPr>
          <w:pgSz w:w="11900" w:h="16838" w:orient="portrait"/>
          <w:cols w:equalWidth="0" w:num="3">
            <w:col w:w="2300" w:space="720"/>
            <w:col w:w="3660" w:space="540"/>
            <w:col w:w="1799"/>
          </w:cols>
          <w:pgMar w:left="1440" w:top="392" w:right="1440" w:bottom="144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252730</wp:posOffset>
            </wp:positionV>
            <wp:extent cx="56921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2" w:right="1440"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23.1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Consent of Independent Registered Public Accounting Firm</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El Pollo Loco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Costa Mesa, California</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hereby consent to the incorporation by reference in the Registration Statement on Form S-8 (No. 333-197698) of El Pollo Loco Holdings, Inc. of our reports dated March 15, 2021, relating to the consolidated financial statements and the effectiveness of El Pollo Loco Holdings, Inc.’s internal control over financial reporting, which appear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Costa Mesa, California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232410</wp:posOffset>
            </wp:positionV>
            <wp:extent cx="63322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7" w:right="9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Exhibit 31.1</w:t>
      </w:r>
    </w:p>
    <w:p>
      <w:pPr>
        <w:spacing w:after="0" w:line="226"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CERTIFICATIONS</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2"/>
          <w:szCs w:val="12"/>
          <w:color w:val="auto"/>
        </w:rPr>
        <w:t>I, Bernard Acoca, certify that:</w:t>
      </w:r>
    </w:p>
    <w:p>
      <w:pPr>
        <w:spacing w:after="0" w:line="78" w:lineRule="exact"/>
        <w:rPr>
          <w:sz w:val="20"/>
          <w:szCs w:val="20"/>
          <w:color w:val="auto"/>
        </w:rPr>
      </w:pPr>
    </w:p>
    <w:p>
      <w:pPr>
        <w:ind w:left="123" w:hanging="123"/>
        <w:spacing w:after="0"/>
        <w:tabs>
          <w:tab w:leader="none" w:pos="123" w:val="left"/>
        </w:tabs>
        <w:numPr>
          <w:ilvl w:val="0"/>
          <w:numId w:val="3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El Pollo Loco Holdings, Inc.;</w:t>
      </w:r>
    </w:p>
    <w:p>
      <w:pPr>
        <w:spacing w:after="0" w:line="78" w:lineRule="exact"/>
        <w:rPr>
          <w:rFonts w:ascii="Arial" w:cs="Arial" w:eastAsia="Arial" w:hAnsi="Arial"/>
          <w:sz w:val="12"/>
          <w:szCs w:val="12"/>
          <w:color w:val="auto"/>
        </w:rPr>
      </w:pPr>
    </w:p>
    <w:p>
      <w:pPr>
        <w:ind w:left="3" w:right="20" w:hanging="3"/>
        <w:spacing w:after="0" w:line="276" w:lineRule="auto"/>
        <w:tabs>
          <w:tab w:leader="none" w:pos="123"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3" w:right="20" w:hanging="3"/>
        <w:spacing w:after="0" w:line="276" w:lineRule="auto"/>
        <w:tabs>
          <w:tab w:leader="none" w:pos="123"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3" w:right="160" w:hanging="3"/>
        <w:spacing w:after="0" w:line="276" w:lineRule="auto"/>
        <w:tabs>
          <w:tab w:leader="none" w:pos="123"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3" w:right="240" w:hanging="3"/>
        <w:spacing w:after="0" w:line="276" w:lineRule="auto"/>
        <w:tabs>
          <w:tab w:leader="none" w:pos="167"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3" w:right="440" w:hanging="3"/>
        <w:spacing w:after="0" w:line="323" w:lineRule="auto"/>
        <w:tabs>
          <w:tab w:leader="none" w:pos="173" w:val="left"/>
        </w:tabs>
        <w:numPr>
          <w:ilvl w:val="0"/>
          <w:numId w:val="3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1"/>
          <w:szCs w:val="11"/>
          <w:color w:val="auto"/>
        </w:rPr>
      </w:pPr>
    </w:p>
    <w:p>
      <w:pPr>
        <w:ind w:left="3" w:right="40" w:hanging="3"/>
        <w:spacing w:after="0" w:line="276" w:lineRule="auto"/>
        <w:tabs>
          <w:tab w:leader="none" w:pos="167" w:val="left"/>
        </w:tabs>
        <w:numPr>
          <w:ilvl w:val="0"/>
          <w:numId w:val="3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3" w:right="40" w:hanging="3"/>
        <w:spacing w:after="0" w:line="276" w:lineRule="auto"/>
        <w:tabs>
          <w:tab w:leader="none" w:pos="173" w:val="left"/>
        </w:tabs>
        <w:numPr>
          <w:ilvl w:val="0"/>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3" w:right="340" w:hanging="3"/>
        <w:spacing w:after="0" w:line="276" w:lineRule="auto"/>
        <w:tabs>
          <w:tab w:leader="none" w:pos="123"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3" w:right="160" w:hanging="3"/>
        <w:spacing w:after="0" w:line="276" w:lineRule="auto"/>
        <w:tabs>
          <w:tab w:leader="none" w:pos="167"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63" w:hanging="163"/>
        <w:spacing w:after="0"/>
        <w:tabs>
          <w:tab w:leader="none" w:pos="163"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2"/>
          <w:szCs w:val="12"/>
          <w:color w:val="auto"/>
        </w:rPr>
        <w:t>Date: March 15, 2021</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2"/>
          <w:szCs w:val="12"/>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316611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3"/>
        <w:spacing w:after="0"/>
        <w:rPr>
          <w:sz w:val="20"/>
          <w:szCs w:val="20"/>
          <w:color w:val="auto"/>
        </w:rPr>
      </w:pPr>
      <w:r>
        <w:rPr>
          <w:rFonts w:ascii="Arial" w:cs="Arial" w:eastAsia="Arial" w:hAnsi="Arial"/>
          <w:sz w:val="12"/>
          <w:szCs w:val="12"/>
          <w:color w:val="auto"/>
        </w:rPr>
        <w:t>Bernard Acoca</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2"/>
          <w:szCs w:val="12"/>
          <w:color w:val="auto"/>
        </w:rPr>
        <w:t>President and Chief Executive Officer</w:t>
      </w:r>
    </w:p>
    <w:p>
      <w:pPr>
        <w:spacing w:after="0" w:line="6" w:lineRule="exact"/>
        <w:rPr>
          <w:sz w:val="20"/>
          <w:szCs w:val="20"/>
          <w:color w:val="auto"/>
        </w:rPr>
      </w:pPr>
    </w:p>
    <w:p>
      <w:pPr>
        <w:ind w:left="3"/>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7" w:right="9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Exhibit 31.2</w:t>
      </w:r>
    </w:p>
    <w:p>
      <w:pPr>
        <w:spacing w:after="0" w:line="15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CERTIFICATIONS</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2"/>
          <w:szCs w:val="12"/>
          <w:color w:val="auto"/>
        </w:rPr>
        <w:t>I, Laurance Roberts, certify that:</w:t>
      </w:r>
    </w:p>
    <w:p>
      <w:pPr>
        <w:spacing w:after="0" w:line="78" w:lineRule="exact"/>
        <w:rPr>
          <w:sz w:val="20"/>
          <w:szCs w:val="20"/>
          <w:color w:val="auto"/>
        </w:rPr>
      </w:pPr>
    </w:p>
    <w:p>
      <w:pPr>
        <w:ind w:left="123" w:hanging="123"/>
        <w:spacing w:after="0"/>
        <w:tabs>
          <w:tab w:leader="none" w:pos="123" w:val="left"/>
        </w:tabs>
        <w:numPr>
          <w:ilvl w:val="0"/>
          <w:numId w:val="4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El Pollo Loco Holdings, Inc.;</w:t>
      </w:r>
    </w:p>
    <w:p>
      <w:pPr>
        <w:spacing w:after="0" w:line="78" w:lineRule="exact"/>
        <w:rPr>
          <w:rFonts w:ascii="Arial" w:cs="Arial" w:eastAsia="Arial" w:hAnsi="Arial"/>
          <w:sz w:val="12"/>
          <w:szCs w:val="12"/>
          <w:color w:val="auto"/>
        </w:rPr>
      </w:pPr>
    </w:p>
    <w:p>
      <w:pPr>
        <w:ind w:left="3" w:right="20" w:hanging="3"/>
        <w:spacing w:after="0" w:line="276" w:lineRule="auto"/>
        <w:tabs>
          <w:tab w:leader="none" w:pos="123"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3" w:right="20" w:hanging="3"/>
        <w:spacing w:after="0" w:line="276" w:lineRule="auto"/>
        <w:tabs>
          <w:tab w:leader="none" w:pos="123"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3" w:right="160" w:hanging="3"/>
        <w:spacing w:after="0" w:line="276" w:lineRule="auto"/>
        <w:tabs>
          <w:tab w:leader="none" w:pos="123"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3" w:right="240" w:hanging="3"/>
        <w:spacing w:after="0" w:line="276" w:lineRule="auto"/>
        <w:tabs>
          <w:tab w:leader="none" w:pos="167"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3" w:right="440" w:hanging="3"/>
        <w:spacing w:after="0" w:line="323" w:lineRule="auto"/>
        <w:tabs>
          <w:tab w:leader="none" w:pos="173" w:val="left"/>
        </w:tabs>
        <w:numPr>
          <w:ilvl w:val="0"/>
          <w:numId w:val="4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1"/>
          <w:szCs w:val="11"/>
          <w:color w:val="auto"/>
        </w:rPr>
      </w:pPr>
    </w:p>
    <w:p>
      <w:pPr>
        <w:ind w:left="3" w:right="40" w:hanging="3"/>
        <w:spacing w:after="0" w:line="276" w:lineRule="auto"/>
        <w:tabs>
          <w:tab w:leader="none" w:pos="167" w:val="left"/>
        </w:tabs>
        <w:numPr>
          <w:ilvl w:val="0"/>
          <w:numId w:val="4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3" w:right="40" w:hanging="3"/>
        <w:spacing w:after="0" w:line="276" w:lineRule="auto"/>
        <w:tabs>
          <w:tab w:leader="none" w:pos="173"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3" w:right="340" w:hanging="3"/>
        <w:spacing w:after="0" w:line="276" w:lineRule="auto"/>
        <w:tabs>
          <w:tab w:leader="none" w:pos="123"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3" w:right="160" w:hanging="3"/>
        <w:spacing w:after="0" w:line="276" w:lineRule="auto"/>
        <w:tabs>
          <w:tab w:leader="none" w:pos="167" w:val="left"/>
        </w:tabs>
        <w:numPr>
          <w:ilvl w:val="0"/>
          <w:numId w:val="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63" w:hanging="163"/>
        <w:spacing w:after="0"/>
        <w:tabs>
          <w:tab w:leader="none" w:pos="163" w:val="left"/>
        </w:tabs>
        <w:numPr>
          <w:ilvl w:val="0"/>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2"/>
          <w:szCs w:val="12"/>
          <w:color w:val="auto"/>
        </w:rPr>
        <w:t>Date: March 15, 2021</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2"/>
          <w:szCs w:val="12"/>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316611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ind w:left="3"/>
        <w:spacing w:after="0"/>
        <w:rPr>
          <w:sz w:val="20"/>
          <w:szCs w:val="20"/>
          <w:color w:val="auto"/>
        </w:rPr>
      </w:pPr>
      <w:r>
        <w:rPr>
          <w:rFonts w:ascii="Arial" w:cs="Arial" w:eastAsia="Arial" w:hAnsi="Arial"/>
          <w:sz w:val="12"/>
          <w:szCs w:val="12"/>
          <w:color w:val="auto"/>
        </w:rPr>
        <w:t>Laurance Roberts</w:t>
      </w:r>
    </w:p>
    <w:p>
      <w:pPr>
        <w:spacing w:after="0" w:line="15" w:lineRule="exact"/>
        <w:rPr>
          <w:sz w:val="20"/>
          <w:szCs w:val="20"/>
          <w:color w:val="auto"/>
        </w:rPr>
      </w:pPr>
    </w:p>
    <w:p>
      <w:pPr>
        <w:ind w:left="3"/>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3"/>
        <w:spacing w:after="0"/>
        <w:rPr>
          <w:sz w:val="20"/>
          <w:szCs w:val="20"/>
          <w:color w:val="auto"/>
        </w:rPr>
      </w:pPr>
      <w:r>
        <w:rPr>
          <w:rFonts w:ascii="Arial" w:cs="Arial" w:eastAsia="Arial" w:hAnsi="Arial"/>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7" w:right="9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w:t>
      </w:r>
    </w:p>
    <w:p>
      <w:pPr>
        <w:spacing w:after="0" w:line="7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Date: March 15, 2021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316611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Bernard Acoca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316611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31661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Laurance Roberts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sectPr>
      <w:pgSz w:w="11900" w:h="16838" w:orient="portrait"/>
      <w:cols w:equalWidth="0" w:num="1">
        <w:col w:w="9980"/>
      </w:cols>
      <w:pgMar w:left="960" w:top="12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2"/>
    </w:lvl>
  </w:abstractNum>
  <w:abstractNum w:abstractNumId="5">
    <w:nsid w:val="8EDBDAB"/>
    <w:multiLevelType w:val="hybridMultilevel"/>
    <w:lvl w:ilvl="0">
      <w:lvlJc w:val="left"/>
      <w:lvlText w:val="(%1)"/>
      <w:numFmt w:val="lowerRoman"/>
      <w:start w:val="8"/>
    </w:lvl>
  </w:abstractNum>
  <w:abstractNum w:abstractNumId="6">
    <w:nsid w:val="79838CB2"/>
    <w:multiLevelType w:val="hybridMultilevel"/>
    <w:lvl w:ilvl="0">
      <w:lvlJc w:val="left"/>
      <w:lvlText w:val="(%1)"/>
      <w:numFmt w:val="lowerRoman"/>
      <w:start w:val="4"/>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lowerRoman"/>
      <w:start w:val="4"/>
    </w:lvl>
  </w:abstractNum>
  <w:abstractNum w:abstractNumId="14">
    <w:nsid w:val="2901D82"/>
    <w:multiLevelType w:val="hybridMultilevel"/>
    <w:lvl w:ilvl="0">
      <w:lvlJc w:val="left"/>
      <w:lvlText w:val="(%1)"/>
      <w:numFmt w:val="lowerRoman"/>
      <w:start w:val="6"/>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5"/>
    </w:lvl>
  </w:abstractNum>
  <w:abstractNum w:abstractNumId="17">
    <w:nsid w:val="1E7FF521"/>
    <w:multiLevelType w:val="hybridMultilevel"/>
    <w:lvl w:ilvl="0">
      <w:lvlJc w:val="left"/>
      <w:lvlText w:val="(%1)"/>
      <w:numFmt w:val="lowerRoman"/>
      <w:start w:val="2"/>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2"/>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Roman"/>
      <w:start w:val="2"/>
    </w:lvl>
  </w:abstractNum>
  <w:abstractNum w:abstractNumId="28">
    <w:nsid w:val="5072367"/>
    <w:multiLevelType w:val="hybridMultilevel"/>
    <w:lvl w:ilvl="0">
      <w:lvlJc w:val="left"/>
      <w:lvlText w:val="%1."/>
      <w:numFmt w:val="decimal"/>
      <w:start w:val="13"/>
    </w:lvl>
  </w:abstractNum>
  <w:abstractNum w:abstractNumId="29">
    <w:nsid w:val="3804823E"/>
    <w:multiLevelType w:val="hybridMultilevel"/>
    <w:lvl w:ilvl="0">
      <w:lvlJc w:val="left"/>
      <w:lvlText w:val="%1."/>
      <w:numFmt w:val="decimal"/>
      <w:start w:val="15"/>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04"/>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5"/>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1"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14" Type="http://schemas.openxmlformats.org/officeDocument/2006/relationships/hyperlink" Target="https://www.sec.gov/Archives/edgar/data/1606366/000119312514332367/d779664dex31.htm" TargetMode="External"/><Relationship Id="rId115" Type="http://schemas.openxmlformats.org/officeDocument/2006/relationships/hyperlink" Target="https://www.sec.gov/Archives/edgar/data/1606366/000119312514332367/d779664dex32.htm" TargetMode="External"/><Relationship Id="rId116" Type="http://schemas.openxmlformats.org/officeDocument/2006/relationships/hyperlink" Target="https://www.sec.gov/Archives/edgar/data/0001606366/000160636620000004/exhibit41description_ofxca.htm" TargetMode="External"/><Relationship Id="rId117" Type="http://schemas.openxmlformats.org/officeDocument/2006/relationships/hyperlink" Target="https://www.sec.gov/Archives/edgar/data/1606366/000119312514403640/d809146dex101.htm" TargetMode="External"/><Relationship Id="rId118" Type="http://schemas.openxmlformats.org/officeDocument/2006/relationships/hyperlink" Target="https://www.sec.gov/Archives/edgar/data/1606366/000119312514443996/d838272dex101.htm" TargetMode="External"/><Relationship Id="rId119" Type="http://schemas.openxmlformats.org/officeDocument/2006/relationships/hyperlink" Target="https://www.sec.gov/Archives/edgar/data/1606366/000119312514317829/d778193dex101.htm" TargetMode="External"/><Relationship Id="rId120" Type="http://schemas.openxmlformats.org/officeDocument/2006/relationships/hyperlink" Target="https://www.sec.gov/Archives/edgar/data/1606366/000119312514317829/d778193dex102.htm" TargetMode="External"/><Relationship Id="rId122" Type="http://schemas.openxmlformats.org/officeDocument/2006/relationships/hyperlink" Target="https://www.sec.gov/Archives/edgar/data/1606366/000119312514267807/d714963dex1014.htm" TargetMode="External"/><Relationship Id="rId123" Type="http://schemas.openxmlformats.org/officeDocument/2006/relationships/hyperlink" Target="https://www.sec.gov/Archives/edgar/data/1606366/000119312514247412/d714963dex103.htm" TargetMode="External"/><Relationship Id="rId124" Type="http://schemas.openxmlformats.org/officeDocument/2006/relationships/hyperlink" Target="https://www.sec.gov/Archives/edgar/data/1606366/000119312514247412/d714963dex104.htm" TargetMode="External"/><Relationship Id="rId125" Type="http://schemas.openxmlformats.org/officeDocument/2006/relationships/hyperlink" Target="https://www.sec.gov/Archives/edgar/data/1606366/000119312514247412/d714963dex105.htm" TargetMode="External"/><Relationship Id="rId126" Type="http://schemas.openxmlformats.org/officeDocument/2006/relationships/hyperlink" Target="https://www.sec.gov/Archives/edgar/data/1606366/000119312514247412/d714963dex106.htm" TargetMode="External"/><Relationship Id="rId127" Type="http://schemas.openxmlformats.org/officeDocument/2006/relationships/hyperlink" Target="https://www.sec.gov/Archives/edgar/data/1606366/000119312514247412/d714963dex107.htm" TargetMode="External"/><Relationship Id="rId128" Type="http://schemas.openxmlformats.org/officeDocument/2006/relationships/hyperlink" Target="https://www.sec.gov/Archives/edgar/data/1606366/000119312514247412/d714963dex108.htm" TargetMode="External"/><Relationship Id="rId129" Type="http://schemas.openxmlformats.org/officeDocument/2006/relationships/hyperlink" Target="https://www.sec.gov/Archives/edgar/data/1606366/000119312514247412/d714963dex109.htm" TargetMode="External"/><Relationship Id="rId130" Type="http://schemas.openxmlformats.org/officeDocument/2006/relationships/hyperlink" Target="https://www.sec.gov/Archives/edgar/data/1606366/000119312514247412/d714963dex1012.htm" TargetMode="External"/><Relationship Id="rId131" Type="http://schemas.openxmlformats.org/officeDocument/2006/relationships/hyperlink" Target="https://www.sec.gov/Archives/edgar/data/1606366/000119312514247412/d714963dex1013.htm" TargetMode="External"/><Relationship Id="rId132" Type="http://schemas.openxmlformats.org/officeDocument/2006/relationships/hyperlink" Target="https://www.sec.gov/Archives/edgar/data/0001606366/000160636620000004/ex1015eplfdd2019controlno0.htm" TargetMode="External"/><Relationship Id="rId133" Type="http://schemas.openxmlformats.org/officeDocument/2006/relationships/hyperlink" Target="https://www.sec.gov/Archives/edgar/data/0001606366/000160636620000004/ex1016franchisedevelopment.htm" TargetMode="External"/><Relationship Id="rId134" Type="http://schemas.openxmlformats.org/officeDocument/2006/relationships/hyperlink" Target="https://www.sec.gov/Archives/edgar/data/1606366/000119312514275282/d714963dex1027.htm" TargetMode="External"/><Relationship Id="rId135" Type="http://schemas.openxmlformats.org/officeDocument/2006/relationships/hyperlink" Target="https://www.sec.gov/Archives/edgar/data/1606366/000119312514275282/d714963dex1022.htm" TargetMode="External"/><Relationship Id="rId136" Type="http://schemas.openxmlformats.org/officeDocument/2006/relationships/hyperlink" Target="https://www.sec.gov/Archives/edgar/data/1606366/000119312514275282/d714963dex1025.htm" TargetMode="External"/><Relationship Id="rId137" Type="http://schemas.openxmlformats.org/officeDocument/2006/relationships/hyperlink" Target="https://www.sec.gov/Archives/edgar/data/1606366/000119312514275282/d714963dex1026.htm" TargetMode="External"/><Relationship Id="rId138" Type="http://schemas.openxmlformats.org/officeDocument/2006/relationships/hyperlink" Target="https://www.sec.gov/Archives/edgar/data/1606366/000156459016022809/loco-ex1027_237.htm" TargetMode="External"/><Relationship Id="rId139" Type="http://schemas.openxmlformats.org/officeDocument/2006/relationships/hyperlink" Target="https://www.sec.gov/Archives/edgar/data/1606366/000156459016027675/loco-ex1028_191.htm" TargetMode="External"/><Relationship Id="rId140" Type="http://schemas.openxmlformats.org/officeDocument/2006/relationships/hyperlink" Target="https://www.sec.gov/Archives/edgar/data/1606366/000119312518239777/d521839dex43.htm" TargetMode="External"/><Relationship Id="rId141" Type="http://schemas.openxmlformats.org/officeDocument/2006/relationships/hyperlink" Target="https://www.sec.gov/Archives/edgar/data/0001606366/000160636620000004/ex10242018planrestrictedst.htm" TargetMode="External"/><Relationship Id="rId142" Type="http://schemas.openxmlformats.org/officeDocument/2006/relationships/hyperlink" Target="https://www.sec.gov/Archives/edgar/data/0001606366/000160636620000004/ex10252018planrestrictedst.htm" TargetMode="External"/><Relationship Id="rId143" Type="http://schemas.openxmlformats.org/officeDocument/2006/relationships/hyperlink" Target="https://www.sec.gov/Archives/edgar/data/0001606366/000160636620000004/ex10262018planrestrictedst.htm" TargetMode="External"/><Relationship Id="rId144" Type="http://schemas.openxmlformats.org/officeDocument/2006/relationships/hyperlink" Target="https://www.sec.gov/Archives/edgar/data/0001606366/000160636620000004/ex10272018planoptiongrants.htm" TargetMode="External"/><Relationship Id="rId145" Type="http://schemas.openxmlformats.org/officeDocument/2006/relationships/hyperlink" Target="https://www.sec.gov/Archives/edgar/data/1606366/000160636618000006/exhibit1029employmentagree.htm" TargetMode="External"/><Relationship Id="rId146" Type="http://schemas.openxmlformats.org/officeDocument/2006/relationships/hyperlink" Target="https://www.sec.gov/Archives/edgar/data/1606366/000119312514247412/d714963dex1015.htm" TargetMode="External"/><Relationship Id="rId147" Type="http://schemas.openxmlformats.org/officeDocument/2006/relationships/hyperlink" Target="https://www.sec.gov/Archives/edgar/data/0001606366/000160636620000004/ex1030munozemployagmt20181.htm" TargetMode="External"/><Relationship Id="rId148" Type="http://schemas.openxmlformats.org/officeDocument/2006/relationships/hyperlink" Target="https://www.sec.gov/Archives/edgar/data/1606366/000160636619000019/exhibit1031lozanoemployagm.htm" TargetMode="External"/><Relationship Id="rId149" Type="http://schemas.openxmlformats.org/officeDocument/2006/relationships/hyperlink" Target="https://www.sec.gov/Archives/edgar/data/1606366/000160636618000017/exhibit43epl_inducementxop.htm" TargetMode="External"/><Relationship Id="rId150" Type="http://schemas.openxmlformats.org/officeDocument/2006/relationships/hyperlink" Target="https://www.sec.gov/Archives/edgar/data/1606366/000160636618000017/exhibit44eplinducementrsu.htm" TargetMode="External"/><Relationship Id="rId151" Type="http://schemas.openxmlformats.org/officeDocument/2006/relationships/hyperlink" Target="https://www.sec.gov/Archives/edgar/data/1606366/000160636618000017/exhibit45epl_inducementxpsu.htm" TargetMode="External"/><Relationship Id="rId152" Type="http://schemas.openxmlformats.org/officeDocument/2006/relationships/hyperlink" Target="https://www.sec.gov/Archives/edgar/data/1606366/000119312514247412/d714963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2021-03-15T13:57:22Z</dcterms:created>
  <dcterms:modified xsi:type="dcterms:W3CDTF">2021-03-15T13:57:22Z</dcterms:modified>
</cp:coreProperties>
</file>